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48" w:rsidRPr="00534C48" w:rsidRDefault="00534C48" w:rsidP="00903129">
      <w:pPr>
        <w:spacing w:after="160" w:line="259" w:lineRule="auto"/>
        <w:rPr>
          <w:rFonts w:ascii="Calibri" w:eastAsia="Calibri" w:hAnsi="Calibri"/>
          <w:b/>
          <w:sz w:val="22"/>
          <w:szCs w:val="22"/>
          <w:lang w:eastAsia="en-US"/>
        </w:rPr>
      </w:pPr>
      <w:r w:rsidRPr="00534C48">
        <w:rPr>
          <w:rFonts w:ascii="Calibri" w:eastAsia="Calibri" w:hAnsi="Calibri"/>
          <w:b/>
          <w:sz w:val="22"/>
          <w:szCs w:val="22"/>
          <w:lang w:eastAsia="en-US"/>
        </w:rPr>
        <w:t xml:space="preserve">Informacje/wskazówki Instytucji Zarządzającej </w:t>
      </w:r>
      <w:r>
        <w:rPr>
          <w:rFonts w:ascii="Calibri" w:eastAsia="Calibri" w:hAnsi="Calibri"/>
          <w:b/>
          <w:sz w:val="22"/>
          <w:szCs w:val="22"/>
          <w:lang w:eastAsia="en-US"/>
        </w:rPr>
        <w:t>programem Fundusze Europejskie dla Wielkopolski</w:t>
      </w:r>
      <w:r w:rsidRPr="00534C48">
        <w:rPr>
          <w:rFonts w:ascii="Calibri" w:eastAsia="Calibri" w:hAnsi="Calibri"/>
          <w:b/>
          <w:sz w:val="22"/>
          <w:szCs w:val="22"/>
          <w:lang w:eastAsia="en-US"/>
        </w:rPr>
        <w:t xml:space="preserve"> dla beneficjentów dotyczące przeciwdziałania i zwalczania nadużyć finansowych oraz konfliktu interesów podczas realizac</w:t>
      </w:r>
      <w:r w:rsidR="00903129">
        <w:rPr>
          <w:rFonts w:ascii="Calibri" w:eastAsia="Calibri" w:hAnsi="Calibri"/>
          <w:b/>
          <w:sz w:val="22"/>
          <w:szCs w:val="22"/>
          <w:lang w:eastAsia="en-US"/>
        </w:rPr>
        <w:t>ji projektów w ramach FEW</w:t>
      </w:r>
      <w:r w:rsidR="00E87BDC">
        <w:rPr>
          <w:rFonts w:ascii="Calibri" w:eastAsia="Calibri" w:hAnsi="Calibri"/>
          <w:b/>
          <w:sz w:val="22"/>
          <w:szCs w:val="22"/>
          <w:lang w:eastAsia="en-US"/>
        </w:rPr>
        <w:t>.</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 xml:space="preserve">Celem komunikatu jest kształtowanie kultury uczciwych zachowań oraz propagowanie informacji na temat zapobiegania nadużyciom finansowym i ich wykrywania, konfliktu interesów w związku z realizacją projektów. Instytucje wdrażające fundusze w ramach </w:t>
      </w:r>
      <w:r w:rsidR="00903129">
        <w:rPr>
          <w:rFonts w:ascii="Calibri" w:eastAsia="Calibri" w:hAnsi="Calibri"/>
          <w:sz w:val="22"/>
          <w:szCs w:val="22"/>
          <w:lang w:eastAsia="en-US"/>
        </w:rPr>
        <w:t>FEW</w:t>
      </w:r>
      <w:r w:rsidRPr="00534C48">
        <w:rPr>
          <w:rFonts w:ascii="Calibri" w:eastAsia="Calibri" w:hAnsi="Calibri"/>
          <w:sz w:val="22"/>
          <w:szCs w:val="22"/>
          <w:lang w:eastAsia="en-US"/>
        </w:rPr>
        <w:t xml:space="preserve"> pragną być postrzegane jako przeciwne nadużyciom finansowym, korupcji oraz konfliktom interesów w sposobie prowadzenia swojej działalności. </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Poniższe opracowanie ma wspomóc beneficjentów oraz zwiększyć świadomość potrzeby przejrzystości wykorzystania funduszy unijnych.</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Od wszystkich beneficjentów zaangażowanych w realizację projektów oczekuje przestrzegania norm prawnych, etycznych i moralnych na najwyższym poziomie, zasad rzetelności, obiektywizmu i uczciwości.</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Za zarządzanie ryzykiem nadużyć finansowych i przeciwdziałanie konfliktowi interesów w ramach projektów realizowanych przez beneficjentów i wykonawców beneficjenta odpowiadają beneficjenci. Beneficjent powinien stosować politykę zakładającą zero toler</w:t>
      </w:r>
      <w:r w:rsidR="00E87BDC">
        <w:rPr>
          <w:rFonts w:ascii="Calibri" w:eastAsia="Calibri" w:hAnsi="Calibri"/>
          <w:sz w:val="22"/>
          <w:szCs w:val="22"/>
          <w:lang w:eastAsia="en-US"/>
        </w:rPr>
        <w:t>ancji dla nadużyć finansowych i </w:t>
      </w:r>
      <w:bookmarkStart w:id="0" w:name="_GoBack"/>
      <w:bookmarkEnd w:id="0"/>
      <w:r w:rsidRPr="00534C48">
        <w:rPr>
          <w:rFonts w:ascii="Calibri" w:eastAsia="Calibri" w:hAnsi="Calibri"/>
          <w:sz w:val="22"/>
          <w:szCs w:val="22"/>
          <w:lang w:eastAsia="en-US"/>
        </w:rPr>
        <w:t>korupcji oraz konfliktu interesów.</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Środki pochodzące z funduszy unijnych, aby mogły zostać uznane za kwalifikowalne, muszą być ponoszone z zachowaniem zasady uczciwej konkurencji, efektywności, jawności, przejrzystości oraz równego traktowania wykonawców. Wnioskodawca i beneficjent  dokonując zakupu towarów lub usług od podmiotów powiązanych z nim osobowo lub kapitałowo, powinien zachować należytą ostrożność i minimalizować ryzyko konfliktu interesów.</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Nadużycie finansowe - zgodnie z art. 1 Konwencji sporządzonej na mocy art. K.3 Traktatu o Unii Europejskiej w sprawie ochrony interesów finansowych Wspólnot Europejskich jest to jakiekolwiek umyślne działanie lub zaniechanie naruszające interesy finansowe Wspólnot Europejskich:</w:t>
      </w:r>
    </w:p>
    <w:p w:rsidR="00534C48" w:rsidRPr="00534C48" w:rsidRDefault="00534C48" w:rsidP="00903129">
      <w:pPr>
        <w:numPr>
          <w:ilvl w:val="0"/>
          <w:numId w:val="2"/>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w odniesieniu do wydatków, jakimkolwiek umyślnym działaniu lub zaniechaniu dotyczącym:</w:t>
      </w:r>
    </w:p>
    <w:p w:rsidR="00534C48" w:rsidRPr="00534C48" w:rsidRDefault="00534C48" w:rsidP="00903129">
      <w:pPr>
        <w:numPr>
          <w:ilvl w:val="0"/>
          <w:numId w:val="1"/>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wykorzystaniu lub przedstawieniu fałszywych, nieścisłych lub niekompletnych oświadczeń lub dokumentów, które ma na celu sprzeniewierzenie lub bezprawne zatrzymanie środków z budżetu ogólnego Wspólnot Europejskich lub budżetów zarządzanych przez Wspólnoty Europejskie lub w ich imieniu,</w:t>
      </w:r>
    </w:p>
    <w:p w:rsidR="00534C48" w:rsidRPr="00534C48" w:rsidRDefault="00534C48" w:rsidP="00903129">
      <w:pPr>
        <w:numPr>
          <w:ilvl w:val="0"/>
          <w:numId w:val="1"/>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 xml:space="preserve"> nieujawnieniu informacji z naruszeniem szczególnego obowiązku, w tym samym celu,</w:t>
      </w:r>
    </w:p>
    <w:p w:rsidR="00534C48" w:rsidRPr="00534C48" w:rsidRDefault="00534C48" w:rsidP="00903129">
      <w:pPr>
        <w:numPr>
          <w:ilvl w:val="0"/>
          <w:numId w:val="1"/>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niewłaściwym wykorzystaniu takich środków do celów innych niż te, na które zostały pierwotnie przyznane;</w:t>
      </w:r>
    </w:p>
    <w:p w:rsidR="00534C48" w:rsidRPr="00534C48" w:rsidRDefault="00534C48" w:rsidP="00903129">
      <w:pPr>
        <w:numPr>
          <w:ilvl w:val="0"/>
          <w:numId w:val="2"/>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w odniesieniu do przychodów, jakimkolwiek umyślnym działaniu lub zaniechaniu dotyczącym:</w:t>
      </w:r>
    </w:p>
    <w:p w:rsidR="00534C48" w:rsidRPr="00534C48" w:rsidRDefault="00534C48" w:rsidP="00903129">
      <w:pPr>
        <w:numPr>
          <w:ilvl w:val="0"/>
          <w:numId w:val="1"/>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wykorzystania lub przedstawienia fałszywych, nieścisłych lub niekompletnych oświadczeń lub dokumentów, które ma na celu bezprawne zmniejszenie środków budżetu ogólnego Wspólnot Europejskich lub budżetów zarządzanych przez lub w imieniu Wspólnot Europejskich,</w:t>
      </w:r>
    </w:p>
    <w:p w:rsidR="00534C48" w:rsidRPr="00534C48" w:rsidRDefault="00534C48" w:rsidP="00903129">
      <w:pPr>
        <w:numPr>
          <w:ilvl w:val="0"/>
          <w:numId w:val="1"/>
        </w:numPr>
        <w:spacing w:after="160"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lastRenderedPageBreak/>
        <w:t>nieujawnienia informacji z naruszeniem szczególnego obowiązku, w tym samym celu,</w:t>
      </w:r>
    </w:p>
    <w:p w:rsidR="00534C48" w:rsidRPr="00534C48" w:rsidRDefault="00534C48" w:rsidP="00903129">
      <w:pPr>
        <w:numPr>
          <w:ilvl w:val="0"/>
          <w:numId w:val="1"/>
        </w:numPr>
        <w:spacing w:line="259" w:lineRule="auto"/>
        <w:ind w:hanging="357"/>
        <w:rPr>
          <w:rFonts w:ascii="Calibri" w:eastAsia="Calibri" w:hAnsi="Calibri"/>
          <w:sz w:val="22"/>
          <w:szCs w:val="22"/>
          <w:lang w:eastAsia="en-US"/>
        </w:rPr>
      </w:pPr>
      <w:r w:rsidRPr="00534C48">
        <w:rPr>
          <w:rFonts w:ascii="Calibri" w:eastAsia="Calibri" w:hAnsi="Calibri"/>
          <w:sz w:val="22"/>
          <w:szCs w:val="22"/>
          <w:lang w:eastAsia="en-US"/>
        </w:rPr>
        <w:t>niewłaściwego wykorzystania korzyści uzyskanej zgodnie z prawem, w tym samym celu.</w:t>
      </w:r>
    </w:p>
    <w:p w:rsidR="00534C48" w:rsidRPr="00534C48" w:rsidRDefault="00534C48" w:rsidP="00903129">
      <w:pPr>
        <w:spacing w:line="259" w:lineRule="auto"/>
        <w:rPr>
          <w:rFonts w:ascii="Calibri" w:eastAsia="Calibri" w:hAnsi="Calibri"/>
          <w:sz w:val="22"/>
          <w:szCs w:val="22"/>
          <w:lang w:eastAsia="en-US"/>
        </w:rPr>
      </w:pPr>
      <w:r w:rsidRPr="00534C48">
        <w:rPr>
          <w:rFonts w:ascii="Calibri" w:eastAsia="Calibri" w:hAnsi="Calibri"/>
          <w:sz w:val="22"/>
          <w:szCs w:val="22"/>
          <w:lang w:eastAsia="en-US"/>
        </w:rPr>
        <w:t xml:space="preserve">Należy mieć na uwadze również, że określenie „nadużycie finansowe” jest potocznie używane do opisu szeregu różnych czynów zabronionych, takich jak: kradzież, korupcja, przywłaszczenie, łapówkarstwo, fałszerstwo, wprowadzanie w błąd, zmowa, pranie pieniędzy oraz zatajanie istotnych faktów. Zatem pojęcie „nadużycie finansowe” powinno być również rozumiane w sposób szeroki. </w:t>
      </w:r>
    </w:p>
    <w:p w:rsidR="00903129" w:rsidRPr="00903129" w:rsidRDefault="00903129" w:rsidP="00903129">
      <w:pPr>
        <w:spacing w:line="259" w:lineRule="auto"/>
        <w:rPr>
          <w:rFonts w:ascii="Calibri" w:eastAsia="Calibri" w:hAnsi="Calibri"/>
          <w:sz w:val="22"/>
          <w:szCs w:val="22"/>
          <w:lang w:eastAsia="en-US"/>
        </w:rPr>
      </w:pPr>
      <w:r w:rsidRPr="00903129">
        <w:rPr>
          <w:rFonts w:ascii="Calibri" w:eastAsia="Calibri" w:hAnsi="Calibri"/>
          <w:sz w:val="22"/>
          <w:szCs w:val="22"/>
          <w:lang w:eastAsia="en-US"/>
        </w:rPr>
        <w:t>Zgodnie z art. 61 Rozporządzenia Finansowego 2018 konflikt interesów istnieje wówczas, gdy</w:t>
      </w:r>
    </w:p>
    <w:p w:rsidR="00903129" w:rsidRPr="00903129" w:rsidRDefault="00903129" w:rsidP="00903129">
      <w:pPr>
        <w:spacing w:line="259" w:lineRule="auto"/>
        <w:rPr>
          <w:rFonts w:ascii="Calibri" w:eastAsia="Calibri" w:hAnsi="Calibri"/>
          <w:sz w:val="22"/>
          <w:szCs w:val="22"/>
          <w:lang w:eastAsia="en-US"/>
        </w:rPr>
      </w:pPr>
      <w:r w:rsidRPr="00903129">
        <w:rPr>
          <w:rFonts w:ascii="Calibri" w:eastAsia="Calibri" w:hAnsi="Calibri"/>
          <w:sz w:val="22"/>
          <w:szCs w:val="22"/>
          <w:lang w:eastAsia="en-US"/>
        </w:rPr>
        <w:t>„bezstronne i obiektywne pełnienie funkcji podmiotu upoważnionego do działań finansowych lub</w:t>
      </w:r>
    </w:p>
    <w:p w:rsidR="00903129" w:rsidRPr="00903129" w:rsidRDefault="00903129" w:rsidP="00903129">
      <w:pPr>
        <w:spacing w:line="259" w:lineRule="auto"/>
        <w:rPr>
          <w:rFonts w:ascii="Calibri" w:eastAsia="Calibri" w:hAnsi="Calibri"/>
          <w:sz w:val="22"/>
          <w:szCs w:val="22"/>
          <w:lang w:eastAsia="en-US"/>
        </w:rPr>
      </w:pPr>
      <w:r w:rsidRPr="00903129">
        <w:rPr>
          <w:rFonts w:ascii="Calibri" w:eastAsia="Calibri" w:hAnsi="Calibri"/>
          <w:sz w:val="22"/>
          <w:szCs w:val="22"/>
          <w:lang w:eastAsia="en-US"/>
        </w:rPr>
        <w:t>innej osoby” uczestniczących w wykonaniu budżetu „jest zagrożone z uwagi na względy rodzinne,</w:t>
      </w:r>
    </w:p>
    <w:p w:rsidR="00903129" w:rsidRPr="00903129" w:rsidRDefault="00903129" w:rsidP="00903129">
      <w:pPr>
        <w:spacing w:line="259" w:lineRule="auto"/>
        <w:rPr>
          <w:rFonts w:ascii="Calibri" w:eastAsia="Calibri" w:hAnsi="Calibri"/>
          <w:sz w:val="22"/>
          <w:szCs w:val="22"/>
          <w:lang w:eastAsia="en-US"/>
        </w:rPr>
      </w:pPr>
      <w:r w:rsidRPr="00903129">
        <w:rPr>
          <w:rFonts w:ascii="Calibri" w:eastAsia="Calibri" w:hAnsi="Calibri"/>
          <w:sz w:val="22"/>
          <w:szCs w:val="22"/>
          <w:lang w:eastAsia="en-US"/>
        </w:rPr>
        <w:t>emocjonalne, sympatie polityczne lub związki z jakimkolwiek krajem, interes gospodarczy lub</w:t>
      </w:r>
    </w:p>
    <w:p w:rsidR="00534C48" w:rsidRDefault="00903129" w:rsidP="00903129">
      <w:pPr>
        <w:spacing w:line="259" w:lineRule="auto"/>
        <w:rPr>
          <w:rFonts w:ascii="Calibri" w:eastAsia="Calibri" w:hAnsi="Calibri"/>
          <w:sz w:val="22"/>
          <w:szCs w:val="22"/>
          <w:lang w:eastAsia="en-US"/>
        </w:rPr>
      </w:pPr>
      <w:r w:rsidRPr="00903129">
        <w:rPr>
          <w:rFonts w:ascii="Calibri" w:eastAsia="Calibri" w:hAnsi="Calibri"/>
          <w:sz w:val="22"/>
          <w:szCs w:val="22"/>
          <w:lang w:eastAsia="en-US"/>
        </w:rPr>
        <w:t>jakiekolwiek inne bezpośrednie lub pośrednie interesy osobiste”.</w:t>
      </w:r>
    </w:p>
    <w:p w:rsidR="00903129" w:rsidRPr="00534C48" w:rsidRDefault="00903129" w:rsidP="00903129">
      <w:pPr>
        <w:spacing w:line="259" w:lineRule="auto"/>
        <w:rPr>
          <w:rFonts w:ascii="Calibri" w:eastAsia="Calibri" w:hAnsi="Calibri"/>
          <w:sz w:val="22"/>
          <w:szCs w:val="22"/>
          <w:lang w:eastAsia="en-US"/>
        </w:rPr>
      </w:pP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Etapy realizacji projektów szczególnie narażone na wystąpienie konfliktu interesów i powstanie nadużyć finansowych.</w:t>
      </w:r>
    </w:p>
    <w:p w:rsidR="00534C48" w:rsidRPr="00534C48" w:rsidRDefault="00534C48" w:rsidP="00903129">
      <w:pPr>
        <w:spacing w:after="160" w:line="259" w:lineRule="auto"/>
        <w:rPr>
          <w:rFonts w:ascii="Calibri" w:eastAsia="Calibri" w:hAnsi="Calibri"/>
          <w:b/>
          <w:sz w:val="22"/>
          <w:szCs w:val="22"/>
          <w:lang w:eastAsia="en-US"/>
        </w:rPr>
      </w:pPr>
      <w:r w:rsidRPr="00534C48">
        <w:rPr>
          <w:rFonts w:ascii="Calibri" w:eastAsia="Calibri" w:hAnsi="Calibri"/>
          <w:b/>
          <w:sz w:val="22"/>
          <w:szCs w:val="22"/>
          <w:lang w:eastAsia="en-US"/>
        </w:rPr>
        <w:t>Ryzyka związane z zamówieniami publicznymi.</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1. Ukryty konflikt interesów lub łapówki i nielegalne honoraria.</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Beneficjent faworyzuje wykonawcę, ponieważ wystąpił niezgłoszony konflikt interesów zapłacono łapówkę bądź nielegalne honorarium. Beneficjent zawiera umowy z wykonawcami, w stosunku do których ma swoje interesy, czy to finansowe, czy to innego rodzaju lub Wykonawca nie ujawnia wszystkich konfliktów interesów, gdy występuje o udzielenie zamówienia lub Wykonawca oferuje beneficjentowi łapówki lub nielegalne honoraria, by wpłynąć na decyzję o udzieleniu zamówienia.</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2. Unikanie wymaganej procedury konkurencyjnej.</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Beneficjent unika wymaganej procedury konkurencyjnej, faworyzując konkretnego wykonawcę przy udzielaniu lub utrzymaniu przez niego zamówienia poprzez: dzielenie zamówień, nieuzasadnione udzielenie zamówienia jednemu wykonawcy, niezorganizowanie procedury przetargowej, nieprawidłowe przedłużenie okresu obowiązywania zamówienia.</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Beneficjent dzieli zamówienie na co najmniej dwa zlecenia lub umowy, by uniknąć rozpoczynania procedury konkurencyjnej lub weryfikacji na wyższym szczeblu kierownictwa. Beneficjent fałszuje uzasadnienie udzielenia zamówienia jednemu wykonawcy, przygotowując bardzo zawężone specyfikacje lub beneficjent zawiera umowę z wykonawcą bez wymaganej procedury przetargowej, beneficjent przedłuża pierwotny okres realizacji zamówienia poprzez wprowadzanie do umowy zmian lub stawianie dodatkowych warunków, w celu uniknięcia powtórnej procedury przetargowej.</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3. Manipulowanie przebiegiem procedury konkurencyjnej.</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Beneficjent faworyzuje wykonawcę w ramach procedury konkurencyjnej poprzez: nadużycia w specyfikacjach, ujawnienie danych dotyczących przetargu, manipulowanie ofertami.</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 xml:space="preserve">Beneficjent przygotowuje zaproszenie do przetargu lub zapytanie ofertowe pod kątem kwalifikacji konkretnego podmiotu lub w taki sposób, że tylko jeden podmiot może sprostać wymaganiom lub beneficjent ujawnia poufne informacje, aby pomóc wybranemu podmiotowi w skonstruowaniu najlepszej oferty technicznej lub finansowej (informacje mogą dotyczyć szacunkowego budżetu, </w:t>
      </w:r>
      <w:r w:rsidRPr="00534C48">
        <w:rPr>
          <w:rFonts w:ascii="Calibri" w:eastAsia="Calibri" w:hAnsi="Calibri"/>
          <w:sz w:val="22"/>
          <w:szCs w:val="22"/>
          <w:lang w:eastAsia="en-US"/>
        </w:rPr>
        <w:lastRenderedPageBreak/>
        <w:t>preferowanych rozwiązań lub szczegółów oferty konkurentów), beneficjent manipuluje ofertami po ich otrzymaniu tak, by zapewnić wybór faworyzowanego podmiotu.</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4. Zmowa przetargowa</w:t>
      </w:r>
      <w:r w:rsidR="00903129">
        <w:rPr>
          <w:rFonts w:ascii="Calibri" w:eastAsia="Calibri" w:hAnsi="Calibri"/>
          <w:sz w:val="22"/>
          <w:szCs w:val="22"/>
          <w:lang w:eastAsia="en-US"/>
        </w:rPr>
        <w:t>.</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W celu otrzymania zamówienia wykonawca manipuluje procedurą konkurencyjną zorganizowaną przez beneficjenta, wchodząc w zmowę z innymi wykonawcami lub tworząc fikcyjnych wykonawców.</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5. Nieuczciwe informowanie o cenach.</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Podmiot manipuluje procedurą konkurencyjną, nie podając w ofercie niektórych kosztów. Podmiot nie przedstawia aktualnych, całkowitych i dokładnych kosztów lub danych dotyczących cen w ofercie cenowej, co powoduje wzrost ceny zamówienia.</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6. Manipulowanie zestawieniami poniesionych wydatków.</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Wykonawca manipuluje zestawieniami poniesionych wydatków lub fakturami w celu zawyżenia lub powtórnego wykazania poniesionych wydatków (dubluje zestawienia poniesionych wydatków, fałszuje, zawyża, powiela faktury).</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7. Niedostarczenie lub zastąpienie produktów</w:t>
      </w:r>
      <w:r w:rsidR="00903129">
        <w:rPr>
          <w:rFonts w:ascii="Calibri" w:eastAsia="Calibri" w:hAnsi="Calibri"/>
          <w:sz w:val="22"/>
          <w:szCs w:val="22"/>
          <w:lang w:eastAsia="en-US"/>
        </w:rPr>
        <w:t>.</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 xml:space="preserve">Wykonawca narusza warunki zamówienia, nie dostarczając uzgodnionych produktów lub wprowadzając w nich zmiany, bądź zastępując je produktami niższej jakości. Wykonawca zastępuje przedmioty wymienione w zamówieniu przedmiotami niższej jakości lub w inny sposób nie wypełnia warunków specyfikacji, a następnie świadomie wprowadza beneficjenta w błąd, twierdząc, że je wypełnił (beneficjent może współuczestniczyć w tym nadużyciu finansowym) </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8. Zmiana obowiązującego zamówienia</w:t>
      </w:r>
      <w:r w:rsidR="00903129">
        <w:rPr>
          <w:rFonts w:ascii="Calibri" w:eastAsia="Calibri" w:hAnsi="Calibri"/>
          <w:sz w:val="22"/>
          <w:szCs w:val="22"/>
          <w:lang w:eastAsia="en-US"/>
        </w:rPr>
        <w:t>.</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Beneficjent i wykonawca działają w zmowie w celu zmiany istniejącego zamówienia, tak by zapisy umowy były korzystniejsze dla wykonawcy w takim stopniu, że pierwotna decyzja o udzieleniu zamówienia przestaje obowiązywać.</w:t>
      </w:r>
    </w:p>
    <w:p w:rsidR="00534C48" w:rsidRPr="00534C48" w:rsidRDefault="00534C48" w:rsidP="00903129">
      <w:pPr>
        <w:spacing w:after="160" w:line="259" w:lineRule="auto"/>
        <w:rPr>
          <w:rFonts w:ascii="Calibri" w:eastAsia="Calibri" w:hAnsi="Calibri"/>
          <w:b/>
          <w:sz w:val="22"/>
          <w:szCs w:val="22"/>
          <w:lang w:eastAsia="en-US"/>
        </w:rPr>
      </w:pPr>
      <w:r w:rsidRPr="00534C48">
        <w:rPr>
          <w:rFonts w:ascii="Calibri" w:eastAsia="Calibri" w:hAnsi="Calibri"/>
          <w:b/>
          <w:sz w:val="22"/>
          <w:szCs w:val="22"/>
          <w:lang w:eastAsia="en-US"/>
        </w:rPr>
        <w:t>Ryzyka związane z kosztami pracy.</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1. Zawyżenie kwalifikacji pracowników lub zakresu wykonywanych przez nich czynności. Beneficjent/wykonawca beneficjenta świadomie zawyża kwalifikacje pracowników lub zakres wykonywanych przez nich czynności w celu zadeklarowania ich jako koszty kwalifikowalne.</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2. Nieprawdziwe koszty pracy. Beneficjent/wykonawca beneficjenta świadomie przedstawia nieprawdziwe koszty pracy za czynności, które nie zostały wykonane lub które nie zostały wykonane zgodnie z zamówieniem (nieprawdziwe koszty pracy, wykazane nieprawidłowo nadgodziny i stawki godzinowe, koszty pracowników wykazywane w odniesieniu do nieistniejących osób, koszty pracowników wykazywane w odniesieniu do czynności wykonanych poza okresem realizacji zamówienia).</w:t>
      </w:r>
    </w:p>
    <w:p w:rsidR="00534C48" w:rsidRPr="00534C48" w:rsidRDefault="00534C48" w:rsidP="00903129">
      <w:pPr>
        <w:spacing w:after="160" w:line="259" w:lineRule="auto"/>
        <w:rPr>
          <w:rFonts w:ascii="Calibri" w:eastAsia="Calibri" w:hAnsi="Calibri"/>
          <w:sz w:val="22"/>
          <w:szCs w:val="22"/>
          <w:lang w:eastAsia="en-US"/>
        </w:rPr>
      </w:pPr>
      <w:r w:rsidRPr="00534C48">
        <w:rPr>
          <w:rFonts w:ascii="Calibri" w:eastAsia="Calibri" w:hAnsi="Calibri"/>
          <w:sz w:val="22"/>
          <w:szCs w:val="22"/>
          <w:lang w:eastAsia="en-US"/>
        </w:rPr>
        <w:t>3. Koszty pracy są nieprawidłowo przydzielane do poszczególnych projektów. Beneficjent świadomie nieprawidłowo rozdziela koszty pracowników między projekty unijne i inne źródła finansowania.</w:t>
      </w:r>
    </w:p>
    <w:sectPr w:rsidR="00534C48" w:rsidRPr="00534C48" w:rsidSect="00C11597">
      <w:headerReference w:type="default" r:id="rId7"/>
      <w:footerReference w:type="default" r:id="rId8"/>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AD" w:rsidRDefault="00F46BAD" w:rsidP="00AC280E">
      <w:r>
        <w:separator/>
      </w:r>
    </w:p>
  </w:endnote>
  <w:endnote w:type="continuationSeparator" w:id="0">
    <w:p w:rsidR="00F46BAD" w:rsidRDefault="00F46BAD" w:rsidP="00A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092786"/>
      <w:docPartObj>
        <w:docPartGallery w:val="Page Numbers (Bottom of Page)"/>
        <w:docPartUnique/>
      </w:docPartObj>
    </w:sdtPr>
    <w:sdtEndPr/>
    <w:sdtContent>
      <w:p w:rsidR="00534C48" w:rsidRDefault="00534C48">
        <w:pPr>
          <w:pStyle w:val="Stopka"/>
          <w:jc w:val="right"/>
        </w:pPr>
        <w:r>
          <w:fldChar w:fldCharType="begin"/>
        </w:r>
        <w:r>
          <w:instrText>PAGE   \* MERGEFORMAT</w:instrText>
        </w:r>
        <w:r>
          <w:fldChar w:fldCharType="separate"/>
        </w:r>
        <w:r w:rsidR="00E87BDC">
          <w:rPr>
            <w:noProof/>
          </w:rPr>
          <w:t>1</w:t>
        </w:r>
        <w:r>
          <w:fldChar w:fldCharType="end"/>
        </w:r>
      </w:p>
    </w:sdtContent>
  </w:sdt>
  <w:p w:rsidR="00534C48" w:rsidRDefault="00534C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AD" w:rsidRDefault="00F46BAD" w:rsidP="00AC280E">
      <w:r>
        <w:separator/>
      </w:r>
    </w:p>
  </w:footnote>
  <w:footnote w:type="continuationSeparator" w:id="0">
    <w:p w:rsidR="00F46BAD" w:rsidRDefault="00F46BAD" w:rsidP="00AC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97" w:rsidRDefault="00541CBC" w:rsidP="00676652">
    <w:pPr>
      <w:pStyle w:val="Nagwek"/>
      <w:ind w:left="-284"/>
      <w:jc w:val="center"/>
    </w:pPr>
    <w:r w:rsidRPr="00742C5F">
      <w:rPr>
        <w:noProof/>
      </w:rPr>
      <w:drawing>
        <wp:inline distT="0" distB="0" distL="0" distR="0">
          <wp:extent cx="5676900" cy="742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742950"/>
                  </a:xfrm>
                  <a:prstGeom prst="rect">
                    <a:avLst/>
                  </a:prstGeom>
                  <a:noFill/>
                  <a:ln>
                    <a:noFill/>
                  </a:ln>
                </pic:spPr>
              </pic:pic>
            </a:graphicData>
          </a:graphic>
        </wp:inline>
      </w:drawing>
    </w:r>
  </w:p>
  <w:p w:rsidR="00C11597" w:rsidRDefault="00112F6C" w:rsidP="00C11597">
    <w:pPr>
      <w:pStyle w:val="Nagwek"/>
      <w:ind w:left="284"/>
    </w:pPr>
    <w:r>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6350</wp:posOffset>
              </wp:positionV>
              <wp:extent cx="5581650" cy="0"/>
              <wp:effectExtent l="5080" t="6350" r="1397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4B9A0" id="_x0000_t32" coordsize="21600,21600" o:spt="32" o:oned="t" path="m,l21600,21600e" filled="f">
              <v:path arrowok="t" fillok="f" o:connecttype="none"/>
              <o:lock v:ext="edit" shapetype="t"/>
            </v:shapetype>
            <v:shape id="AutoShape 2" o:spid="_x0000_s1026" type="#_x0000_t32" style="position:absolute;margin-left:1.15pt;margin-top:.5pt;width:4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x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M0W2Xw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F49D3"/>
    <w:multiLevelType w:val="hybridMultilevel"/>
    <w:tmpl w:val="2790176C"/>
    <w:lvl w:ilvl="0" w:tplc="E0FC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4944CF"/>
    <w:multiLevelType w:val="hybridMultilevel"/>
    <w:tmpl w:val="DA489AA0"/>
    <w:lvl w:ilvl="0" w:tplc="35207B1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F6"/>
    <w:rsid w:val="00001047"/>
    <w:rsid w:val="00020764"/>
    <w:rsid w:val="00112F6C"/>
    <w:rsid w:val="00153577"/>
    <w:rsid w:val="0015380F"/>
    <w:rsid w:val="001A2AF6"/>
    <w:rsid w:val="001C2506"/>
    <w:rsid w:val="002332B0"/>
    <w:rsid w:val="002405FB"/>
    <w:rsid w:val="00250B13"/>
    <w:rsid w:val="00251930"/>
    <w:rsid w:val="00255075"/>
    <w:rsid w:val="002822FF"/>
    <w:rsid w:val="002C0580"/>
    <w:rsid w:val="002C608C"/>
    <w:rsid w:val="00386799"/>
    <w:rsid w:val="00391B23"/>
    <w:rsid w:val="003A37B1"/>
    <w:rsid w:val="003F275C"/>
    <w:rsid w:val="004359FA"/>
    <w:rsid w:val="00457268"/>
    <w:rsid w:val="00473455"/>
    <w:rsid w:val="004907B8"/>
    <w:rsid w:val="004A4B19"/>
    <w:rsid w:val="004E6F36"/>
    <w:rsid w:val="00534C48"/>
    <w:rsid w:val="00541CBC"/>
    <w:rsid w:val="0054516D"/>
    <w:rsid w:val="00550CDA"/>
    <w:rsid w:val="00552267"/>
    <w:rsid w:val="005B7A8D"/>
    <w:rsid w:val="005C7F86"/>
    <w:rsid w:val="005E4234"/>
    <w:rsid w:val="005F5CC0"/>
    <w:rsid w:val="00646DDC"/>
    <w:rsid w:val="00676652"/>
    <w:rsid w:val="00763182"/>
    <w:rsid w:val="00766AA6"/>
    <w:rsid w:val="00773790"/>
    <w:rsid w:val="007A37DC"/>
    <w:rsid w:val="007A47B8"/>
    <w:rsid w:val="007B7499"/>
    <w:rsid w:val="007E36D4"/>
    <w:rsid w:val="0080020D"/>
    <w:rsid w:val="008150C0"/>
    <w:rsid w:val="0082038E"/>
    <w:rsid w:val="00824931"/>
    <w:rsid w:val="0083410E"/>
    <w:rsid w:val="008C1C26"/>
    <w:rsid w:val="008D639E"/>
    <w:rsid w:val="008E46BF"/>
    <w:rsid w:val="00903129"/>
    <w:rsid w:val="00921BE8"/>
    <w:rsid w:val="009A1126"/>
    <w:rsid w:val="009E3E29"/>
    <w:rsid w:val="00A05661"/>
    <w:rsid w:val="00A10371"/>
    <w:rsid w:val="00A34426"/>
    <w:rsid w:val="00A72B37"/>
    <w:rsid w:val="00A80B5B"/>
    <w:rsid w:val="00A8123F"/>
    <w:rsid w:val="00AA670F"/>
    <w:rsid w:val="00AC280E"/>
    <w:rsid w:val="00AD2757"/>
    <w:rsid w:val="00AF1021"/>
    <w:rsid w:val="00B2785C"/>
    <w:rsid w:val="00B3071D"/>
    <w:rsid w:val="00B36A56"/>
    <w:rsid w:val="00B855CC"/>
    <w:rsid w:val="00BC6395"/>
    <w:rsid w:val="00C11597"/>
    <w:rsid w:val="00C42B41"/>
    <w:rsid w:val="00C45D11"/>
    <w:rsid w:val="00C60ECB"/>
    <w:rsid w:val="00CC3994"/>
    <w:rsid w:val="00CC79FF"/>
    <w:rsid w:val="00CD59F5"/>
    <w:rsid w:val="00D069DB"/>
    <w:rsid w:val="00D11A54"/>
    <w:rsid w:val="00D45A50"/>
    <w:rsid w:val="00D90C49"/>
    <w:rsid w:val="00DB3535"/>
    <w:rsid w:val="00DE0CC4"/>
    <w:rsid w:val="00DF591F"/>
    <w:rsid w:val="00E30AD9"/>
    <w:rsid w:val="00E34881"/>
    <w:rsid w:val="00E4063D"/>
    <w:rsid w:val="00E52CA6"/>
    <w:rsid w:val="00E805E4"/>
    <w:rsid w:val="00E87BDC"/>
    <w:rsid w:val="00ED33A2"/>
    <w:rsid w:val="00EF0864"/>
    <w:rsid w:val="00EF3016"/>
    <w:rsid w:val="00EF6D40"/>
    <w:rsid w:val="00F02748"/>
    <w:rsid w:val="00F12995"/>
    <w:rsid w:val="00F42573"/>
    <w:rsid w:val="00F46BAD"/>
    <w:rsid w:val="00F50CE2"/>
    <w:rsid w:val="00F72257"/>
    <w:rsid w:val="00F7374C"/>
    <w:rsid w:val="00F7498E"/>
    <w:rsid w:val="00FB073A"/>
    <w:rsid w:val="00FD6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71E6"/>
  <w15:docId w15:val="{E14004FD-7C1C-4EFB-AE31-1570D3CD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AF6"/>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1A2AF6"/>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1A2AF6"/>
    <w:rPr>
      <w:rFonts w:ascii="Times New Roman" w:eastAsia="Times New Roman" w:hAnsi="Times New Roman" w:cs="Times New Roman"/>
      <w:sz w:val="24"/>
      <w:szCs w:val="20"/>
      <w:lang w:eastAsia="pl-PL"/>
    </w:rPr>
  </w:style>
  <w:style w:type="paragraph" w:styleId="Nagwek">
    <w:name w:val="header"/>
    <w:basedOn w:val="Normalny"/>
    <w:link w:val="NagwekZnak"/>
    <w:semiHidden/>
    <w:rsid w:val="001A2AF6"/>
    <w:pPr>
      <w:tabs>
        <w:tab w:val="center" w:pos="4536"/>
        <w:tab w:val="right" w:pos="9866"/>
      </w:tabs>
    </w:pPr>
    <w:rPr>
      <w:rFonts w:ascii="Arial" w:hAnsi="Arial" w:cs="Arial"/>
      <w:sz w:val="20"/>
    </w:rPr>
  </w:style>
  <w:style w:type="character" w:customStyle="1" w:styleId="NagwekZnak">
    <w:name w:val="Nagłówek Znak"/>
    <w:basedOn w:val="Domylnaczcionkaakapitu"/>
    <w:link w:val="Nagwek"/>
    <w:semiHidden/>
    <w:rsid w:val="001A2AF6"/>
    <w:rPr>
      <w:rFonts w:ascii="Arial" w:eastAsia="Times New Roman" w:hAnsi="Arial" w:cs="Arial"/>
      <w:sz w:val="20"/>
      <w:szCs w:val="24"/>
      <w:lang w:eastAsia="pl-PL"/>
    </w:rPr>
  </w:style>
  <w:style w:type="paragraph" w:styleId="Stopka">
    <w:name w:val="footer"/>
    <w:basedOn w:val="Normalny"/>
    <w:link w:val="StopkaZnak"/>
    <w:uiPriority w:val="99"/>
    <w:rsid w:val="001A2AF6"/>
    <w:pPr>
      <w:tabs>
        <w:tab w:val="center" w:pos="4536"/>
        <w:tab w:val="right" w:pos="9072"/>
      </w:tabs>
    </w:pPr>
  </w:style>
  <w:style w:type="character" w:customStyle="1" w:styleId="StopkaZnak">
    <w:name w:val="Stopka Znak"/>
    <w:basedOn w:val="Domylnaczcionkaakapitu"/>
    <w:link w:val="Stopka"/>
    <w:uiPriority w:val="99"/>
    <w:rsid w:val="001A2AF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24931"/>
    <w:rPr>
      <w:sz w:val="16"/>
      <w:szCs w:val="16"/>
    </w:rPr>
  </w:style>
  <w:style w:type="paragraph" w:styleId="Tekstkomentarza">
    <w:name w:val="annotation text"/>
    <w:basedOn w:val="Normalny"/>
    <w:link w:val="TekstkomentarzaZnak"/>
    <w:uiPriority w:val="99"/>
    <w:semiHidden/>
    <w:unhideWhenUsed/>
    <w:rsid w:val="00824931"/>
    <w:rPr>
      <w:sz w:val="20"/>
      <w:szCs w:val="20"/>
    </w:rPr>
  </w:style>
  <w:style w:type="character" w:customStyle="1" w:styleId="TekstkomentarzaZnak">
    <w:name w:val="Tekst komentarza Znak"/>
    <w:basedOn w:val="Domylnaczcionkaakapitu"/>
    <w:link w:val="Tekstkomentarza"/>
    <w:uiPriority w:val="99"/>
    <w:semiHidden/>
    <w:rsid w:val="0082493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4931"/>
    <w:rPr>
      <w:b/>
      <w:bCs/>
    </w:rPr>
  </w:style>
  <w:style w:type="character" w:customStyle="1" w:styleId="TematkomentarzaZnak">
    <w:name w:val="Temat komentarza Znak"/>
    <w:basedOn w:val="TekstkomentarzaZnak"/>
    <w:link w:val="Tematkomentarza"/>
    <w:uiPriority w:val="99"/>
    <w:semiHidden/>
    <w:rsid w:val="0082493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24931"/>
    <w:rPr>
      <w:rFonts w:ascii="Tahoma" w:hAnsi="Tahoma" w:cs="Tahoma"/>
      <w:sz w:val="16"/>
      <w:szCs w:val="16"/>
    </w:rPr>
  </w:style>
  <w:style w:type="character" w:customStyle="1" w:styleId="TekstdymkaZnak">
    <w:name w:val="Tekst dymka Znak"/>
    <w:basedOn w:val="Domylnaczcionkaakapitu"/>
    <w:link w:val="Tekstdymka"/>
    <w:uiPriority w:val="99"/>
    <w:semiHidden/>
    <w:rsid w:val="00824931"/>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1238</Words>
  <Characters>7429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Seremet Ewelina</dc:creator>
  <cp:keywords/>
  <dc:description/>
  <cp:lastModifiedBy>Seremet Ewelina</cp:lastModifiedBy>
  <cp:revision>32</cp:revision>
  <cp:lastPrinted>2024-07-11T06:37:00Z</cp:lastPrinted>
  <dcterms:created xsi:type="dcterms:W3CDTF">2014-01-22T09:07:00Z</dcterms:created>
  <dcterms:modified xsi:type="dcterms:W3CDTF">2025-06-25T09:55:00Z</dcterms:modified>
</cp:coreProperties>
</file>