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tiff" ContentType="image/tiff"/>
  <Default Extension="xlsx" ContentType="application/vnd.openxmlformats-officedocument.spreadsheetml.sheet"/>
  <Default Extension="jpg" ContentType="image/jpeg"/>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diagrams/data4.xml" ContentType="application/vnd.openxmlformats-officedocument.drawingml.diagramData+xml"/>
  <Override PartName="/word/diagrams/layout4.xml" ContentType="application/vnd.openxmlformats-officedocument.drawingml.diagramLayout+xml"/>
  <Override PartName="/word/diagrams/quickStyle4.xml" ContentType="application/vnd.openxmlformats-officedocument.drawingml.diagramStyle+xml"/>
  <Override PartName="/word/diagrams/colors4.xml" ContentType="application/vnd.openxmlformats-officedocument.drawingml.diagramColors+xml"/>
  <Override PartName="/word/diagrams/drawing4.xml" ContentType="application/vnd.ms-office.drawingml.diagramDrawing+xml"/>
  <Override PartName="/word/charts/chart11.xml" ContentType="application/vnd.openxmlformats-officedocument.drawingml.chart+xml"/>
  <Override PartName="/word/charts/style11.xml" ContentType="application/vnd.ms-office.chartstyle+xml"/>
  <Override PartName="/word/charts/colors11.xml" ContentType="application/vnd.ms-office.chartcolorstyle+xml"/>
  <Override PartName="/word/charts/chart12.xml" ContentType="application/vnd.openxmlformats-officedocument.drawingml.chart+xml"/>
  <Override PartName="/word/charts/style12.xml" ContentType="application/vnd.ms-office.chartstyle+xml"/>
  <Override PartName="/word/charts/colors12.xml" ContentType="application/vnd.ms-office.chartcolorstyle+xml"/>
  <Override PartName="/word/charts/chart13.xml" ContentType="application/vnd.openxmlformats-officedocument.drawingml.chart+xml"/>
  <Override PartName="/word/charts/style13.xml" ContentType="application/vnd.ms-office.chartstyle+xml"/>
  <Override PartName="/word/charts/colors13.xml" ContentType="application/vnd.ms-office.chartcolorstyle+xml"/>
  <Override PartName="/word/charts/chart14.xml" ContentType="application/vnd.openxmlformats-officedocument.drawingml.chart+xml"/>
  <Override PartName="/word/charts/chart15.xml" ContentType="application/vnd.openxmlformats-officedocument.drawingml.chart+xml"/>
  <Override PartName="/word/charts/chart16.xml" ContentType="application/vnd.openxmlformats-officedocument.drawingml.chart+xml"/>
  <Override PartName="/word/charts/style14.xml" ContentType="application/vnd.ms-office.chartstyle+xml"/>
  <Override PartName="/word/charts/colors14.xml" ContentType="application/vnd.ms-office.chartcolorstyle+xml"/>
  <Override PartName="/word/theme/themeOverride1.xml" ContentType="application/vnd.openxmlformats-officedocument.themeOverride+xml"/>
  <Override PartName="/word/charts/chart17.xml" ContentType="application/vnd.openxmlformats-officedocument.drawingml.chart+xml"/>
  <Override PartName="/word/charts/chart18.xml" ContentType="application/vnd.openxmlformats-officedocument.drawingml.chart+xml"/>
  <Override PartName="/word/header3.xml" ContentType="application/vnd.openxmlformats-officedocument.wordprocessingml.header+xml"/>
  <Override PartName="/word/charts/chart19.xml" ContentType="application/vnd.openxmlformats-officedocument.drawingml.chart+xml"/>
  <Override PartName="/word/charts/style15.xml" ContentType="application/vnd.ms-office.chartstyle+xml"/>
  <Override PartName="/word/charts/colors15.xml" ContentType="application/vnd.ms-office.chartcolorstyle+xml"/>
  <Override PartName="/word/charts/chart20.xml" ContentType="application/vnd.openxmlformats-officedocument.drawingml.chart+xml"/>
  <Override PartName="/word/charts/style16.xml" ContentType="application/vnd.ms-office.chartstyle+xml"/>
  <Override PartName="/word/charts/colors16.xml" ContentType="application/vnd.ms-office.chartcolorstyle+xml"/>
  <Override PartName="/word/charts/chart21.xml" ContentType="application/vnd.openxmlformats-officedocument.drawingml.chart+xml"/>
  <Override PartName="/word/charts/style17.xml" ContentType="application/vnd.ms-office.chartstyle+xml"/>
  <Override PartName="/word/charts/colors17.xml" ContentType="application/vnd.ms-office.chartcolorstyle+xml"/>
  <Override PartName="/word/charts/chart22.xml" ContentType="application/vnd.openxmlformats-officedocument.drawingml.chart+xml"/>
  <Override PartName="/word/charts/style18.xml" ContentType="application/vnd.ms-office.chartstyle+xml"/>
  <Override PartName="/word/charts/colors18.xml" ContentType="application/vnd.ms-office.chartcolorstyle+xml"/>
  <Override PartName="/word/charts/chart23.xml" ContentType="application/vnd.openxmlformats-officedocument.drawingml.chart+xml"/>
  <Override PartName="/word/charts/style19.xml" ContentType="application/vnd.ms-office.chartstyle+xml"/>
  <Override PartName="/word/charts/colors19.xml" ContentType="application/vnd.ms-office.chartcolorstyle+xml"/>
  <Override PartName="/word/charts/chart24.xml" ContentType="application/vnd.openxmlformats-officedocument.drawingml.chart+xml"/>
  <Override PartName="/word/charts/style20.xml" ContentType="application/vnd.ms-office.chartstyle+xml"/>
  <Override PartName="/word/charts/colors20.xml" ContentType="application/vnd.ms-office.chartcolorstyle+xml"/>
  <Override PartName="/word/charts/chart25.xml" ContentType="application/vnd.openxmlformats-officedocument.drawingml.chart+xml"/>
  <Override PartName="/word/charts/style21.xml" ContentType="application/vnd.ms-office.chartstyle+xml"/>
  <Override PartName="/word/charts/colors21.xml" ContentType="application/vnd.ms-office.chartcolorstyle+xml"/>
  <Override PartName="/word/charts/chart26.xml" ContentType="application/vnd.openxmlformats-officedocument.drawingml.chart+xml"/>
  <Override PartName="/word/charts/style22.xml" ContentType="application/vnd.ms-office.chartstyle+xml"/>
  <Override PartName="/word/charts/colors22.xml" ContentType="application/vnd.ms-office.chartcolorstyle+xml"/>
  <Override PartName="/word/charts/chart27.xml" ContentType="application/vnd.openxmlformats-officedocument.drawingml.chart+xml"/>
  <Override PartName="/word/charts/style23.xml" ContentType="application/vnd.ms-office.chartstyle+xml"/>
  <Override PartName="/word/charts/colors23.xml" ContentType="application/vnd.ms-office.chartcolorstyle+xml"/>
  <Override PartName="/word/charts/chart28.xml" ContentType="application/vnd.openxmlformats-officedocument.drawingml.chart+xml"/>
  <Override PartName="/word/charts/style24.xml" ContentType="application/vnd.ms-office.chartstyle+xml"/>
  <Override PartName="/word/charts/colors24.xml" ContentType="application/vnd.ms-office.chartcolorstyle+xml"/>
  <Override PartName="/word/charts/chart29.xml" ContentType="application/vnd.openxmlformats-officedocument.drawingml.chart+xml"/>
  <Override PartName="/word/charts/style25.xml" ContentType="application/vnd.ms-office.chartstyle+xml"/>
  <Override PartName="/word/charts/colors25.xml" ContentType="application/vnd.ms-office.chartcolorstyle+xml"/>
  <Override PartName="/word/charts/chart30.xml" ContentType="application/vnd.openxmlformats-officedocument.drawingml.chart+xml"/>
  <Override PartName="/word/charts/style26.xml" ContentType="application/vnd.ms-office.chartstyle+xml"/>
  <Override PartName="/word/charts/colors26.xml" ContentType="application/vnd.ms-office.chartcolorstyle+xml"/>
  <Override PartName="/word/charts/chart31.xml" ContentType="application/vnd.openxmlformats-officedocument.drawingml.chart+xml"/>
  <Override PartName="/word/charts/style27.xml" ContentType="application/vnd.ms-office.chartstyle+xml"/>
  <Override PartName="/word/charts/colors27.xml" ContentType="application/vnd.ms-office.chartcolorstyle+xml"/>
  <Override PartName="/word/charts/chart32.xml" ContentType="application/vnd.openxmlformats-officedocument.drawingml.chart+xml"/>
  <Override PartName="/word/charts/style28.xml" ContentType="application/vnd.ms-office.chartstyle+xml"/>
  <Override PartName="/word/charts/colors28.xml" ContentType="application/vnd.ms-office.chartcolorstyle+xml"/>
  <Override PartName="/word/charts/chart33.xml" ContentType="application/vnd.openxmlformats-officedocument.drawingml.chart+xml"/>
  <Override PartName="/word/charts/style29.xml" ContentType="application/vnd.ms-office.chartstyle+xml"/>
  <Override PartName="/word/charts/colors29.xml" ContentType="application/vnd.ms-office.chartcolorstyle+xml"/>
  <Override PartName="/word/charts/chart34.xml" ContentType="application/vnd.openxmlformats-officedocument.drawingml.chart+xml"/>
  <Override PartName="/word/charts/style30.xml" ContentType="application/vnd.ms-office.chartstyle+xml"/>
  <Override PartName="/word/charts/colors30.xml" ContentType="application/vnd.ms-office.chartcolorstyle+xml"/>
  <Override PartName="/word/charts/chart35.xml" ContentType="application/vnd.openxmlformats-officedocument.drawingml.chart+xml"/>
  <Override PartName="/word/charts/style31.xml" ContentType="application/vnd.ms-office.chartstyle+xml"/>
  <Override PartName="/word/charts/colors31.xml" ContentType="application/vnd.ms-office.chartcolorstyle+xml"/>
  <Override PartName="/word/charts/chart36.xml" ContentType="application/vnd.openxmlformats-officedocument.drawingml.chart+xml"/>
  <Override PartName="/word/charts/style32.xml" ContentType="application/vnd.ms-office.chartstyle+xml"/>
  <Override PartName="/word/charts/colors32.xml" ContentType="application/vnd.ms-office.chartcolorstyle+xml"/>
  <Override PartName="/word/charts/chart37.xml" ContentType="application/vnd.openxmlformats-officedocument.drawingml.chart+xml"/>
  <Override PartName="/word/charts/style33.xml" ContentType="application/vnd.ms-office.chartstyle+xml"/>
  <Override PartName="/word/charts/colors33.xml" ContentType="application/vnd.ms-office.chartcolorstyle+xml"/>
  <Override PartName="/word/charts/chart38.xml" ContentType="application/vnd.openxmlformats-officedocument.drawingml.chart+xml"/>
  <Override PartName="/word/charts/style34.xml" ContentType="application/vnd.ms-office.chartstyle+xml"/>
  <Override PartName="/word/charts/colors34.xml" ContentType="application/vnd.ms-office.chartcolorstyle+xml"/>
  <Override PartName="/word/charts/chart39.xml" ContentType="application/vnd.openxmlformats-officedocument.drawingml.chart+xml"/>
  <Override PartName="/word/charts/style35.xml" ContentType="application/vnd.ms-office.chartstyle+xml"/>
  <Override PartName="/word/charts/colors35.xml" ContentType="application/vnd.ms-office.chartcolorstyle+xml"/>
  <Override PartName="/word/charts/chart40.xml" ContentType="application/vnd.openxmlformats-officedocument.drawingml.chart+xml"/>
  <Override PartName="/word/charts/style36.xml" ContentType="application/vnd.ms-office.chartstyle+xml"/>
  <Override PartName="/word/charts/colors36.xml" ContentType="application/vnd.ms-office.chartcolorstyl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ackground w:color="FFFFFF" w:themeColor="background1"/>
  <w:body>
    <w:p w14:paraId="6EB75929" w14:textId="07D43698" w:rsidR="00173DCB" w:rsidRPr="007B525B" w:rsidRDefault="00173DCB" w:rsidP="00613897">
      <w:pPr>
        <w:pStyle w:val="Bezodstpw"/>
        <w:spacing w:line="276" w:lineRule="auto"/>
        <w:ind w:left="567" w:right="498"/>
        <w:jc w:val="center"/>
        <w:rPr>
          <w:rFonts w:ascii="Arial" w:hAnsi="Arial" w:cs="Arial"/>
          <w:b/>
          <w:color w:val="000000"/>
          <w:sz w:val="24"/>
          <w:szCs w:val="24"/>
          <w:lang w:eastAsia="pl-PL"/>
        </w:rPr>
      </w:pPr>
      <w:bookmarkStart w:id="0" w:name="_GoBack"/>
      <w:bookmarkEnd w:id="0"/>
    </w:p>
    <w:p w14:paraId="0AE46FFC" w14:textId="77777777" w:rsidR="00173DCB" w:rsidRDefault="00173DCB" w:rsidP="00613897">
      <w:pPr>
        <w:pStyle w:val="Bezodstpw"/>
        <w:spacing w:line="276" w:lineRule="auto"/>
        <w:ind w:left="567" w:right="498"/>
        <w:jc w:val="center"/>
        <w:rPr>
          <w:rFonts w:ascii="Arial" w:hAnsi="Arial" w:cs="Arial"/>
          <w:b/>
          <w:color w:val="000000"/>
          <w:sz w:val="24"/>
          <w:szCs w:val="24"/>
          <w:lang w:eastAsia="pl-PL"/>
        </w:rPr>
      </w:pPr>
    </w:p>
    <w:p w14:paraId="019CB45A" w14:textId="77777777" w:rsidR="005B0E19" w:rsidRDefault="005B0E19" w:rsidP="00613897">
      <w:pPr>
        <w:pStyle w:val="Bezodstpw"/>
        <w:spacing w:line="276" w:lineRule="auto"/>
        <w:ind w:left="567" w:right="498"/>
        <w:jc w:val="center"/>
        <w:rPr>
          <w:rFonts w:ascii="Arial" w:hAnsi="Arial" w:cs="Arial"/>
          <w:b/>
          <w:color w:val="000000"/>
          <w:sz w:val="24"/>
          <w:szCs w:val="24"/>
          <w:lang w:eastAsia="pl-PL"/>
        </w:rPr>
      </w:pPr>
    </w:p>
    <w:p w14:paraId="615DAC24" w14:textId="77777777" w:rsidR="006C0201" w:rsidRPr="007B525B" w:rsidRDefault="006C0201" w:rsidP="00613897">
      <w:pPr>
        <w:pStyle w:val="Bezodstpw"/>
        <w:spacing w:line="276" w:lineRule="auto"/>
        <w:ind w:left="567" w:right="498"/>
        <w:jc w:val="center"/>
        <w:rPr>
          <w:rFonts w:ascii="Arial" w:hAnsi="Arial" w:cs="Arial"/>
          <w:b/>
          <w:color w:val="000000"/>
          <w:sz w:val="24"/>
          <w:szCs w:val="24"/>
          <w:lang w:eastAsia="pl-PL"/>
        </w:rPr>
      </w:pPr>
    </w:p>
    <w:p w14:paraId="196F02CA" w14:textId="34F133A2" w:rsidR="008A66EC" w:rsidRPr="00E23F2A" w:rsidRDefault="00CE0119" w:rsidP="003221DF">
      <w:pPr>
        <w:jc w:val="center"/>
        <w:rPr>
          <w:rFonts w:eastAsia="Times New Roman" w:cs="Cambria"/>
          <w:color w:val="000000"/>
          <w:sz w:val="22"/>
          <w:szCs w:val="24"/>
        </w:rPr>
      </w:pPr>
      <w:r w:rsidRPr="00E23F2A">
        <w:rPr>
          <w:rFonts w:cs="Arial"/>
          <w:b/>
          <w:sz w:val="40"/>
          <w:szCs w:val="44"/>
        </w:rPr>
        <w:t xml:space="preserve">KONCEPCJA </w:t>
      </w:r>
      <w:r w:rsidR="005B6D78" w:rsidRPr="00E23F2A">
        <w:rPr>
          <w:rFonts w:cs="Arial"/>
          <w:b/>
          <w:sz w:val="40"/>
          <w:szCs w:val="44"/>
        </w:rPr>
        <w:t>WSPAR</w:t>
      </w:r>
      <w:r w:rsidRPr="00E23F2A">
        <w:rPr>
          <w:rFonts w:cs="Arial"/>
          <w:b/>
          <w:sz w:val="40"/>
          <w:szCs w:val="44"/>
        </w:rPr>
        <w:t>CIA</w:t>
      </w:r>
      <w:r w:rsidR="005B6D78" w:rsidRPr="00E23F2A">
        <w:rPr>
          <w:rFonts w:cs="Arial"/>
          <w:b/>
          <w:sz w:val="40"/>
          <w:szCs w:val="44"/>
        </w:rPr>
        <w:t xml:space="preserve"> REGIONALNE</w:t>
      </w:r>
      <w:r w:rsidRPr="00E23F2A">
        <w:rPr>
          <w:rFonts w:cs="Arial"/>
          <w:b/>
          <w:sz w:val="40"/>
          <w:szCs w:val="44"/>
        </w:rPr>
        <w:t>GO</w:t>
      </w:r>
      <w:r w:rsidR="005B6D78" w:rsidRPr="00E23F2A">
        <w:rPr>
          <w:rFonts w:cs="Arial"/>
          <w:b/>
          <w:sz w:val="40"/>
          <w:szCs w:val="44"/>
        </w:rPr>
        <w:t xml:space="preserve"> </w:t>
      </w:r>
      <w:r w:rsidR="00710862" w:rsidRPr="00E23F2A">
        <w:rPr>
          <w:rFonts w:cs="Arial"/>
          <w:b/>
          <w:sz w:val="40"/>
          <w:szCs w:val="44"/>
        </w:rPr>
        <w:t>W </w:t>
      </w:r>
      <w:r w:rsidR="005B6D78" w:rsidRPr="00E23F2A">
        <w:rPr>
          <w:rFonts w:cs="Arial"/>
          <w:b/>
          <w:sz w:val="40"/>
          <w:szCs w:val="44"/>
        </w:rPr>
        <w:t>ZAKRESIE REALIZACJI G</w:t>
      </w:r>
      <w:r w:rsidRPr="00E23F2A">
        <w:rPr>
          <w:rFonts w:cs="Arial"/>
          <w:b/>
          <w:sz w:val="40"/>
          <w:szCs w:val="44"/>
        </w:rPr>
        <w:t xml:space="preserve">OSPODARKI </w:t>
      </w:r>
      <w:r w:rsidR="005B6D78" w:rsidRPr="00E23F2A">
        <w:rPr>
          <w:rFonts w:cs="Arial"/>
          <w:b/>
          <w:sz w:val="40"/>
          <w:szCs w:val="44"/>
        </w:rPr>
        <w:t>O</w:t>
      </w:r>
      <w:r w:rsidRPr="00E23F2A">
        <w:rPr>
          <w:rFonts w:cs="Arial"/>
          <w:b/>
          <w:sz w:val="40"/>
          <w:szCs w:val="44"/>
        </w:rPr>
        <w:t xml:space="preserve"> OBIEGU </w:t>
      </w:r>
      <w:r w:rsidR="005B6D78" w:rsidRPr="00E23F2A">
        <w:rPr>
          <w:rFonts w:cs="Arial"/>
          <w:b/>
          <w:sz w:val="40"/>
          <w:szCs w:val="44"/>
        </w:rPr>
        <w:t>Z</w:t>
      </w:r>
      <w:r w:rsidRPr="00E23F2A">
        <w:rPr>
          <w:rFonts w:cs="Arial"/>
          <w:b/>
          <w:sz w:val="40"/>
          <w:szCs w:val="44"/>
        </w:rPr>
        <w:t>AMKNIĘTYM</w:t>
      </w:r>
      <w:r w:rsidR="005B6D78" w:rsidRPr="00E23F2A">
        <w:rPr>
          <w:rFonts w:cs="Arial"/>
          <w:b/>
          <w:sz w:val="40"/>
          <w:szCs w:val="44"/>
        </w:rPr>
        <w:t xml:space="preserve"> </w:t>
      </w:r>
      <w:r w:rsidR="00710862" w:rsidRPr="00E23F2A">
        <w:rPr>
          <w:rFonts w:cs="Arial"/>
          <w:b/>
          <w:sz w:val="40"/>
          <w:szCs w:val="44"/>
        </w:rPr>
        <w:t>W </w:t>
      </w:r>
      <w:r w:rsidR="005B6D78" w:rsidRPr="00E23F2A">
        <w:rPr>
          <w:rFonts w:cs="Arial"/>
          <w:b/>
          <w:sz w:val="40"/>
          <w:szCs w:val="44"/>
        </w:rPr>
        <w:t>WOJEWÓDZTWIE WIELKOPOLSKIM</w:t>
      </w:r>
    </w:p>
    <w:p w14:paraId="52CABCD3" w14:textId="0F0137D0" w:rsidR="006C0201" w:rsidRPr="003478AF" w:rsidRDefault="006C0201" w:rsidP="00613897">
      <w:pPr>
        <w:rPr>
          <w:rFonts w:eastAsia="Times New Roman" w:cs="Cambria"/>
          <w:color w:val="000000"/>
          <w:sz w:val="24"/>
          <w:szCs w:val="24"/>
        </w:rPr>
      </w:pPr>
    </w:p>
    <w:p w14:paraId="3CC6D817" w14:textId="77777777" w:rsidR="00CE0119" w:rsidRPr="003478AF" w:rsidRDefault="00CE0119" w:rsidP="00613897">
      <w:pPr>
        <w:rPr>
          <w:rFonts w:eastAsia="Times New Roman" w:cs="Cambria"/>
          <w:color w:val="000000"/>
          <w:sz w:val="24"/>
          <w:szCs w:val="24"/>
        </w:rPr>
      </w:pPr>
    </w:p>
    <w:p w14:paraId="76F1FE34" w14:textId="7D8CA258" w:rsidR="005B6D78" w:rsidRPr="003478AF" w:rsidRDefault="005B6D78" w:rsidP="005B6D78">
      <w:pPr>
        <w:ind w:firstLine="0"/>
        <w:jc w:val="center"/>
        <w:rPr>
          <w:rFonts w:eastAsia="Arial" w:cs="Arial"/>
          <w:bCs/>
          <w:color w:val="000000" w:themeColor="text1"/>
          <w:szCs w:val="20"/>
          <w:lang w:eastAsia="pl-PL"/>
        </w:rPr>
      </w:pPr>
      <w:r w:rsidRPr="003478AF">
        <w:rPr>
          <w:rFonts w:eastAsia="Arial" w:cs="Arial"/>
          <w:bCs/>
          <w:color w:val="000000" w:themeColor="text1"/>
          <w:szCs w:val="20"/>
          <w:lang w:eastAsia="pl-PL"/>
        </w:rPr>
        <w:t>dr hab. Magdalena Wdowin, profesor instytutu</w:t>
      </w:r>
    </w:p>
    <w:p w14:paraId="178888FC" w14:textId="1A3B23E4" w:rsidR="005B6D78" w:rsidRPr="003478AF" w:rsidRDefault="005B6D78" w:rsidP="005B6D78">
      <w:pPr>
        <w:ind w:firstLine="0"/>
        <w:jc w:val="center"/>
        <w:rPr>
          <w:rFonts w:eastAsia="Arial" w:cs="Arial"/>
          <w:bCs/>
          <w:color w:val="000000" w:themeColor="text1"/>
          <w:szCs w:val="20"/>
          <w:lang w:eastAsia="pl-PL"/>
        </w:rPr>
      </w:pPr>
      <w:r w:rsidRPr="003478AF">
        <w:rPr>
          <w:rFonts w:eastAsia="Arial" w:cs="Arial"/>
          <w:bCs/>
          <w:color w:val="000000" w:themeColor="text1"/>
          <w:szCs w:val="20"/>
          <w:lang w:eastAsia="pl-PL"/>
        </w:rPr>
        <w:t>dr Renata Koneczna</w:t>
      </w:r>
      <w:r w:rsidR="005C20C5" w:rsidRPr="003478AF">
        <w:rPr>
          <w:rFonts w:eastAsia="Arial" w:cs="Arial"/>
          <w:bCs/>
          <w:color w:val="000000" w:themeColor="text1"/>
          <w:szCs w:val="20"/>
          <w:lang w:eastAsia="pl-PL"/>
        </w:rPr>
        <w:t xml:space="preserve"> </w:t>
      </w:r>
    </w:p>
    <w:p w14:paraId="39E5F8F0" w14:textId="77777777" w:rsidR="00C817F6" w:rsidRPr="003478AF" w:rsidRDefault="00C817F6" w:rsidP="00C817F6">
      <w:pPr>
        <w:ind w:firstLine="0"/>
        <w:jc w:val="center"/>
        <w:rPr>
          <w:rFonts w:eastAsia="Arial" w:cs="Arial"/>
          <w:bCs/>
          <w:color w:val="000000" w:themeColor="text1"/>
          <w:szCs w:val="20"/>
          <w:lang w:val="en-GB" w:eastAsia="pl-PL"/>
        </w:rPr>
      </w:pPr>
      <w:r w:rsidRPr="003478AF">
        <w:rPr>
          <w:rFonts w:eastAsia="Arial" w:cs="Arial"/>
          <w:bCs/>
          <w:color w:val="000000" w:themeColor="text1"/>
          <w:szCs w:val="20"/>
          <w:lang w:eastAsia="pl-PL"/>
        </w:rPr>
        <w:t xml:space="preserve">mgr inż. </w:t>
      </w:r>
      <w:r w:rsidRPr="003478AF">
        <w:rPr>
          <w:rFonts w:eastAsia="Arial" w:cs="Arial"/>
          <w:bCs/>
          <w:color w:val="000000" w:themeColor="text1"/>
          <w:szCs w:val="20"/>
          <w:lang w:val="en-GB" w:eastAsia="pl-PL"/>
        </w:rPr>
        <w:t>Justyna Cader</w:t>
      </w:r>
    </w:p>
    <w:p w14:paraId="6BFBE457" w14:textId="515B5B84" w:rsidR="005B6D78" w:rsidRPr="003478AF" w:rsidRDefault="005B6D78" w:rsidP="005B6D78">
      <w:pPr>
        <w:ind w:firstLine="0"/>
        <w:jc w:val="center"/>
        <w:rPr>
          <w:rFonts w:eastAsia="Arial" w:cs="Arial"/>
          <w:bCs/>
          <w:color w:val="000000" w:themeColor="text1"/>
          <w:szCs w:val="20"/>
          <w:lang w:val="en-GB" w:eastAsia="pl-PL"/>
        </w:rPr>
      </w:pPr>
      <w:r w:rsidRPr="003478AF">
        <w:rPr>
          <w:rFonts w:eastAsia="Arial" w:cs="Arial"/>
          <w:bCs/>
          <w:color w:val="000000" w:themeColor="text1"/>
          <w:szCs w:val="20"/>
          <w:lang w:val="en-GB" w:eastAsia="pl-PL"/>
        </w:rPr>
        <w:t>dr inż. Emil Hanc</w:t>
      </w:r>
    </w:p>
    <w:p w14:paraId="3973D1AC" w14:textId="77777777" w:rsidR="005B6D78" w:rsidRPr="003478AF" w:rsidRDefault="005B6D78" w:rsidP="005B6D78">
      <w:pPr>
        <w:ind w:firstLine="0"/>
        <w:jc w:val="center"/>
        <w:rPr>
          <w:rFonts w:eastAsia="Arial" w:cs="Arial"/>
          <w:bCs/>
          <w:color w:val="000000" w:themeColor="text1"/>
          <w:szCs w:val="20"/>
          <w:lang w:eastAsia="pl-PL"/>
        </w:rPr>
      </w:pPr>
      <w:r w:rsidRPr="003478AF">
        <w:rPr>
          <w:rFonts w:eastAsia="Arial" w:cs="Arial"/>
          <w:bCs/>
          <w:color w:val="000000" w:themeColor="text1"/>
          <w:szCs w:val="20"/>
          <w:lang w:val="en-GB" w:eastAsia="pl-PL"/>
        </w:rPr>
        <w:t xml:space="preserve">dr inż. </w:t>
      </w:r>
      <w:r w:rsidRPr="003478AF">
        <w:rPr>
          <w:rFonts w:eastAsia="Arial" w:cs="Arial"/>
          <w:bCs/>
          <w:color w:val="000000" w:themeColor="text1"/>
          <w:szCs w:val="20"/>
          <w:lang w:eastAsia="pl-PL"/>
        </w:rPr>
        <w:t>Piotr Olczak</w:t>
      </w:r>
    </w:p>
    <w:p w14:paraId="46BAC265" w14:textId="3C7464FC" w:rsidR="00732697" w:rsidRPr="003478AF" w:rsidRDefault="005B6D78" w:rsidP="005B6D78">
      <w:pPr>
        <w:ind w:firstLine="0"/>
        <w:jc w:val="center"/>
        <w:rPr>
          <w:rFonts w:eastAsia="Arial" w:cs="Arial"/>
          <w:bCs/>
          <w:color w:val="000000" w:themeColor="text1"/>
          <w:szCs w:val="20"/>
          <w:lang w:eastAsia="pl-PL"/>
        </w:rPr>
      </w:pPr>
      <w:r w:rsidRPr="003478AF">
        <w:rPr>
          <w:rFonts w:eastAsia="Arial" w:cs="Arial"/>
          <w:bCs/>
          <w:color w:val="000000" w:themeColor="text1"/>
          <w:szCs w:val="20"/>
          <w:lang w:eastAsia="pl-PL"/>
        </w:rPr>
        <w:t>mgr inż. Piotr Kunecki</w:t>
      </w:r>
      <w:r w:rsidR="006C0201" w:rsidRPr="003478AF">
        <w:rPr>
          <w:rFonts w:eastAsia="Arial" w:cs="Arial"/>
          <w:bCs/>
          <w:color w:val="000000" w:themeColor="text1"/>
          <w:szCs w:val="20"/>
          <w:lang w:eastAsia="pl-PL"/>
        </w:rPr>
        <w:t xml:space="preserve"> </w:t>
      </w:r>
    </w:p>
    <w:p w14:paraId="05C06B12" w14:textId="77777777" w:rsidR="005462A5" w:rsidRPr="003478AF" w:rsidRDefault="005462A5" w:rsidP="00613897">
      <w:pPr>
        <w:rPr>
          <w:rFonts w:eastAsia="Times New Roman" w:cs="Cambria"/>
          <w:color w:val="000000"/>
          <w:sz w:val="24"/>
          <w:szCs w:val="24"/>
        </w:rPr>
      </w:pPr>
    </w:p>
    <w:p w14:paraId="20D6BC63" w14:textId="77777777" w:rsidR="006C0201" w:rsidRPr="003478AF" w:rsidRDefault="006C0201" w:rsidP="00613897">
      <w:pPr>
        <w:rPr>
          <w:rFonts w:eastAsia="Times New Roman" w:cs="Cambria"/>
          <w:color w:val="000000"/>
          <w:sz w:val="24"/>
          <w:szCs w:val="24"/>
        </w:rPr>
      </w:pPr>
    </w:p>
    <w:p w14:paraId="6905DD3B" w14:textId="77777777" w:rsidR="00F06761" w:rsidRPr="003478AF" w:rsidRDefault="00F06761" w:rsidP="00613897">
      <w:pPr>
        <w:ind w:right="-92" w:firstLine="0"/>
        <w:jc w:val="center"/>
        <w:rPr>
          <w:rFonts w:eastAsia="Times New Roman" w:cs="Arial"/>
          <w:b/>
          <w:color w:val="000000"/>
          <w:sz w:val="28"/>
          <w:szCs w:val="28"/>
        </w:rPr>
      </w:pPr>
      <w:r w:rsidRPr="003478AF">
        <w:rPr>
          <w:rFonts w:eastAsia="Times New Roman" w:cs="Arial"/>
          <w:color w:val="000000"/>
          <w:sz w:val="28"/>
          <w:szCs w:val="28"/>
        </w:rPr>
        <w:t xml:space="preserve">Publikacja na podstawie ekspertyzy wykonanej na zlecenie </w:t>
      </w:r>
      <w:r w:rsidRPr="003478AF">
        <w:rPr>
          <w:rFonts w:eastAsia="Times New Roman" w:cs="Arial"/>
          <w:color w:val="000000"/>
          <w:sz w:val="28"/>
          <w:szCs w:val="28"/>
        </w:rPr>
        <w:br/>
      </w:r>
      <w:r w:rsidRPr="003478AF">
        <w:rPr>
          <w:rFonts w:eastAsia="Times New Roman" w:cs="Arial"/>
          <w:b/>
          <w:color w:val="000000"/>
          <w:sz w:val="28"/>
          <w:szCs w:val="28"/>
        </w:rPr>
        <w:t>Wielkopolskiego Regionalnego Obserwatorium Terytorialnego</w:t>
      </w:r>
    </w:p>
    <w:p w14:paraId="21051446" w14:textId="77777777" w:rsidR="00F06761" w:rsidRPr="003478AF" w:rsidRDefault="00F06761" w:rsidP="00613897">
      <w:pPr>
        <w:jc w:val="center"/>
        <w:rPr>
          <w:rFonts w:ascii="Cambria" w:eastAsia="Times New Roman" w:hAnsi="Cambria" w:cs="Cambria"/>
          <w:color w:val="000000"/>
        </w:rPr>
      </w:pPr>
    </w:p>
    <w:p w14:paraId="5AE79439" w14:textId="77777777" w:rsidR="00F06761" w:rsidRPr="003478AF" w:rsidRDefault="00F06761" w:rsidP="00613897">
      <w:pPr>
        <w:jc w:val="center"/>
        <w:rPr>
          <w:rFonts w:ascii="Cambria" w:eastAsia="Times New Roman" w:hAnsi="Cambria" w:cs="Cambria"/>
          <w:color w:val="000000"/>
        </w:rPr>
      </w:pPr>
      <w:r w:rsidRPr="003478AF">
        <w:rPr>
          <w:rFonts w:cs="Arial"/>
          <w:noProof/>
          <w:sz w:val="18"/>
          <w:szCs w:val="18"/>
          <w:lang w:eastAsia="pl-PL"/>
        </w:rPr>
        <w:drawing>
          <wp:inline distT="0" distB="0" distL="0" distR="0" wp14:anchorId="48FB5977" wp14:editId="6DA40E1B">
            <wp:extent cx="3420000" cy="1066800"/>
            <wp:effectExtent l="0" t="0" r="0" b="0"/>
            <wp:docPr id="36" name="Obraz 4" descr="Logotyp Wielkopolskiego Regionalnego Obserwatorium Terytorialnego"/>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Obraz 4"/>
                    <pic:cNvPicPr>
                      <a:picLocks noChangeArrowheads="1"/>
                    </pic:cNvPicPr>
                  </pic:nvPicPr>
                  <pic:blipFill>
                    <a:blip r:embed="rId11" cstate="print"/>
                    <a:srcRect/>
                    <a:stretch>
                      <a:fillRect/>
                    </a:stretch>
                  </pic:blipFill>
                  <pic:spPr bwMode="auto">
                    <a:xfrm>
                      <a:off x="0" y="0"/>
                      <a:ext cx="3420000" cy="1066800"/>
                    </a:xfrm>
                    <a:prstGeom prst="rect">
                      <a:avLst/>
                    </a:prstGeom>
                    <a:noFill/>
                    <a:ln w="9525">
                      <a:noFill/>
                      <a:miter lim="800000"/>
                      <a:headEnd/>
                      <a:tailEnd/>
                    </a:ln>
                  </pic:spPr>
                </pic:pic>
              </a:graphicData>
            </a:graphic>
          </wp:inline>
        </w:drawing>
      </w:r>
    </w:p>
    <w:p w14:paraId="15DE9AE5" w14:textId="0CBE50D7" w:rsidR="006C0201" w:rsidRPr="003478AF" w:rsidRDefault="006C0201" w:rsidP="00613897">
      <w:pPr>
        <w:ind w:left="567" w:right="498" w:firstLine="0"/>
        <w:jc w:val="center"/>
        <w:rPr>
          <w:rFonts w:eastAsia="Times New Roman" w:cs="Arial"/>
          <w:b/>
          <w:color w:val="000000"/>
          <w:sz w:val="24"/>
          <w:szCs w:val="24"/>
          <w:lang w:eastAsia="pl-PL"/>
        </w:rPr>
      </w:pPr>
    </w:p>
    <w:p w14:paraId="7C2FF608" w14:textId="43A00D6F" w:rsidR="00C977E8" w:rsidRPr="003478AF" w:rsidRDefault="00C977E8" w:rsidP="00613897">
      <w:pPr>
        <w:ind w:left="567" w:right="498" w:firstLine="0"/>
        <w:jc w:val="center"/>
        <w:rPr>
          <w:rFonts w:eastAsia="Times New Roman" w:cs="Arial"/>
          <w:b/>
          <w:color w:val="000000"/>
          <w:sz w:val="24"/>
          <w:szCs w:val="24"/>
          <w:lang w:eastAsia="pl-PL"/>
        </w:rPr>
      </w:pPr>
    </w:p>
    <w:p w14:paraId="6E302B1F" w14:textId="77777777" w:rsidR="00CE0119" w:rsidRPr="003478AF" w:rsidRDefault="00CE0119" w:rsidP="00613897">
      <w:pPr>
        <w:ind w:left="567" w:right="498" w:firstLine="0"/>
        <w:jc w:val="center"/>
        <w:rPr>
          <w:rFonts w:eastAsia="Times New Roman" w:cs="Arial"/>
          <w:b/>
          <w:color w:val="000000"/>
          <w:sz w:val="24"/>
          <w:szCs w:val="24"/>
          <w:lang w:eastAsia="pl-PL"/>
        </w:rPr>
      </w:pPr>
    </w:p>
    <w:p w14:paraId="73AA7446" w14:textId="77777777" w:rsidR="00CE0119" w:rsidRPr="003478AF" w:rsidRDefault="00CE0119" w:rsidP="00613897">
      <w:pPr>
        <w:ind w:left="567" w:right="498" w:firstLine="0"/>
        <w:jc w:val="center"/>
        <w:rPr>
          <w:rFonts w:eastAsia="Times New Roman" w:cs="Arial"/>
          <w:b/>
          <w:color w:val="000000"/>
          <w:sz w:val="24"/>
          <w:szCs w:val="24"/>
          <w:lang w:eastAsia="pl-PL"/>
        </w:rPr>
      </w:pPr>
    </w:p>
    <w:p w14:paraId="17E8FCBD" w14:textId="77777777" w:rsidR="006C0201" w:rsidRPr="003478AF" w:rsidRDefault="006C0201" w:rsidP="00613897">
      <w:pPr>
        <w:ind w:left="567" w:right="498" w:firstLine="0"/>
        <w:jc w:val="center"/>
        <w:rPr>
          <w:rFonts w:eastAsia="Times New Roman" w:cs="Arial"/>
          <w:b/>
          <w:color w:val="000000"/>
          <w:sz w:val="24"/>
          <w:szCs w:val="24"/>
          <w:lang w:eastAsia="pl-PL"/>
        </w:rPr>
      </w:pPr>
    </w:p>
    <w:p w14:paraId="6034A551" w14:textId="40A6B61D" w:rsidR="00732697" w:rsidRPr="003478AF" w:rsidRDefault="00173DCB" w:rsidP="00732697">
      <w:pPr>
        <w:ind w:firstLine="0"/>
        <w:jc w:val="center"/>
        <w:rPr>
          <w:rFonts w:eastAsia="Arial" w:cs="Arial"/>
          <w:b/>
          <w:bCs/>
          <w:color w:val="000000" w:themeColor="text1"/>
          <w:szCs w:val="20"/>
          <w:lang w:eastAsia="pl-PL"/>
        </w:rPr>
      </w:pPr>
      <w:r w:rsidRPr="003478AF">
        <w:rPr>
          <w:rFonts w:eastAsia="Arial" w:cs="Arial"/>
          <w:b/>
          <w:bCs/>
          <w:color w:val="000000" w:themeColor="text1"/>
          <w:szCs w:val="20"/>
          <w:lang w:eastAsia="pl-PL"/>
        </w:rPr>
        <w:t xml:space="preserve">Projekt finansowany przez Unię Europejską z Europejskiego Funduszu Społecznego </w:t>
      </w:r>
      <w:r w:rsidRPr="003478AF">
        <w:rPr>
          <w:rFonts w:cs="Arial"/>
        </w:rPr>
        <w:br/>
      </w:r>
      <w:r w:rsidRPr="003478AF">
        <w:rPr>
          <w:rFonts w:eastAsia="Arial" w:cs="Arial"/>
          <w:b/>
          <w:bCs/>
          <w:color w:val="000000" w:themeColor="text1"/>
          <w:szCs w:val="20"/>
          <w:lang w:eastAsia="pl-PL"/>
        </w:rPr>
        <w:t>i Samorząd Województwa Wielkopolskiego w ramach Wielkopolskiego Regionalnego Programu Operacyjnego na lata 2014-2020</w:t>
      </w:r>
      <w:r w:rsidR="00732697" w:rsidRPr="003478AF">
        <w:rPr>
          <w:rFonts w:eastAsia="Arial" w:cs="Arial"/>
          <w:b/>
          <w:bCs/>
          <w:color w:val="000000" w:themeColor="text1"/>
          <w:szCs w:val="20"/>
          <w:lang w:eastAsia="pl-PL"/>
        </w:rPr>
        <w:br w:type="page"/>
      </w:r>
    </w:p>
    <w:p w14:paraId="5EB6F947" w14:textId="77777777" w:rsidR="00732697" w:rsidRPr="003478AF" w:rsidRDefault="00732697" w:rsidP="00732697">
      <w:pPr>
        <w:spacing w:line="240" w:lineRule="auto"/>
        <w:rPr>
          <w:rFonts w:eastAsia="Times New Roman" w:cs="Arial"/>
          <w:b/>
          <w:szCs w:val="20"/>
        </w:rPr>
      </w:pPr>
    </w:p>
    <w:p w14:paraId="2C86055E" w14:textId="77777777" w:rsidR="00732697" w:rsidRPr="003478AF" w:rsidRDefault="00732697" w:rsidP="00732697">
      <w:pPr>
        <w:spacing w:line="240" w:lineRule="auto"/>
        <w:ind w:firstLine="0"/>
        <w:rPr>
          <w:rFonts w:eastAsia="Times New Roman" w:cs="Arial"/>
          <w:b/>
          <w:sz w:val="22"/>
          <w:szCs w:val="20"/>
        </w:rPr>
      </w:pPr>
      <w:r w:rsidRPr="003478AF">
        <w:rPr>
          <w:rFonts w:eastAsia="Times New Roman" w:cs="Arial"/>
          <w:b/>
          <w:sz w:val="22"/>
          <w:szCs w:val="20"/>
        </w:rPr>
        <w:t>Wykonawca:</w:t>
      </w:r>
    </w:p>
    <w:p w14:paraId="2665DB75" w14:textId="619DE08D" w:rsidR="00732697" w:rsidRPr="003478AF" w:rsidRDefault="004F5438" w:rsidP="005B6D78">
      <w:pPr>
        <w:spacing w:line="240" w:lineRule="auto"/>
        <w:ind w:firstLine="0"/>
        <w:rPr>
          <w:rFonts w:eastAsia="Times New Roman" w:cs="Arial"/>
          <w:szCs w:val="20"/>
        </w:rPr>
      </w:pPr>
      <w:r w:rsidRPr="003478AF">
        <w:rPr>
          <w:rFonts w:eastAsia="Times New Roman" w:cs="Arial"/>
          <w:szCs w:val="20"/>
        </w:rPr>
        <w:t>Instytut Gospodarki Surowcami Mineralnymi i Energią PAN</w:t>
      </w:r>
    </w:p>
    <w:p w14:paraId="00BC76B7" w14:textId="41DF6D50" w:rsidR="00A34BDB" w:rsidRPr="003478AF" w:rsidRDefault="00A34BDB" w:rsidP="005B6D78">
      <w:pPr>
        <w:spacing w:line="240" w:lineRule="auto"/>
        <w:ind w:firstLine="0"/>
        <w:rPr>
          <w:rFonts w:eastAsia="Times New Roman" w:cs="Arial"/>
          <w:szCs w:val="20"/>
        </w:rPr>
      </w:pPr>
      <w:r w:rsidRPr="003478AF">
        <w:rPr>
          <w:rFonts w:eastAsia="Times New Roman" w:cs="Arial"/>
          <w:szCs w:val="20"/>
        </w:rPr>
        <w:t>ul. Wybickiego 7A</w:t>
      </w:r>
    </w:p>
    <w:p w14:paraId="3EAE4FAE" w14:textId="401AAE76" w:rsidR="00F41836" w:rsidRPr="003478AF" w:rsidRDefault="00F41836" w:rsidP="005B6D78">
      <w:pPr>
        <w:spacing w:line="240" w:lineRule="auto"/>
        <w:ind w:firstLine="0"/>
        <w:rPr>
          <w:rFonts w:eastAsia="Times New Roman" w:cs="Arial"/>
          <w:szCs w:val="20"/>
        </w:rPr>
      </w:pPr>
      <w:r w:rsidRPr="003478AF">
        <w:rPr>
          <w:rFonts w:eastAsia="Times New Roman" w:cs="Arial"/>
          <w:szCs w:val="20"/>
        </w:rPr>
        <w:t>31-261 Kraków</w:t>
      </w:r>
    </w:p>
    <w:p w14:paraId="2CA0E535" w14:textId="77777777" w:rsidR="00732697" w:rsidRPr="003478AF" w:rsidRDefault="00732697" w:rsidP="00732697">
      <w:pPr>
        <w:spacing w:line="288" w:lineRule="auto"/>
        <w:ind w:firstLine="0"/>
        <w:rPr>
          <w:rFonts w:eastAsia="Times New Roman" w:cs="Arial"/>
          <w:b/>
          <w:sz w:val="22"/>
          <w:szCs w:val="20"/>
        </w:rPr>
      </w:pPr>
    </w:p>
    <w:p w14:paraId="3385E398" w14:textId="77777777" w:rsidR="00732697" w:rsidRPr="003478AF" w:rsidRDefault="00732697" w:rsidP="00732697">
      <w:pPr>
        <w:spacing w:line="288" w:lineRule="auto"/>
        <w:ind w:firstLine="0"/>
        <w:rPr>
          <w:rFonts w:eastAsia="Times New Roman" w:cs="Arial"/>
          <w:b/>
          <w:sz w:val="22"/>
          <w:szCs w:val="20"/>
        </w:rPr>
      </w:pPr>
      <w:r w:rsidRPr="003478AF">
        <w:rPr>
          <w:rFonts w:eastAsia="Times New Roman" w:cs="Arial"/>
          <w:b/>
          <w:sz w:val="22"/>
          <w:szCs w:val="20"/>
        </w:rPr>
        <w:t>Zamawiający:</w:t>
      </w:r>
    </w:p>
    <w:p w14:paraId="327900AE" w14:textId="77777777" w:rsidR="00732697" w:rsidRPr="003478AF" w:rsidRDefault="00732697" w:rsidP="00732697">
      <w:pPr>
        <w:spacing w:line="240" w:lineRule="auto"/>
        <w:ind w:firstLine="0"/>
        <w:rPr>
          <w:rFonts w:eastAsia="Times New Roman" w:cs="Arial"/>
          <w:szCs w:val="20"/>
        </w:rPr>
      </w:pPr>
      <w:r w:rsidRPr="003478AF">
        <w:rPr>
          <w:rFonts w:eastAsia="Times New Roman" w:cs="Arial"/>
          <w:szCs w:val="20"/>
        </w:rPr>
        <w:t>Wielkopolskie Regionalne Obserwatorium Terytorialne</w:t>
      </w:r>
    </w:p>
    <w:p w14:paraId="671BF178" w14:textId="77777777" w:rsidR="00732697" w:rsidRPr="003478AF" w:rsidRDefault="00732697" w:rsidP="00732697">
      <w:pPr>
        <w:spacing w:line="240" w:lineRule="auto"/>
        <w:ind w:firstLine="0"/>
        <w:rPr>
          <w:rFonts w:eastAsia="Times New Roman" w:cs="Arial"/>
          <w:szCs w:val="20"/>
        </w:rPr>
      </w:pPr>
      <w:r w:rsidRPr="003478AF">
        <w:rPr>
          <w:rFonts w:eastAsia="Times New Roman" w:cs="Arial"/>
          <w:szCs w:val="20"/>
        </w:rPr>
        <w:t>Departament Polityki Regionalnej</w:t>
      </w:r>
    </w:p>
    <w:p w14:paraId="360B75C4" w14:textId="77777777" w:rsidR="00732697" w:rsidRPr="003478AF" w:rsidRDefault="00732697" w:rsidP="00732697">
      <w:pPr>
        <w:spacing w:line="240" w:lineRule="auto"/>
        <w:ind w:firstLine="0"/>
        <w:rPr>
          <w:rFonts w:eastAsia="Times New Roman" w:cs="Arial"/>
          <w:szCs w:val="20"/>
        </w:rPr>
      </w:pPr>
      <w:r w:rsidRPr="003478AF">
        <w:rPr>
          <w:rFonts w:eastAsia="Times New Roman" w:cs="Arial"/>
          <w:szCs w:val="20"/>
        </w:rPr>
        <w:t xml:space="preserve">Urząd Marszałkowski Województwa Wielkopolskiego </w:t>
      </w:r>
    </w:p>
    <w:p w14:paraId="46973E10" w14:textId="399C5678" w:rsidR="00F41836" w:rsidRPr="003478AF" w:rsidRDefault="00732697" w:rsidP="00F41836">
      <w:pPr>
        <w:spacing w:line="240" w:lineRule="auto"/>
        <w:ind w:firstLine="0"/>
        <w:rPr>
          <w:rFonts w:eastAsia="Times New Roman" w:cs="Arial"/>
          <w:szCs w:val="20"/>
        </w:rPr>
      </w:pPr>
      <w:r w:rsidRPr="003478AF">
        <w:rPr>
          <w:rFonts w:eastAsia="Times New Roman" w:cs="Arial"/>
          <w:szCs w:val="20"/>
        </w:rPr>
        <w:t xml:space="preserve">al. </w:t>
      </w:r>
      <w:r w:rsidR="00F41836" w:rsidRPr="003478AF">
        <w:rPr>
          <w:rFonts w:eastAsia="Times New Roman" w:cs="Arial"/>
          <w:szCs w:val="20"/>
        </w:rPr>
        <w:t>Niepodległości</w:t>
      </w:r>
      <w:r w:rsidRPr="003478AF">
        <w:rPr>
          <w:rFonts w:eastAsia="Times New Roman" w:cs="Arial"/>
          <w:szCs w:val="20"/>
        </w:rPr>
        <w:t xml:space="preserve"> 34</w:t>
      </w:r>
    </w:p>
    <w:p w14:paraId="70B1ACA1" w14:textId="5BABEEE4" w:rsidR="00732697" w:rsidRPr="003478AF" w:rsidRDefault="00732697" w:rsidP="00F41836">
      <w:pPr>
        <w:spacing w:line="240" w:lineRule="auto"/>
        <w:ind w:firstLine="0"/>
        <w:rPr>
          <w:rFonts w:eastAsia="Times New Roman" w:cs="Arial"/>
          <w:szCs w:val="20"/>
        </w:rPr>
      </w:pPr>
      <w:r w:rsidRPr="003478AF">
        <w:rPr>
          <w:rFonts w:eastAsia="Times New Roman" w:cs="Arial"/>
          <w:szCs w:val="20"/>
        </w:rPr>
        <w:t>61-754 Poznań</w:t>
      </w:r>
    </w:p>
    <w:p w14:paraId="6DF88A66" w14:textId="77777777" w:rsidR="00F41836" w:rsidRPr="003478AF" w:rsidRDefault="00F41836" w:rsidP="00F41836">
      <w:pPr>
        <w:spacing w:line="240" w:lineRule="auto"/>
        <w:ind w:firstLine="0"/>
        <w:rPr>
          <w:rFonts w:eastAsia="Times New Roman" w:cs="Arial"/>
          <w:szCs w:val="20"/>
        </w:rPr>
      </w:pPr>
    </w:p>
    <w:p w14:paraId="6B3880D1" w14:textId="77777777" w:rsidR="00732697" w:rsidRPr="003478AF" w:rsidRDefault="00732697" w:rsidP="00732697">
      <w:pPr>
        <w:pStyle w:val="Stopka"/>
        <w:spacing w:after="200" w:line="276" w:lineRule="auto"/>
        <w:ind w:firstLine="0"/>
        <w:rPr>
          <w:rFonts w:cs="Arial"/>
          <w:sz w:val="18"/>
          <w:szCs w:val="18"/>
        </w:rPr>
      </w:pPr>
      <w:r w:rsidRPr="003478AF">
        <w:rPr>
          <w:rFonts w:cs="Arial"/>
          <w:noProof/>
          <w:sz w:val="18"/>
          <w:szCs w:val="18"/>
          <w:lang w:eastAsia="pl-PL"/>
        </w:rPr>
        <w:drawing>
          <wp:inline distT="0" distB="0" distL="0" distR="0" wp14:anchorId="49BE26E2" wp14:editId="1EE6765C">
            <wp:extent cx="3420000" cy="1008000"/>
            <wp:effectExtent l="0" t="0" r="0" b="1905"/>
            <wp:docPr id="21" name="Obraz 4" descr="Logotyp Wielkopolskiego Regionalnego Obserwatorium Terytorialnego"/>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Obraz 4"/>
                    <pic:cNvPicPr>
                      <a:picLocks noChangeArrowheads="1"/>
                    </pic:cNvPicPr>
                  </pic:nvPicPr>
                  <pic:blipFill>
                    <a:blip r:embed="rId11" cstate="print"/>
                    <a:srcRect/>
                    <a:stretch>
                      <a:fillRect/>
                    </a:stretch>
                  </pic:blipFill>
                  <pic:spPr bwMode="auto">
                    <a:xfrm>
                      <a:off x="0" y="0"/>
                      <a:ext cx="3420000" cy="1008000"/>
                    </a:xfrm>
                    <a:prstGeom prst="rect">
                      <a:avLst/>
                    </a:prstGeom>
                    <a:noFill/>
                    <a:ln w="9525">
                      <a:noFill/>
                      <a:miter lim="800000"/>
                      <a:headEnd/>
                      <a:tailEnd/>
                    </a:ln>
                  </pic:spPr>
                </pic:pic>
              </a:graphicData>
            </a:graphic>
          </wp:inline>
        </w:drawing>
      </w:r>
    </w:p>
    <w:p w14:paraId="71B2B427" w14:textId="77777777" w:rsidR="00732697" w:rsidRPr="003478AF" w:rsidRDefault="00732697" w:rsidP="00732697">
      <w:pPr>
        <w:ind w:firstLine="0"/>
        <w:rPr>
          <w:rFonts w:cs="Arial"/>
          <w:b/>
          <w:szCs w:val="20"/>
        </w:rPr>
      </w:pPr>
    </w:p>
    <w:p w14:paraId="7E11C070" w14:textId="77777777" w:rsidR="00732697" w:rsidRPr="003478AF" w:rsidRDefault="00732697" w:rsidP="00732697">
      <w:pPr>
        <w:spacing w:line="240" w:lineRule="auto"/>
        <w:jc w:val="center"/>
        <w:rPr>
          <w:rFonts w:eastAsia="Times New Roman" w:cs="Arial"/>
          <w:szCs w:val="20"/>
        </w:rPr>
      </w:pPr>
    </w:p>
    <w:p w14:paraId="1DA26343" w14:textId="77777777" w:rsidR="00C977E8" w:rsidRPr="003478AF" w:rsidRDefault="00C977E8" w:rsidP="00C977E8">
      <w:pPr>
        <w:spacing w:line="240" w:lineRule="auto"/>
        <w:ind w:firstLine="0"/>
        <w:jc w:val="left"/>
        <w:rPr>
          <w:rFonts w:eastAsia="Times New Roman" w:cs="Arial"/>
          <w:b/>
          <w:szCs w:val="20"/>
        </w:rPr>
      </w:pPr>
      <w:r w:rsidRPr="003478AF">
        <w:rPr>
          <w:rFonts w:eastAsia="Times New Roman" w:cs="Arial"/>
          <w:b/>
          <w:szCs w:val="20"/>
        </w:rPr>
        <w:t>ISBN: 978-83-64765-30-8</w:t>
      </w:r>
    </w:p>
    <w:p w14:paraId="0A108A2B" w14:textId="77777777" w:rsidR="00732697" w:rsidRPr="003478AF" w:rsidRDefault="00732697" w:rsidP="00732697">
      <w:pPr>
        <w:spacing w:line="240" w:lineRule="auto"/>
        <w:jc w:val="center"/>
        <w:rPr>
          <w:rFonts w:eastAsia="Times New Roman" w:cs="Arial"/>
          <w:szCs w:val="20"/>
        </w:rPr>
      </w:pPr>
    </w:p>
    <w:p w14:paraId="3791424D" w14:textId="77777777" w:rsidR="00732697" w:rsidRPr="003478AF" w:rsidRDefault="00732697" w:rsidP="00732697">
      <w:pPr>
        <w:spacing w:line="240" w:lineRule="auto"/>
        <w:jc w:val="center"/>
        <w:rPr>
          <w:rFonts w:eastAsia="Times New Roman" w:cs="Arial"/>
          <w:szCs w:val="20"/>
        </w:rPr>
      </w:pPr>
    </w:p>
    <w:p w14:paraId="5AA96408" w14:textId="77777777" w:rsidR="0053626B" w:rsidRPr="003478AF" w:rsidRDefault="0053626B" w:rsidP="00732697">
      <w:pPr>
        <w:spacing w:line="240" w:lineRule="auto"/>
        <w:jc w:val="center"/>
        <w:rPr>
          <w:rFonts w:eastAsia="Times New Roman" w:cs="Arial"/>
          <w:szCs w:val="20"/>
        </w:rPr>
      </w:pPr>
    </w:p>
    <w:p w14:paraId="2F6F5B80" w14:textId="77777777" w:rsidR="0053626B" w:rsidRPr="003478AF" w:rsidRDefault="0053626B" w:rsidP="00732697">
      <w:pPr>
        <w:spacing w:line="240" w:lineRule="auto"/>
        <w:jc w:val="center"/>
        <w:rPr>
          <w:rFonts w:eastAsia="Times New Roman" w:cs="Arial"/>
          <w:szCs w:val="20"/>
        </w:rPr>
      </w:pPr>
    </w:p>
    <w:p w14:paraId="5E161A1C" w14:textId="77777777" w:rsidR="0053626B" w:rsidRPr="003478AF" w:rsidRDefault="0053626B" w:rsidP="00732697">
      <w:pPr>
        <w:spacing w:line="240" w:lineRule="auto"/>
        <w:jc w:val="center"/>
        <w:rPr>
          <w:rFonts w:eastAsia="Times New Roman" w:cs="Arial"/>
          <w:szCs w:val="20"/>
        </w:rPr>
      </w:pPr>
    </w:p>
    <w:p w14:paraId="10F4917F" w14:textId="77777777" w:rsidR="0053626B" w:rsidRPr="003478AF" w:rsidRDefault="0053626B" w:rsidP="00732697">
      <w:pPr>
        <w:spacing w:line="240" w:lineRule="auto"/>
        <w:jc w:val="center"/>
        <w:rPr>
          <w:rFonts w:eastAsia="Times New Roman" w:cs="Arial"/>
          <w:szCs w:val="20"/>
        </w:rPr>
      </w:pPr>
    </w:p>
    <w:p w14:paraId="117E6924" w14:textId="77777777" w:rsidR="00FB25CE" w:rsidRPr="003478AF" w:rsidRDefault="00FB25CE" w:rsidP="00732697">
      <w:pPr>
        <w:spacing w:line="240" w:lineRule="auto"/>
        <w:jc w:val="center"/>
        <w:rPr>
          <w:rFonts w:eastAsia="Times New Roman" w:cs="Arial"/>
          <w:szCs w:val="20"/>
        </w:rPr>
      </w:pPr>
    </w:p>
    <w:p w14:paraId="39943FCD" w14:textId="77777777" w:rsidR="00FB25CE" w:rsidRPr="003478AF" w:rsidRDefault="00FB25CE" w:rsidP="00732697">
      <w:pPr>
        <w:spacing w:line="240" w:lineRule="auto"/>
        <w:jc w:val="center"/>
        <w:rPr>
          <w:rFonts w:eastAsia="Times New Roman" w:cs="Arial"/>
          <w:szCs w:val="20"/>
        </w:rPr>
      </w:pPr>
    </w:p>
    <w:p w14:paraId="07607E62" w14:textId="77777777" w:rsidR="00FB25CE" w:rsidRPr="003478AF" w:rsidRDefault="00FB25CE" w:rsidP="00732697">
      <w:pPr>
        <w:spacing w:line="240" w:lineRule="auto"/>
        <w:jc w:val="center"/>
        <w:rPr>
          <w:rFonts w:eastAsia="Times New Roman" w:cs="Arial"/>
          <w:szCs w:val="20"/>
        </w:rPr>
      </w:pPr>
    </w:p>
    <w:p w14:paraId="1BDD2017" w14:textId="77777777" w:rsidR="00FB25CE" w:rsidRPr="003478AF" w:rsidRDefault="00FB25CE" w:rsidP="00732697">
      <w:pPr>
        <w:spacing w:line="240" w:lineRule="auto"/>
        <w:jc w:val="center"/>
        <w:rPr>
          <w:rFonts w:eastAsia="Times New Roman" w:cs="Arial"/>
          <w:szCs w:val="20"/>
        </w:rPr>
      </w:pPr>
    </w:p>
    <w:p w14:paraId="0D24C576" w14:textId="77777777" w:rsidR="00FB25CE" w:rsidRPr="003478AF" w:rsidRDefault="00FB25CE" w:rsidP="00732697">
      <w:pPr>
        <w:spacing w:line="240" w:lineRule="auto"/>
        <w:jc w:val="center"/>
        <w:rPr>
          <w:rFonts w:eastAsia="Times New Roman" w:cs="Arial"/>
          <w:szCs w:val="20"/>
        </w:rPr>
      </w:pPr>
    </w:p>
    <w:p w14:paraId="56B7EEB2" w14:textId="77777777" w:rsidR="00FB25CE" w:rsidRPr="003478AF" w:rsidRDefault="00FB25CE" w:rsidP="00732697">
      <w:pPr>
        <w:spacing w:line="240" w:lineRule="auto"/>
        <w:jc w:val="center"/>
        <w:rPr>
          <w:rFonts w:eastAsia="Times New Roman" w:cs="Arial"/>
          <w:szCs w:val="20"/>
        </w:rPr>
      </w:pPr>
    </w:p>
    <w:p w14:paraId="694D10A8" w14:textId="77777777" w:rsidR="00FB25CE" w:rsidRPr="003478AF" w:rsidRDefault="00FB25CE" w:rsidP="00732697">
      <w:pPr>
        <w:spacing w:line="240" w:lineRule="auto"/>
        <w:jc w:val="center"/>
        <w:rPr>
          <w:rFonts w:eastAsia="Times New Roman" w:cs="Arial"/>
          <w:szCs w:val="20"/>
        </w:rPr>
      </w:pPr>
    </w:p>
    <w:p w14:paraId="4C84EFBF" w14:textId="77777777" w:rsidR="00FB25CE" w:rsidRPr="003478AF" w:rsidRDefault="00FB25CE" w:rsidP="00732697">
      <w:pPr>
        <w:spacing w:line="240" w:lineRule="auto"/>
        <w:jc w:val="center"/>
        <w:rPr>
          <w:rFonts w:eastAsia="Times New Roman" w:cs="Arial"/>
          <w:szCs w:val="20"/>
        </w:rPr>
      </w:pPr>
    </w:p>
    <w:p w14:paraId="22EE4FC0" w14:textId="77777777" w:rsidR="00FB25CE" w:rsidRPr="003478AF" w:rsidRDefault="00FB25CE" w:rsidP="00732697">
      <w:pPr>
        <w:spacing w:line="240" w:lineRule="auto"/>
        <w:jc w:val="center"/>
        <w:rPr>
          <w:rFonts w:eastAsia="Times New Roman" w:cs="Arial"/>
          <w:szCs w:val="20"/>
        </w:rPr>
      </w:pPr>
    </w:p>
    <w:p w14:paraId="7168A945" w14:textId="77777777" w:rsidR="00FB25CE" w:rsidRPr="003478AF" w:rsidRDefault="00FB25CE" w:rsidP="00732697">
      <w:pPr>
        <w:spacing w:line="240" w:lineRule="auto"/>
        <w:jc w:val="center"/>
        <w:rPr>
          <w:rFonts w:eastAsia="Times New Roman" w:cs="Arial"/>
          <w:szCs w:val="20"/>
        </w:rPr>
      </w:pPr>
    </w:p>
    <w:p w14:paraId="5732C243" w14:textId="77777777" w:rsidR="00FB25CE" w:rsidRPr="003478AF" w:rsidRDefault="00FB25CE" w:rsidP="00732697">
      <w:pPr>
        <w:spacing w:line="240" w:lineRule="auto"/>
        <w:jc w:val="center"/>
        <w:rPr>
          <w:rFonts w:eastAsia="Times New Roman" w:cs="Arial"/>
          <w:szCs w:val="20"/>
        </w:rPr>
      </w:pPr>
    </w:p>
    <w:p w14:paraId="51536A77" w14:textId="77777777" w:rsidR="00FB25CE" w:rsidRPr="003478AF" w:rsidRDefault="00FB25CE" w:rsidP="00732697">
      <w:pPr>
        <w:spacing w:line="240" w:lineRule="auto"/>
        <w:jc w:val="center"/>
        <w:rPr>
          <w:rFonts w:eastAsia="Times New Roman" w:cs="Arial"/>
          <w:szCs w:val="20"/>
        </w:rPr>
      </w:pPr>
    </w:p>
    <w:p w14:paraId="0828472D" w14:textId="77777777" w:rsidR="0053626B" w:rsidRPr="003478AF" w:rsidRDefault="0053626B" w:rsidP="00732697">
      <w:pPr>
        <w:spacing w:line="240" w:lineRule="auto"/>
        <w:jc w:val="center"/>
        <w:rPr>
          <w:rFonts w:eastAsia="Times New Roman" w:cs="Arial"/>
          <w:szCs w:val="20"/>
        </w:rPr>
      </w:pPr>
    </w:p>
    <w:p w14:paraId="0C3F4B10" w14:textId="013A214B" w:rsidR="00732697" w:rsidRPr="003478AF" w:rsidRDefault="00732697" w:rsidP="00732697">
      <w:pPr>
        <w:spacing w:line="240" w:lineRule="auto"/>
        <w:jc w:val="center"/>
        <w:rPr>
          <w:rFonts w:eastAsia="Times New Roman" w:cs="Arial"/>
          <w:szCs w:val="20"/>
        </w:rPr>
      </w:pPr>
    </w:p>
    <w:p w14:paraId="1E91AC11" w14:textId="692FC4B1" w:rsidR="00CE0119" w:rsidRPr="003478AF" w:rsidRDefault="00CE0119" w:rsidP="00732697">
      <w:pPr>
        <w:spacing w:line="240" w:lineRule="auto"/>
        <w:jc w:val="center"/>
        <w:rPr>
          <w:rFonts w:eastAsia="Times New Roman" w:cs="Arial"/>
          <w:szCs w:val="20"/>
        </w:rPr>
      </w:pPr>
    </w:p>
    <w:p w14:paraId="75B30F04" w14:textId="519D188A" w:rsidR="00C977E8" w:rsidRPr="003478AF" w:rsidRDefault="00C977E8" w:rsidP="00732697">
      <w:pPr>
        <w:spacing w:line="240" w:lineRule="auto"/>
        <w:jc w:val="center"/>
        <w:rPr>
          <w:rFonts w:eastAsia="Times New Roman" w:cs="Arial"/>
          <w:szCs w:val="20"/>
        </w:rPr>
      </w:pPr>
    </w:p>
    <w:p w14:paraId="732F63C0" w14:textId="77777777" w:rsidR="00732697" w:rsidRPr="003478AF" w:rsidRDefault="00732697" w:rsidP="00732697">
      <w:pPr>
        <w:spacing w:line="240" w:lineRule="auto"/>
        <w:jc w:val="center"/>
        <w:rPr>
          <w:rFonts w:eastAsia="Times New Roman" w:cs="Arial"/>
          <w:szCs w:val="20"/>
        </w:rPr>
      </w:pPr>
    </w:p>
    <w:p w14:paraId="7C12ACC4" w14:textId="77777777" w:rsidR="00732697" w:rsidRPr="003478AF" w:rsidRDefault="00732697" w:rsidP="00732697">
      <w:pPr>
        <w:spacing w:line="240" w:lineRule="auto"/>
        <w:jc w:val="center"/>
        <w:rPr>
          <w:rFonts w:eastAsia="Times New Roman" w:cs="Arial"/>
          <w:szCs w:val="20"/>
        </w:rPr>
      </w:pPr>
    </w:p>
    <w:p w14:paraId="737ACA52" w14:textId="77777777" w:rsidR="00E8640F" w:rsidRPr="003478AF" w:rsidRDefault="00E8640F" w:rsidP="00732697">
      <w:pPr>
        <w:spacing w:line="240" w:lineRule="auto"/>
        <w:jc w:val="center"/>
        <w:rPr>
          <w:rFonts w:eastAsia="Times New Roman" w:cs="Arial"/>
          <w:szCs w:val="20"/>
        </w:rPr>
      </w:pPr>
    </w:p>
    <w:p w14:paraId="48B09404" w14:textId="77777777" w:rsidR="00732697" w:rsidRPr="003478AF" w:rsidRDefault="00732697" w:rsidP="00732697">
      <w:pPr>
        <w:spacing w:line="240" w:lineRule="auto"/>
        <w:jc w:val="center"/>
        <w:rPr>
          <w:rFonts w:eastAsia="Times New Roman" w:cs="Arial"/>
          <w:szCs w:val="20"/>
        </w:rPr>
      </w:pPr>
    </w:p>
    <w:p w14:paraId="392B2A68" w14:textId="671E7B4A" w:rsidR="00732697" w:rsidRPr="003478AF" w:rsidRDefault="00732697" w:rsidP="00732697">
      <w:pPr>
        <w:contextualSpacing/>
        <w:jc w:val="center"/>
        <w:rPr>
          <w:rFonts w:eastAsia="Arial" w:cs="Arial"/>
        </w:rPr>
      </w:pPr>
      <w:r w:rsidRPr="003478AF">
        <w:rPr>
          <w:rFonts w:cs="Arial"/>
          <w:szCs w:val="20"/>
        </w:rPr>
        <w:t xml:space="preserve">Poznań, </w:t>
      </w:r>
      <w:r w:rsidR="00E341FC" w:rsidRPr="003478AF">
        <w:rPr>
          <w:rFonts w:cs="Arial"/>
          <w:szCs w:val="20"/>
        </w:rPr>
        <w:t>lipiec</w:t>
      </w:r>
      <w:r w:rsidR="00E341FC" w:rsidRPr="003478AF">
        <w:rPr>
          <w:rFonts w:eastAsia="Arial" w:cs="Arial"/>
        </w:rPr>
        <w:t xml:space="preserve"> </w:t>
      </w:r>
      <w:r w:rsidRPr="003478AF">
        <w:rPr>
          <w:rFonts w:eastAsia="Arial" w:cs="Arial"/>
        </w:rPr>
        <w:t>202</w:t>
      </w:r>
      <w:r w:rsidR="006C0201" w:rsidRPr="003478AF">
        <w:rPr>
          <w:rFonts w:eastAsia="Arial" w:cs="Arial"/>
        </w:rPr>
        <w:t>1</w:t>
      </w:r>
      <w:r w:rsidR="00FE614B" w:rsidRPr="003478AF">
        <w:rPr>
          <w:rFonts w:eastAsia="Arial" w:cs="Arial"/>
        </w:rPr>
        <w:t> r.</w:t>
      </w:r>
      <w:r w:rsidRPr="003478AF">
        <w:rPr>
          <w:rFonts w:eastAsia="Arial" w:cs="Arial"/>
        </w:rPr>
        <w:br w:type="page"/>
      </w:r>
    </w:p>
    <w:p w14:paraId="2005A6C8" w14:textId="77777777" w:rsidR="00C977E8" w:rsidRPr="003478AF" w:rsidRDefault="00C977E8" w:rsidP="00C977E8">
      <w:bookmarkStart w:id="1" w:name="_Toc71719625"/>
      <w:bookmarkStart w:id="2" w:name="_Hlk77113011"/>
    </w:p>
    <w:p w14:paraId="4806A029" w14:textId="0A815E27" w:rsidR="00E8640F" w:rsidRPr="003478AF" w:rsidRDefault="00E8640F" w:rsidP="00E6136F">
      <w:pPr>
        <w:jc w:val="center"/>
        <w:rPr>
          <w:b/>
          <w:bCs/>
          <w:color w:val="00007E"/>
          <w:sz w:val="22"/>
        </w:rPr>
      </w:pPr>
      <w:r w:rsidRPr="003478AF">
        <w:rPr>
          <w:b/>
          <w:bCs/>
          <w:color w:val="00007E"/>
          <w:sz w:val="22"/>
        </w:rPr>
        <w:t>Spis treści</w:t>
      </w:r>
      <w:bookmarkEnd w:id="1"/>
    </w:p>
    <w:sdt>
      <w:sdtPr>
        <w:rPr>
          <w:rFonts w:ascii="Arial" w:hAnsi="Arial" w:cs="Arial"/>
          <w:b w:val="0"/>
          <w:bCs w:val="0"/>
          <w:caps/>
          <w:smallCaps w:val="0"/>
          <w:noProof/>
          <w:sz w:val="20"/>
          <w:szCs w:val="20"/>
        </w:rPr>
        <w:id w:val="1329174302"/>
        <w:docPartObj>
          <w:docPartGallery w:val="Table of Contents"/>
          <w:docPartUnique/>
        </w:docPartObj>
      </w:sdtPr>
      <w:sdtEndPr>
        <w:rPr>
          <w:rFonts w:cstheme="minorHAnsi"/>
          <w:caps w:val="0"/>
          <w:szCs w:val="22"/>
        </w:rPr>
      </w:sdtEndPr>
      <w:sdtContent>
        <w:p w14:paraId="4F102FEE" w14:textId="407D5474" w:rsidR="00903FE7" w:rsidRPr="003478AF" w:rsidRDefault="00853059">
          <w:pPr>
            <w:pStyle w:val="Spistreci2"/>
            <w:rPr>
              <w:rFonts w:eastAsiaTheme="minorEastAsia" w:cstheme="minorBidi"/>
              <w:b w:val="0"/>
              <w:bCs w:val="0"/>
              <w:smallCaps w:val="0"/>
              <w:noProof/>
              <w:lang w:eastAsia="pl-PL"/>
            </w:rPr>
          </w:pPr>
          <w:r w:rsidRPr="003478AF">
            <w:rPr>
              <w:rFonts w:cs="Arial"/>
              <w:b w:val="0"/>
              <w:bCs w:val="0"/>
              <w:szCs w:val="20"/>
            </w:rPr>
            <w:fldChar w:fldCharType="begin"/>
          </w:r>
          <w:r w:rsidRPr="003478AF">
            <w:rPr>
              <w:rFonts w:cs="Arial"/>
              <w:b w:val="0"/>
              <w:bCs w:val="0"/>
              <w:szCs w:val="20"/>
            </w:rPr>
            <w:instrText xml:space="preserve"> TOC \o "1-3" \h \z \u </w:instrText>
          </w:r>
          <w:r w:rsidRPr="003478AF">
            <w:rPr>
              <w:rFonts w:cs="Arial"/>
              <w:b w:val="0"/>
              <w:bCs w:val="0"/>
              <w:szCs w:val="20"/>
            </w:rPr>
            <w:fldChar w:fldCharType="separate"/>
          </w:r>
          <w:hyperlink w:anchor="_Toc82159975" w:history="1">
            <w:r w:rsidR="00903FE7" w:rsidRPr="003478AF">
              <w:rPr>
                <w:rStyle w:val="Hipercze"/>
                <w:b w:val="0"/>
                <w:noProof/>
              </w:rPr>
              <w:t>Indeks skrótowców</w:t>
            </w:r>
            <w:r w:rsidR="00903FE7" w:rsidRPr="003478AF">
              <w:rPr>
                <w:b w:val="0"/>
                <w:noProof/>
                <w:webHidden/>
              </w:rPr>
              <w:tab/>
            </w:r>
            <w:r w:rsidR="00903FE7" w:rsidRPr="003478AF">
              <w:rPr>
                <w:b w:val="0"/>
                <w:noProof/>
                <w:webHidden/>
              </w:rPr>
              <w:fldChar w:fldCharType="begin"/>
            </w:r>
            <w:r w:rsidR="00903FE7" w:rsidRPr="003478AF">
              <w:rPr>
                <w:b w:val="0"/>
                <w:noProof/>
                <w:webHidden/>
              </w:rPr>
              <w:instrText xml:space="preserve"> PAGEREF _Toc82159975 \h </w:instrText>
            </w:r>
            <w:r w:rsidR="00903FE7" w:rsidRPr="003478AF">
              <w:rPr>
                <w:b w:val="0"/>
                <w:noProof/>
                <w:webHidden/>
              </w:rPr>
            </w:r>
            <w:r w:rsidR="00903FE7" w:rsidRPr="003478AF">
              <w:rPr>
                <w:b w:val="0"/>
                <w:noProof/>
                <w:webHidden/>
              </w:rPr>
              <w:fldChar w:fldCharType="separate"/>
            </w:r>
            <w:r w:rsidR="007B1066">
              <w:rPr>
                <w:b w:val="0"/>
                <w:noProof/>
                <w:webHidden/>
              </w:rPr>
              <w:t>5</w:t>
            </w:r>
            <w:r w:rsidR="00903FE7" w:rsidRPr="003478AF">
              <w:rPr>
                <w:b w:val="0"/>
                <w:noProof/>
                <w:webHidden/>
              </w:rPr>
              <w:fldChar w:fldCharType="end"/>
            </w:r>
          </w:hyperlink>
        </w:p>
        <w:p w14:paraId="3B0BAA42" w14:textId="2CD6CD03" w:rsidR="00903FE7" w:rsidRPr="003478AF" w:rsidRDefault="00770903">
          <w:pPr>
            <w:pStyle w:val="Spistreci2"/>
            <w:rPr>
              <w:rFonts w:eastAsiaTheme="minorEastAsia" w:cstheme="minorBidi"/>
              <w:b w:val="0"/>
              <w:bCs w:val="0"/>
              <w:smallCaps w:val="0"/>
              <w:noProof/>
              <w:lang w:eastAsia="pl-PL"/>
            </w:rPr>
          </w:pPr>
          <w:hyperlink w:anchor="_Toc82159976" w:history="1">
            <w:r w:rsidR="00903FE7" w:rsidRPr="003478AF">
              <w:rPr>
                <w:rStyle w:val="Hipercze"/>
                <w:b w:val="0"/>
                <w:noProof/>
              </w:rPr>
              <w:t>Wstęp</w:t>
            </w:r>
            <w:r w:rsidR="00903FE7" w:rsidRPr="003478AF">
              <w:rPr>
                <w:b w:val="0"/>
                <w:noProof/>
                <w:webHidden/>
              </w:rPr>
              <w:tab/>
            </w:r>
            <w:r w:rsidR="00903FE7" w:rsidRPr="003478AF">
              <w:rPr>
                <w:b w:val="0"/>
                <w:noProof/>
                <w:webHidden/>
              </w:rPr>
              <w:fldChar w:fldCharType="begin"/>
            </w:r>
            <w:r w:rsidR="00903FE7" w:rsidRPr="003478AF">
              <w:rPr>
                <w:b w:val="0"/>
                <w:noProof/>
                <w:webHidden/>
              </w:rPr>
              <w:instrText xml:space="preserve"> PAGEREF _Toc82159976 \h </w:instrText>
            </w:r>
            <w:r w:rsidR="00903FE7" w:rsidRPr="003478AF">
              <w:rPr>
                <w:b w:val="0"/>
                <w:noProof/>
                <w:webHidden/>
              </w:rPr>
            </w:r>
            <w:r w:rsidR="00903FE7" w:rsidRPr="003478AF">
              <w:rPr>
                <w:b w:val="0"/>
                <w:noProof/>
                <w:webHidden/>
              </w:rPr>
              <w:fldChar w:fldCharType="separate"/>
            </w:r>
            <w:r w:rsidR="007B1066">
              <w:rPr>
                <w:b w:val="0"/>
                <w:noProof/>
                <w:webHidden/>
              </w:rPr>
              <w:t>6</w:t>
            </w:r>
            <w:r w:rsidR="00903FE7" w:rsidRPr="003478AF">
              <w:rPr>
                <w:b w:val="0"/>
                <w:noProof/>
                <w:webHidden/>
              </w:rPr>
              <w:fldChar w:fldCharType="end"/>
            </w:r>
          </w:hyperlink>
        </w:p>
        <w:p w14:paraId="498F8164" w14:textId="253EADC8" w:rsidR="00903FE7" w:rsidRPr="003478AF" w:rsidRDefault="00770903">
          <w:pPr>
            <w:pStyle w:val="Spistreci1"/>
            <w:rPr>
              <w:rFonts w:asciiTheme="minorHAnsi" w:eastAsiaTheme="minorEastAsia" w:hAnsiTheme="minorHAnsi" w:cstheme="minorBidi"/>
              <w:b w:val="0"/>
              <w:bCs w:val="0"/>
              <w:sz w:val="22"/>
              <w:lang w:eastAsia="pl-PL"/>
            </w:rPr>
          </w:pPr>
          <w:hyperlink w:anchor="_Toc82159977" w:history="1">
            <w:r w:rsidR="00903FE7" w:rsidRPr="003478AF">
              <w:rPr>
                <w:rStyle w:val="Hipercze"/>
                <w:b w:val="0"/>
              </w:rPr>
              <w:t>1.</w:t>
            </w:r>
            <w:r w:rsidR="00903FE7" w:rsidRPr="003478AF">
              <w:rPr>
                <w:rFonts w:asciiTheme="minorHAnsi" w:eastAsiaTheme="minorEastAsia" w:hAnsiTheme="minorHAnsi" w:cstheme="minorBidi"/>
                <w:b w:val="0"/>
                <w:bCs w:val="0"/>
                <w:sz w:val="22"/>
                <w:lang w:eastAsia="pl-PL"/>
              </w:rPr>
              <w:tab/>
            </w:r>
            <w:r w:rsidR="00903FE7" w:rsidRPr="003478AF">
              <w:rPr>
                <w:rStyle w:val="Hipercze"/>
                <w:b w:val="0"/>
              </w:rPr>
              <w:t>Charakterystyka województwa</w:t>
            </w:r>
            <w:r w:rsidR="00903FE7" w:rsidRPr="003478AF">
              <w:rPr>
                <w:rStyle w:val="Hipercze"/>
                <w:b w:val="0"/>
                <w:vertAlign w:val="superscript"/>
              </w:rPr>
              <w:t>,</w:t>
            </w:r>
            <w:r w:rsidR="00903FE7" w:rsidRPr="003478AF">
              <w:rPr>
                <w:b w:val="0"/>
                <w:webHidden/>
              </w:rPr>
              <w:tab/>
            </w:r>
            <w:r w:rsidR="00903FE7" w:rsidRPr="003478AF">
              <w:rPr>
                <w:b w:val="0"/>
                <w:webHidden/>
              </w:rPr>
              <w:fldChar w:fldCharType="begin"/>
            </w:r>
            <w:r w:rsidR="00903FE7" w:rsidRPr="003478AF">
              <w:rPr>
                <w:b w:val="0"/>
                <w:webHidden/>
              </w:rPr>
              <w:instrText xml:space="preserve"> PAGEREF _Toc82159977 \h </w:instrText>
            </w:r>
            <w:r w:rsidR="00903FE7" w:rsidRPr="003478AF">
              <w:rPr>
                <w:b w:val="0"/>
                <w:webHidden/>
              </w:rPr>
            </w:r>
            <w:r w:rsidR="00903FE7" w:rsidRPr="003478AF">
              <w:rPr>
                <w:b w:val="0"/>
                <w:webHidden/>
              </w:rPr>
              <w:fldChar w:fldCharType="separate"/>
            </w:r>
            <w:r w:rsidR="007B1066">
              <w:rPr>
                <w:b w:val="0"/>
                <w:webHidden/>
              </w:rPr>
              <w:t>8</w:t>
            </w:r>
            <w:r w:rsidR="00903FE7" w:rsidRPr="003478AF">
              <w:rPr>
                <w:b w:val="0"/>
                <w:webHidden/>
              </w:rPr>
              <w:fldChar w:fldCharType="end"/>
            </w:r>
          </w:hyperlink>
        </w:p>
        <w:p w14:paraId="2163A3E2" w14:textId="690E783C" w:rsidR="00903FE7" w:rsidRPr="003478AF" w:rsidRDefault="00770903">
          <w:pPr>
            <w:pStyle w:val="Spistreci2"/>
            <w:rPr>
              <w:rFonts w:eastAsiaTheme="minorEastAsia" w:cstheme="minorBidi"/>
              <w:b w:val="0"/>
              <w:bCs w:val="0"/>
              <w:smallCaps w:val="0"/>
              <w:noProof/>
              <w:lang w:eastAsia="pl-PL"/>
            </w:rPr>
          </w:pPr>
          <w:hyperlink w:anchor="_Toc82159978" w:history="1">
            <w:r w:rsidR="00903FE7" w:rsidRPr="003478AF">
              <w:rPr>
                <w:rStyle w:val="Hipercze"/>
                <w:b w:val="0"/>
                <w:noProof/>
              </w:rPr>
              <w:t>1.1. Dane ogólne</w:t>
            </w:r>
            <w:r w:rsidR="00903FE7" w:rsidRPr="003478AF">
              <w:rPr>
                <w:b w:val="0"/>
                <w:noProof/>
                <w:webHidden/>
              </w:rPr>
              <w:tab/>
            </w:r>
            <w:r w:rsidR="00903FE7" w:rsidRPr="003478AF">
              <w:rPr>
                <w:b w:val="0"/>
                <w:noProof/>
                <w:webHidden/>
              </w:rPr>
              <w:fldChar w:fldCharType="begin"/>
            </w:r>
            <w:r w:rsidR="00903FE7" w:rsidRPr="003478AF">
              <w:rPr>
                <w:b w:val="0"/>
                <w:noProof/>
                <w:webHidden/>
              </w:rPr>
              <w:instrText xml:space="preserve"> PAGEREF _Toc82159978 \h </w:instrText>
            </w:r>
            <w:r w:rsidR="00903FE7" w:rsidRPr="003478AF">
              <w:rPr>
                <w:b w:val="0"/>
                <w:noProof/>
                <w:webHidden/>
              </w:rPr>
            </w:r>
            <w:r w:rsidR="00903FE7" w:rsidRPr="003478AF">
              <w:rPr>
                <w:b w:val="0"/>
                <w:noProof/>
                <w:webHidden/>
              </w:rPr>
              <w:fldChar w:fldCharType="separate"/>
            </w:r>
            <w:r w:rsidR="007B1066">
              <w:rPr>
                <w:b w:val="0"/>
                <w:noProof/>
                <w:webHidden/>
              </w:rPr>
              <w:t>8</w:t>
            </w:r>
            <w:r w:rsidR="00903FE7" w:rsidRPr="003478AF">
              <w:rPr>
                <w:b w:val="0"/>
                <w:noProof/>
                <w:webHidden/>
              </w:rPr>
              <w:fldChar w:fldCharType="end"/>
            </w:r>
          </w:hyperlink>
        </w:p>
        <w:p w14:paraId="0692E4AE" w14:textId="637C8BAD" w:rsidR="00903FE7" w:rsidRPr="003478AF" w:rsidRDefault="00770903">
          <w:pPr>
            <w:pStyle w:val="Spistreci2"/>
            <w:rPr>
              <w:rFonts w:eastAsiaTheme="minorEastAsia" w:cstheme="minorBidi"/>
              <w:b w:val="0"/>
              <w:bCs w:val="0"/>
              <w:smallCaps w:val="0"/>
              <w:noProof/>
              <w:lang w:eastAsia="pl-PL"/>
            </w:rPr>
          </w:pPr>
          <w:hyperlink w:anchor="_Toc82159979" w:history="1">
            <w:r w:rsidR="00903FE7" w:rsidRPr="003478AF">
              <w:rPr>
                <w:rStyle w:val="Hipercze"/>
                <w:b w:val="0"/>
                <w:noProof/>
              </w:rPr>
              <w:t>1.2. Ludność</w:t>
            </w:r>
            <w:r w:rsidR="00903FE7" w:rsidRPr="003478AF">
              <w:rPr>
                <w:b w:val="0"/>
                <w:noProof/>
                <w:webHidden/>
              </w:rPr>
              <w:tab/>
            </w:r>
            <w:r w:rsidR="00903FE7" w:rsidRPr="003478AF">
              <w:rPr>
                <w:b w:val="0"/>
                <w:noProof/>
                <w:webHidden/>
              </w:rPr>
              <w:fldChar w:fldCharType="begin"/>
            </w:r>
            <w:r w:rsidR="00903FE7" w:rsidRPr="003478AF">
              <w:rPr>
                <w:b w:val="0"/>
                <w:noProof/>
                <w:webHidden/>
              </w:rPr>
              <w:instrText xml:space="preserve"> PAGEREF _Toc82159979 \h </w:instrText>
            </w:r>
            <w:r w:rsidR="00903FE7" w:rsidRPr="003478AF">
              <w:rPr>
                <w:b w:val="0"/>
                <w:noProof/>
                <w:webHidden/>
              </w:rPr>
            </w:r>
            <w:r w:rsidR="00903FE7" w:rsidRPr="003478AF">
              <w:rPr>
                <w:b w:val="0"/>
                <w:noProof/>
                <w:webHidden/>
              </w:rPr>
              <w:fldChar w:fldCharType="separate"/>
            </w:r>
            <w:r w:rsidR="007B1066">
              <w:rPr>
                <w:b w:val="0"/>
                <w:noProof/>
                <w:webHidden/>
              </w:rPr>
              <w:t>8</w:t>
            </w:r>
            <w:r w:rsidR="00903FE7" w:rsidRPr="003478AF">
              <w:rPr>
                <w:b w:val="0"/>
                <w:noProof/>
                <w:webHidden/>
              </w:rPr>
              <w:fldChar w:fldCharType="end"/>
            </w:r>
          </w:hyperlink>
        </w:p>
        <w:p w14:paraId="4C5B96F1" w14:textId="02D78B43" w:rsidR="00903FE7" w:rsidRPr="003478AF" w:rsidRDefault="00770903">
          <w:pPr>
            <w:pStyle w:val="Spistreci2"/>
            <w:rPr>
              <w:rFonts w:eastAsiaTheme="minorEastAsia" w:cstheme="minorBidi"/>
              <w:b w:val="0"/>
              <w:bCs w:val="0"/>
              <w:smallCaps w:val="0"/>
              <w:noProof/>
              <w:lang w:eastAsia="pl-PL"/>
            </w:rPr>
          </w:pPr>
          <w:hyperlink w:anchor="_Toc82159980" w:history="1">
            <w:r w:rsidR="00903FE7" w:rsidRPr="003478AF">
              <w:rPr>
                <w:rStyle w:val="Hipercze"/>
                <w:b w:val="0"/>
                <w:noProof/>
              </w:rPr>
              <w:t>1.3. Infrastruktura</w:t>
            </w:r>
            <w:r w:rsidR="00903FE7" w:rsidRPr="003478AF">
              <w:rPr>
                <w:b w:val="0"/>
                <w:noProof/>
                <w:webHidden/>
              </w:rPr>
              <w:tab/>
            </w:r>
            <w:r w:rsidR="00903FE7" w:rsidRPr="003478AF">
              <w:rPr>
                <w:b w:val="0"/>
                <w:noProof/>
                <w:webHidden/>
              </w:rPr>
              <w:fldChar w:fldCharType="begin"/>
            </w:r>
            <w:r w:rsidR="00903FE7" w:rsidRPr="003478AF">
              <w:rPr>
                <w:b w:val="0"/>
                <w:noProof/>
                <w:webHidden/>
              </w:rPr>
              <w:instrText xml:space="preserve"> PAGEREF _Toc82159980 \h </w:instrText>
            </w:r>
            <w:r w:rsidR="00903FE7" w:rsidRPr="003478AF">
              <w:rPr>
                <w:b w:val="0"/>
                <w:noProof/>
                <w:webHidden/>
              </w:rPr>
            </w:r>
            <w:r w:rsidR="00903FE7" w:rsidRPr="003478AF">
              <w:rPr>
                <w:b w:val="0"/>
                <w:noProof/>
                <w:webHidden/>
              </w:rPr>
              <w:fldChar w:fldCharType="separate"/>
            </w:r>
            <w:r w:rsidR="007B1066">
              <w:rPr>
                <w:b w:val="0"/>
                <w:noProof/>
                <w:webHidden/>
              </w:rPr>
              <w:t>9</w:t>
            </w:r>
            <w:r w:rsidR="00903FE7" w:rsidRPr="003478AF">
              <w:rPr>
                <w:b w:val="0"/>
                <w:noProof/>
                <w:webHidden/>
              </w:rPr>
              <w:fldChar w:fldCharType="end"/>
            </w:r>
          </w:hyperlink>
        </w:p>
        <w:p w14:paraId="70BA6A13" w14:textId="64692ED2" w:rsidR="00903FE7" w:rsidRPr="003478AF" w:rsidRDefault="00770903">
          <w:pPr>
            <w:pStyle w:val="Spistreci2"/>
            <w:rPr>
              <w:rFonts w:eastAsiaTheme="minorEastAsia" w:cstheme="minorBidi"/>
              <w:b w:val="0"/>
              <w:bCs w:val="0"/>
              <w:smallCaps w:val="0"/>
              <w:noProof/>
              <w:lang w:eastAsia="pl-PL"/>
            </w:rPr>
          </w:pPr>
          <w:hyperlink w:anchor="_Toc82159981" w:history="1">
            <w:r w:rsidR="00903FE7" w:rsidRPr="003478AF">
              <w:rPr>
                <w:rStyle w:val="Hipercze"/>
                <w:b w:val="0"/>
                <w:noProof/>
              </w:rPr>
              <w:t>1.4. Infrastruktura edukacyjna</w:t>
            </w:r>
            <w:r w:rsidR="00903FE7" w:rsidRPr="003478AF">
              <w:rPr>
                <w:b w:val="0"/>
                <w:noProof/>
                <w:webHidden/>
              </w:rPr>
              <w:tab/>
            </w:r>
            <w:r w:rsidR="00903FE7" w:rsidRPr="003478AF">
              <w:rPr>
                <w:b w:val="0"/>
                <w:noProof/>
                <w:webHidden/>
              </w:rPr>
              <w:fldChar w:fldCharType="begin"/>
            </w:r>
            <w:r w:rsidR="00903FE7" w:rsidRPr="003478AF">
              <w:rPr>
                <w:b w:val="0"/>
                <w:noProof/>
                <w:webHidden/>
              </w:rPr>
              <w:instrText xml:space="preserve"> PAGEREF _Toc82159981 \h </w:instrText>
            </w:r>
            <w:r w:rsidR="00903FE7" w:rsidRPr="003478AF">
              <w:rPr>
                <w:b w:val="0"/>
                <w:noProof/>
                <w:webHidden/>
              </w:rPr>
            </w:r>
            <w:r w:rsidR="00903FE7" w:rsidRPr="003478AF">
              <w:rPr>
                <w:b w:val="0"/>
                <w:noProof/>
                <w:webHidden/>
              </w:rPr>
              <w:fldChar w:fldCharType="separate"/>
            </w:r>
            <w:r w:rsidR="007B1066">
              <w:rPr>
                <w:b w:val="0"/>
                <w:noProof/>
                <w:webHidden/>
              </w:rPr>
              <w:t>10</w:t>
            </w:r>
            <w:r w:rsidR="00903FE7" w:rsidRPr="003478AF">
              <w:rPr>
                <w:b w:val="0"/>
                <w:noProof/>
                <w:webHidden/>
              </w:rPr>
              <w:fldChar w:fldCharType="end"/>
            </w:r>
          </w:hyperlink>
        </w:p>
        <w:p w14:paraId="3A844287" w14:textId="634F0D32" w:rsidR="00903FE7" w:rsidRPr="003478AF" w:rsidRDefault="00770903">
          <w:pPr>
            <w:pStyle w:val="Spistreci2"/>
            <w:rPr>
              <w:rFonts w:eastAsiaTheme="minorEastAsia" w:cstheme="minorBidi"/>
              <w:b w:val="0"/>
              <w:bCs w:val="0"/>
              <w:smallCaps w:val="0"/>
              <w:noProof/>
              <w:lang w:eastAsia="pl-PL"/>
            </w:rPr>
          </w:pPr>
          <w:hyperlink w:anchor="_Toc82159982" w:history="1">
            <w:r w:rsidR="00903FE7" w:rsidRPr="003478AF">
              <w:rPr>
                <w:rStyle w:val="Hipercze"/>
                <w:b w:val="0"/>
                <w:noProof/>
              </w:rPr>
              <w:t>1.5. Sektory gospodarki</w:t>
            </w:r>
            <w:r w:rsidR="00903FE7" w:rsidRPr="003478AF">
              <w:rPr>
                <w:b w:val="0"/>
                <w:noProof/>
                <w:webHidden/>
              </w:rPr>
              <w:tab/>
            </w:r>
            <w:r w:rsidR="00903FE7" w:rsidRPr="003478AF">
              <w:rPr>
                <w:b w:val="0"/>
                <w:noProof/>
                <w:webHidden/>
              </w:rPr>
              <w:fldChar w:fldCharType="begin"/>
            </w:r>
            <w:r w:rsidR="00903FE7" w:rsidRPr="003478AF">
              <w:rPr>
                <w:b w:val="0"/>
                <w:noProof/>
                <w:webHidden/>
              </w:rPr>
              <w:instrText xml:space="preserve"> PAGEREF _Toc82159982 \h </w:instrText>
            </w:r>
            <w:r w:rsidR="00903FE7" w:rsidRPr="003478AF">
              <w:rPr>
                <w:b w:val="0"/>
                <w:noProof/>
                <w:webHidden/>
              </w:rPr>
            </w:r>
            <w:r w:rsidR="00903FE7" w:rsidRPr="003478AF">
              <w:rPr>
                <w:b w:val="0"/>
                <w:noProof/>
                <w:webHidden/>
              </w:rPr>
              <w:fldChar w:fldCharType="separate"/>
            </w:r>
            <w:r w:rsidR="007B1066">
              <w:rPr>
                <w:b w:val="0"/>
                <w:noProof/>
                <w:webHidden/>
              </w:rPr>
              <w:t>10</w:t>
            </w:r>
            <w:r w:rsidR="00903FE7" w:rsidRPr="003478AF">
              <w:rPr>
                <w:b w:val="0"/>
                <w:noProof/>
                <w:webHidden/>
              </w:rPr>
              <w:fldChar w:fldCharType="end"/>
            </w:r>
          </w:hyperlink>
        </w:p>
        <w:p w14:paraId="7EF916F9" w14:textId="7FC37E2D" w:rsidR="00903FE7" w:rsidRPr="003478AF" w:rsidRDefault="00770903">
          <w:pPr>
            <w:pStyle w:val="Spistreci2"/>
            <w:rPr>
              <w:rFonts w:eastAsiaTheme="minorEastAsia" w:cstheme="minorBidi"/>
              <w:b w:val="0"/>
              <w:bCs w:val="0"/>
              <w:smallCaps w:val="0"/>
              <w:noProof/>
              <w:lang w:eastAsia="pl-PL"/>
            </w:rPr>
          </w:pPr>
          <w:hyperlink w:anchor="_Toc82159983" w:history="1">
            <w:r w:rsidR="00903FE7" w:rsidRPr="003478AF">
              <w:rPr>
                <w:rStyle w:val="Hipercze"/>
                <w:b w:val="0"/>
                <w:noProof/>
              </w:rPr>
              <w:t>1.6. Podmioty gospodarki</w:t>
            </w:r>
            <w:r w:rsidR="00903FE7" w:rsidRPr="003478AF">
              <w:rPr>
                <w:b w:val="0"/>
                <w:noProof/>
                <w:webHidden/>
              </w:rPr>
              <w:tab/>
            </w:r>
            <w:r w:rsidR="00903FE7" w:rsidRPr="003478AF">
              <w:rPr>
                <w:b w:val="0"/>
                <w:noProof/>
                <w:webHidden/>
              </w:rPr>
              <w:fldChar w:fldCharType="begin"/>
            </w:r>
            <w:r w:rsidR="00903FE7" w:rsidRPr="003478AF">
              <w:rPr>
                <w:b w:val="0"/>
                <w:noProof/>
                <w:webHidden/>
              </w:rPr>
              <w:instrText xml:space="preserve"> PAGEREF _Toc82159983 \h </w:instrText>
            </w:r>
            <w:r w:rsidR="00903FE7" w:rsidRPr="003478AF">
              <w:rPr>
                <w:b w:val="0"/>
                <w:noProof/>
                <w:webHidden/>
              </w:rPr>
            </w:r>
            <w:r w:rsidR="00903FE7" w:rsidRPr="003478AF">
              <w:rPr>
                <w:b w:val="0"/>
                <w:noProof/>
                <w:webHidden/>
              </w:rPr>
              <w:fldChar w:fldCharType="separate"/>
            </w:r>
            <w:r w:rsidR="007B1066">
              <w:rPr>
                <w:b w:val="0"/>
                <w:noProof/>
                <w:webHidden/>
              </w:rPr>
              <w:t>11</w:t>
            </w:r>
            <w:r w:rsidR="00903FE7" w:rsidRPr="003478AF">
              <w:rPr>
                <w:b w:val="0"/>
                <w:noProof/>
                <w:webHidden/>
              </w:rPr>
              <w:fldChar w:fldCharType="end"/>
            </w:r>
          </w:hyperlink>
        </w:p>
        <w:p w14:paraId="34F337CF" w14:textId="07B7F385" w:rsidR="00903FE7" w:rsidRPr="003478AF" w:rsidRDefault="00770903">
          <w:pPr>
            <w:pStyle w:val="Spistreci2"/>
            <w:rPr>
              <w:rFonts w:eastAsiaTheme="minorEastAsia" w:cstheme="minorBidi"/>
              <w:b w:val="0"/>
              <w:bCs w:val="0"/>
              <w:smallCaps w:val="0"/>
              <w:noProof/>
              <w:lang w:eastAsia="pl-PL"/>
            </w:rPr>
          </w:pPr>
          <w:hyperlink w:anchor="_Toc82159984" w:history="1">
            <w:r w:rsidR="00903FE7" w:rsidRPr="003478AF">
              <w:rPr>
                <w:rStyle w:val="Hipercze"/>
                <w:b w:val="0"/>
                <w:noProof/>
              </w:rPr>
              <w:t>1.7. Energia</w:t>
            </w:r>
            <w:r w:rsidR="00903FE7" w:rsidRPr="003478AF">
              <w:rPr>
                <w:b w:val="0"/>
                <w:noProof/>
                <w:webHidden/>
              </w:rPr>
              <w:tab/>
            </w:r>
            <w:r w:rsidR="00903FE7" w:rsidRPr="003478AF">
              <w:rPr>
                <w:b w:val="0"/>
                <w:noProof/>
                <w:webHidden/>
              </w:rPr>
              <w:fldChar w:fldCharType="begin"/>
            </w:r>
            <w:r w:rsidR="00903FE7" w:rsidRPr="003478AF">
              <w:rPr>
                <w:b w:val="0"/>
                <w:noProof/>
                <w:webHidden/>
              </w:rPr>
              <w:instrText xml:space="preserve"> PAGEREF _Toc82159984 \h </w:instrText>
            </w:r>
            <w:r w:rsidR="00903FE7" w:rsidRPr="003478AF">
              <w:rPr>
                <w:b w:val="0"/>
                <w:noProof/>
                <w:webHidden/>
              </w:rPr>
            </w:r>
            <w:r w:rsidR="00903FE7" w:rsidRPr="003478AF">
              <w:rPr>
                <w:b w:val="0"/>
                <w:noProof/>
                <w:webHidden/>
              </w:rPr>
              <w:fldChar w:fldCharType="separate"/>
            </w:r>
            <w:r w:rsidR="007B1066">
              <w:rPr>
                <w:b w:val="0"/>
                <w:noProof/>
                <w:webHidden/>
              </w:rPr>
              <w:t>13</w:t>
            </w:r>
            <w:r w:rsidR="00903FE7" w:rsidRPr="003478AF">
              <w:rPr>
                <w:b w:val="0"/>
                <w:noProof/>
                <w:webHidden/>
              </w:rPr>
              <w:fldChar w:fldCharType="end"/>
            </w:r>
          </w:hyperlink>
        </w:p>
        <w:p w14:paraId="71B0C2A8" w14:textId="79811CC0" w:rsidR="00903FE7" w:rsidRPr="003478AF" w:rsidRDefault="00770903">
          <w:pPr>
            <w:pStyle w:val="Spistreci2"/>
            <w:rPr>
              <w:rFonts w:eastAsiaTheme="minorEastAsia" w:cstheme="minorBidi"/>
              <w:b w:val="0"/>
              <w:bCs w:val="0"/>
              <w:smallCaps w:val="0"/>
              <w:noProof/>
              <w:lang w:eastAsia="pl-PL"/>
            </w:rPr>
          </w:pPr>
          <w:hyperlink w:anchor="_Toc82159985" w:history="1">
            <w:r w:rsidR="00903FE7" w:rsidRPr="003478AF">
              <w:rPr>
                <w:rStyle w:val="Hipercze"/>
                <w:b w:val="0"/>
                <w:noProof/>
              </w:rPr>
              <w:t>1.8. Surowce</w:t>
            </w:r>
            <w:r w:rsidR="00903FE7" w:rsidRPr="003478AF">
              <w:rPr>
                <w:b w:val="0"/>
                <w:noProof/>
                <w:webHidden/>
              </w:rPr>
              <w:tab/>
            </w:r>
            <w:r w:rsidR="00903FE7" w:rsidRPr="003478AF">
              <w:rPr>
                <w:b w:val="0"/>
                <w:noProof/>
                <w:webHidden/>
              </w:rPr>
              <w:fldChar w:fldCharType="begin"/>
            </w:r>
            <w:r w:rsidR="00903FE7" w:rsidRPr="003478AF">
              <w:rPr>
                <w:b w:val="0"/>
                <w:noProof/>
                <w:webHidden/>
              </w:rPr>
              <w:instrText xml:space="preserve"> PAGEREF _Toc82159985 \h </w:instrText>
            </w:r>
            <w:r w:rsidR="00903FE7" w:rsidRPr="003478AF">
              <w:rPr>
                <w:b w:val="0"/>
                <w:noProof/>
                <w:webHidden/>
              </w:rPr>
            </w:r>
            <w:r w:rsidR="00903FE7" w:rsidRPr="003478AF">
              <w:rPr>
                <w:b w:val="0"/>
                <w:noProof/>
                <w:webHidden/>
              </w:rPr>
              <w:fldChar w:fldCharType="separate"/>
            </w:r>
            <w:r w:rsidR="007B1066">
              <w:rPr>
                <w:b w:val="0"/>
                <w:noProof/>
                <w:webHidden/>
              </w:rPr>
              <w:t>15</w:t>
            </w:r>
            <w:r w:rsidR="00903FE7" w:rsidRPr="003478AF">
              <w:rPr>
                <w:b w:val="0"/>
                <w:noProof/>
                <w:webHidden/>
              </w:rPr>
              <w:fldChar w:fldCharType="end"/>
            </w:r>
          </w:hyperlink>
        </w:p>
        <w:p w14:paraId="2528ABA8" w14:textId="47735D26" w:rsidR="00903FE7" w:rsidRPr="003478AF" w:rsidRDefault="00770903">
          <w:pPr>
            <w:pStyle w:val="Spistreci2"/>
            <w:rPr>
              <w:rFonts w:eastAsiaTheme="minorEastAsia" w:cstheme="minorBidi"/>
              <w:b w:val="0"/>
              <w:bCs w:val="0"/>
              <w:smallCaps w:val="0"/>
              <w:noProof/>
              <w:lang w:eastAsia="pl-PL"/>
            </w:rPr>
          </w:pPr>
          <w:hyperlink w:anchor="_Toc82159986" w:history="1">
            <w:r w:rsidR="00903FE7" w:rsidRPr="003478AF">
              <w:rPr>
                <w:rStyle w:val="Hipercze"/>
                <w:b w:val="0"/>
                <w:noProof/>
              </w:rPr>
              <w:t>1.9. Ochrona środowiska</w:t>
            </w:r>
            <w:r w:rsidR="00903FE7" w:rsidRPr="003478AF">
              <w:rPr>
                <w:b w:val="0"/>
                <w:noProof/>
                <w:webHidden/>
              </w:rPr>
              <w:tab/>
            </w:r>
            <w:r w:rsidR="00903FE7" w:rsidRPr="003478AF">
              <w:rPr>
                <w:b w:val="0"/>
                <w:noProof/>
                <w:webHidden/>
              </w:rPr>
              <w:fldChar w:fldCharType="begin"/>
            </w:r>
            <w:r w:rsidR="00903FE7" w:rsidRPr="003478AF">
              <w:rPr>
                <w:b w:val="0"/>
                <w:noProof/>
                <w:webHidden/>
              </w:rPr>
              <w:instrText xml:space="preserve"> PAGEREF _Toc82159986 \h </w:instrText>
            </w:r>
            <w:r w:rsidR="00903FE7" w:rsidRPr="003478AF">
              <w:rPr>
                <w:b w:val="0"/>
                <w:noProof/>
                <w:webHidden/>
              </w:rPr>
            </w:r>
            <w:r w:rsidR="00903FE7" w:rsidRPr="003478AF">
              <w:rPr>
                <w:b w:val="0"/>
                <w:noProof/>
                <w:webHidden/>
              </w:rPr>
              <w:fldChar w:fldCharType="separate"/>
            </w:r>
            <w:r w:rsidR="007B1066">
              <w:rPr>
                <w:b w:val="0"/>
                <w:noProof/>
                <w:webHidden/>
              </w:rPr>
              <w:t>15</w:t>
            </w:r>
            <w:r w:rsidR="00903FE7" w:rsidRPr="003478AF">
              <w:rPr>
                <w:b w:val="0"/>
                <w:noProof/>
                <w:webHidden/>
              </w:rPr>
              <w:fldChar w:fldCharType="end"/>
            </w:r>
          </w:hyperlink>
        </w:p>
        <w:p w14:paraId="244E12FE" w14:textId="5C870FAB" w:rsidR="00903FE7" w:rsidRPr="003478AF" w:rsidRDefault="00770903">
          <w:pPr>
            <w:pStyle w:val="Spistreci1"/>
            <w:rPr>
              <w:rFonts w:asciiTheme="minorHAnsi" w:eastAsiaTheme="minorEastAsia" w:hAnsiTheme="minorHAnsi" w:cstheme="minorBidi"/>
              <w:b w:val="0"/>
              <w:bCs w:val="0"/>
              <w:sz w:val="22"/>
              <w:lang w:eastAsia="pl-PL"/>
            </w:rPr>
          </w:pPr>
          <w:hyperlink w:anchor="_Toc82159987" w:history="1">
            <w:r w:rsidR="00903FE7" w:rsidRPr="003478AF">
              <w:rPr>
                <w:rStyle w:val="Hipercze"/>
                <w:b w:val="0"/>
              </w:rPr>
              <w:t>2.</w:t>
            </w:r>
            <w:r w:rsidR="00903FE7" w:rsidRPr="003478AF">
              <w:rPr>
                <w:rFonts w:asciiTheme="minorHAnsi" w:eastAsiaTheme="minorEastAsia" w:hAnsiTheme="minorHAnsi" w:cstheme="minorBidi"/>
                <w:b w:val="0"/>
                <w:bCs w:val="0"/>
                <w:sz w:val="22"/>
                <w:lang w:eastAsia="pl-PL"/>
              </w:rPr>
              <w:tab/>
            </w:r>
            <w:r w:rsidR="00903FE7" w:rsidRPr="003478AF">
              <w:rPr>
                <w:rStyle w:val="Hipercze"/>
                <w:b w:val="0"/>
              </w:rPr>
              <w:t>Model i uwarunkowania prawne rozwoju GOZ  w Polsce i Wielkopolsce</w:t>
            </w:r>
            <w:r w:rsidR="00903FE7" w:rsidRPr="003478AF">
              <w:rPr>
                <w:b w:val="0"/>
                <w:webHidden/>
              </w:rPr>
              <w:tab/>
            </w:r>
            <w:r w:rsidR="00903FE7" w:rsidRPr="003478AF">
              <w:rPr>
                <w:b w:val="0"/>
                <w:webHidden/>
              </w:rPr>
              <w:fldChar w:fldCharType="begin"/>
            </w:r>
            <w:r w:rsidR="00903FE7" w:rsidRPr="003478AF">
              <w:rPr>
                <w:b w:val="0"/>
                <w:webHidden/>
              </w:rPr>
              <w:instrText xml:space="preserve"> PAGEREF _Toc82159987 \h </w:instrText>
            </w:r>
            <w:r w:rsidR="00903FE7" w:rsidRPr="003478AF">
              <w:rPr>
                <w:b w:val="0"/>
                <w:webHidden/>
              </w:rPr>
            </w:r>
            <w:r w:rsidR="00903FE7" w:rsidRPr="003478AF">
              <w:rPr>
                <w:b w:val="0"/>
                <w:webHidden/>
              </w:rPr>
              <w:fldChar w:fldCharType="separate"/>
            </w:r>
            <w:r w:rsidR="007B1066">
              <w:rPr>
                <w:b w:val="0"/>
                <w:webHidden/>
              </w:rPr>
              <w:t>17</w:t>
            </w:r>
            <w:r w:rsidR="00903FE7" w:rsidRPr="003478AF">
              <w:rPr>
                <w:b w:val="0"/>
                <w:webHidden/>
              </w:rPr>
              <w:fldChar w:fldCharType="end"/>
            </w:r>
          </w:hyperlink>
        </w:p>
        <w:p w14:paraId="623B4E46" w14:textId="3DDD2CE8" w:rsidR="00903FE7" w:rsidRPr="003478AF" w:rsidRDefault="00770903">
          <w:pPr>
            <w:pStyle w:val="Spistreci2"/>
            <w:rPr>
              <w:rFonts w:eastAsiaTheme="minorEastAsia" w:cstheme="minorBidi"/>
              <w:b w:val="0"/>
              <w:bCs w:val="0"/>
              <w:smallCaps w:val="0"/>
              <w:noProof/>
              <w:lang w:eastAsia="pl-PL"/>
            </w:rPr>
          </w:pPr>
          <w:hyperlink w:anchor="_Toc82159988" w:history="1">
            <w:r w:rsidR="00903FE7" w:rsidRPr="003478AF">
              <w:rPr>
                <w:rStyle w:val="Hipercze"/>
                <w:b w:val="0"/>
                <w:noProof/>
              </w:rPr>
              <w:t>2.1. Analiza podstaw teoretycznych i priorytetów oraz założeń najczęściej stosowanego modelu rozwoju GOZ Fundacji Ellen MacArthur</w:t>
            </w:r>
            <w:r w:rsidR="00903FE7" w:rsidRPr="003478AF">
              <w:rPr>
                <w:b w:val="0"/>
                <w:noProof/>
                <w:webHidden/>
              </w:rPr>
              <w:tab/>
            </w:r>
            <w:r w:rsidR="00903FE7" w:rsidRPr="003478AF">
              <w:rPr>
                <w:b w:val="0"/>
                <w:noProof/>
                <w:webHidden/>
              </w:rPr>
              <w:fldChar w:fldCharType="begin"/>
            </w:r>
            <w:r w:rsidR="00903FE7" w:rsidRPr="003478AF">
              <w:rPr>
                <w:b w:val="0"/>
                <w:noProof/>
                <w:webHidden/>
              </w:rPr>
              <w:instrText xml:space="preserve"> PAGEREF _Toc82159988 \h </w:instrText>
            </w:r>
            <w:r w:rsidR="00903FE7" w:rsidRPr="003478AF">
              <w:rPr>
                <w:b w:val="0"/>
                <w:noProof/>
                <w:webHidden/>
              </w:rPr>
            </w:r>
            <w:r w:rsidR="00903FE7" w:rsidRPr="003478AF">
              <w:rPr>
                <w:b w:val="0"/>
                <w:noProof/>
                <w:webHidden/>
              </w:rPr>
              <w:fldChar w:fldCharType="separate"/>
            </w:r>
            <w:r w:rsidR="007B1066">
              <w:rPr>
                <w:b w:val="0"/>
                <w:noProof/>
                <w:webHidden/>
              </w:rPr>
              <w:t>17</w:t>
            </w:r>
            <w:r w:rsidR="00903FE7" w:rsidRPr="003478AF">
              <w:rPr>
                <w:b w:val="0"/>
                <w:noProof/>
                <w:webHidden/>
              </w:rPr>
              <w:fldChar w:fldCharType="end"/>
            </w:r>
          </w:hyperlink>
        </w:p>
        <w:p w14:paraId="1836AF85" w14:textId="3CB90BA6" w:rsidR="00903FE7" w:rsidRPr="003478AF" w:rsidRDefault="00770903">
          <w:pPr>
            <w:pStyle w:val="Spistreci2"/>
            <w:rPr>
              <w:rFonts w:eastAsiaTheme="minorEastAsia" w:cstheme="minorBidi"/>
              <w:b w:val="0"/>
              <w:bCs w:val="0"/>
              <w:smallCaps w:val="0"/>
              <w:noProof/>
              <w:lang w:eastAsia="pl-PL"/>
            </w:rPr>
          </w:pPr>
          <w:hyperlink w:anchor="_Toc82159989" w:history="1">
            <w:r w:rsidR="00903FE7" w:rsidRPr="003478AF">
              <w:rPr>
                <w:rStyle w:val="Hipercze"/>
                <w:b w:val="0"/>
                <w:noProof/>
              </w:rPr>
              <w:t>2.2. Analiza podstaw organizacyjno-prawnych rozwoju GOZ</w:t>
            </w:r>
            <w:r w:rsidR="00903FE7" w:rsidRPr="003478AF">
              <w:rPr>
                <w:b w:val="0"/>
                <w:noProof/>
                <w:webHidden/>
              </w:rPr>
              <w:tab/>
            </w:r>
            <w:r w:rsidR="00903FE7" w:rsidRPr="003478AF">
              <w:rPr>
                <w:b w:val="0"/>
                <w:noProof/>
                <w:webHidden/>
              </w:rPr>
              <w:fldChar w:fldCharType="begin"/>
            </w:r>
            <w:r w:rsidR="00903FE7" w:rsidRPr="003478AF">
              <w:rPr>
                <w:b w:val="0"/>
                <w:noProof/>
                <w:webHidden/>
              </w:rPr>
              <w:instrText xml:space="preserve"> PAGEREF _Toc82159989 \h </w:instrText>
            </w:r>
            <w:r w:rsidR="00903FE7" w:rsidRPr="003478AF">
              <w:rPr>
                <w:b w:val="0"/>
                <w:noProof/>
                <w:webHidden/>
              </w:rPr>
            </w:r>
            <w:r w:rsidR="00903FE7" w:rsidRPr="003478AF">
              <w:rPr>
                <w:b w:val="0"/>
                <w:noProof/>
                <w:webHidden/>
              </w:rPr>
              <w:fldChar w:fldCharType="separate"/>
            </w:r>
            <w:r w:rsidR="007B1066">
              <w:rPr>
                <w:b w:val="0"/>
                <w:noProof/>
                <w:webHidden/>
              </w:rPr>
              <w:t>22</w:t>
            </w:r>
            <w:r w:rsidR="00903FE7" w:rsidRPr="003478AF">
              <w:rPr>
                <w:b w:val="0"/>
                <w:noProof/>
                <w:webHidden/>
              </w:rPr>
              <w:fldChar w:fldCharType="end"/>
            </w:r>
          </w:hyperlink>
        </w:p>
        <w:p w14:paraId="04F83DDD" w14:textId="1232E1F3" w:rsidR="00903FE7" w:rsidRPr="003478AF" w:rsidRDefault="00770903">
          <w:pPr>
            <w:pStyle w:val="Spistreci3"/>
            <w:rPr>
              <w:rFonts w:eastAsiaTheme="minorEastAsia" w:cstheme="minorBidi"/>
              <w:smallCaps w:val="0"/>
              <w:noProof/>
              <w:lang w:eastAsia="pl-PL"/>
            </w:rPr>
          </w:pPr>
          <w:hyperlink w:anchor="_Toc82159990" w:history="1">
            <w:r w:rsidR="00903FE7" w:rsidRPr="003478AF">
              <w:rPr>
                <w:rStyle w:val="Hipercze"/>
                <w:noProof/>
              </w:rPr>
              <w:t>2.2.1. Poziom europejski</w:t>
            </w:r>
            <w:r w:rsidR="00903FE7" w:rsidRPr="003478AF">
              <w:rPr>
                <w:noProof/>
                <w:webHidden/>
              </w:rPr>
              <w:tab/>
            </w:r>
            <w:r w:rsidR="00903FE7" w:rsidRPr="003478AF">
              <w:rPr>
                <w:noProof/>
                <w:webHidden/>
              </w:rPr>
              <w:fldChar w:fldCharType="begin"/>
            </w:r>
            <w:r w:rsidR="00903FE7" w:rsidRPr="003478AF">
              <w:rPr>
                <w:noProof/>
                <w:webHidden/>
              </w:rPr>
              <w:instrText xml:space="preserve"> PAGEREF _Toc82159990 \h </w:instrText>
            </w:r>
            <w:r w:rsidR="00903FE7" w:rsidRPr="003478AF">
              <w:rPr>
                <w:noProof/>
                <w:webHidden/>
              </w:rPr>
            </w:r>
            <w:r w:rsidR="00903FE7" w:rsidRPr="003478AF">
              <w:rPr>
                <w:noProof/>
                <w:webHidden/>
              </w:rPr>
              <w:fldChar w:fldCharType="separate"/>
            </w:r>
            <w:r w:rsidR="007B1066">
              <w:rPr>
                <w:noProof/>
                <w:webHidden/>
              </w:rPr>
              <w:t>22</w:t>
            </w:r>
            <w:r w:rsidR="00903FE7" w:rsidRPr="003478AF">
              <w:rPr>
                <w:noProof/>
                <w:webHidden/>
              </w:rPr>
              <w:fldChar w:fldCharType="end"/>
            </w:r>
          </w:hyperlink>
        </w:p>
        <w:p w14:paraId="4269F1C5" w14:textId="0297EAAC" w:rsidR="00903FE7" w:rsidRPr="003478AF" w:rsidRDefault="00770903">
          <w:pPr>
            <w:pStyle w:val="Spistreci3"/>
            <w:rPr>
              <w:rFonts w:eastAsiaTheme="minorEastAsia" w:cstheme="minorBidi"/>
              <w:smallCaps w:val="0"/>
              <w:noProof/>
              <w:lang w:eastAsia="pl-PL"/>
            </w:rPr>
          </w:pPr>
          <w:hyperlink w:anchor="_Toc82159991" w:history="1">
            <w:r w:rsidR="00903FE7" w:rsidRPr="003478AF">
              <w:rPr>
                <w:rStyle w:val="Hipercze"/>
                <w:noProof/>
              </w:rPr>
              <w:t>2.2.2. Poziom krajowy</w:t>
            </w:r>
            <w:r w:rsidR="00903FE7" w:rsidRPr="003478AF">
              <w:rPr>
                <w:noProof/>
                <w:webHidden/>
              </w:rPr>
              <w:tab/>
            </w:r>
            <w:r w:rsidR="00903FE7" w:rsidRPr="003478AF">
              <w:rPr>
                <w:noProof/>
                <w:webHidden/>
              </w:rPr>
              <w:fldChar w:fldCharType="begin"/>
            </w:r>
            <w:r w:rsidR="00903FE7" w:rsidRPr="003478AF">
              <w:rPr>
                <w:noProof/>
                <w:webHidden/>
              </w:rPr>
              <w:instrText xml:space="preserve"> PAGEREF _Toc82159991 \h </w:instrText>
            </w:r>
            <w:r w:rsidR="00903FE7" w:rsidRPr="003478AF">
              <w:rPr>
                <w:noProof/>
                <w:webHidden/>
              </w:rPr>
            </w:r>
            <w:r w:rsidR="00903FE7" w:rsidRPr="003478AF">
              <w:rPr>
                <w:noProof/>
                <w:webHidden/>
              </w:rPr>
              <w:fldChar w:fldCharType="separate"/>
            </w:r>
            <w:r w:rsidR="007B1066">
              <w:rPr>
                <w:noProof/>
                <w:webHidden/>
              </w:rPr>
              <w:t>25</w:t>
            </w:r>
            <w:r w:rsidR="00903FE7" w:rsidRPr="003478AF">
              <w:rPr>
                <w:noProof/>
                <w:webHidden/>
              </w:rPr>
              <w:fldChar w:fldCharType="end"/>
            </w:r>
          </w:hyperlink>
        </w:p>
        <w:p w14:paraId="756CEC07" w14:textId="76133390" w:rsidR="00903FE7" w:rsidRPr="003478AF" w:rsidRDefault="00770903">
          <w:pPr>
            <w:pStyle w:val="Spistreci3"/>
            <w:rPr>
              <w:rFonts w:eastAsiaTheme="minorEastAsia" w:cstheme="minorBidi"/>
              <w:smallCaps w:val="0"/>
              <w:noProof/>
              <w:lang w:eastAsia="pl-PL"/>
            </w:rPr>
          </w:pPr>
          <w:hyperlink w:anchor="_Toc82159992" w:history="1">
            <w:r w:rsidR="00903FE7" w:rsidRPr="003478AF">
              <w:rPr>
                <w:rStyle w:val="Hipercze"/>
                <w:noProof/>
              </w:rPr>
              <w:t>2.2.3. Poziom wojewódzki (regionalny)</w:t>
            </w:r>
            <w:r w:rsidR="00903FE7" w:rsidRPr="003478AF">
              <w:rPr>
                <w:noProof/>
                <w:webHidden/>
              </w:rPr>
              <w:tab/>
            </w:r>
            <w:r w:rsidR="00903FE7" w:rsidRPr="003478AF">
              <w:rPr>
                <w:noProof/>
                <w:webHidden/>
              </w:rPr>
              <w:fldChar w:fldCharType="begin"/>
            </w:r>
            <w:r w:rsidR="00903FE7" w:rsidRPr="003478AF">
              <w:rPr>
                <w:noProof/>
                <w:webHidden/>
              </w:rPr>
              <w:instrText xml:space="preserve"> PAGEREF _Toc82159992 \h </w:instrText>
            </w:r>
            <w:r w:rsidR="00903FE7" w:rsidRPr="003478AF">
              <w:rPr>
                <w:noProof/>
                <w:webHidden/>
              </w:rPr>
            </w:r>
            <w:r w:rsidR="00903FE7" w:rsidRPr="003478AF">
              <w:rPr>
                <w:noProof/>
                <w:webHidden/>
              </w:rPr>
              <w:fldChar w:fldCharType="separate"/>
            </w:r>
            <w:r w:rsidR="007B1066">
              <w:rPr>
                <w:noProof/>
                <w:webHidden/>
              </w:rPr>
              <w:t>29</w:t>
            </w:r>
            <w:r w:rsidR="00903FE7" w:rsidRPr="003478AF">
              <w:rPr>
                <w:noProof/>
                <w:webHidden/>
              </w:rPr>
              <w:fldChar w:fldCharType="end"/>
            </w:r>
          </w:hyperlink>
        </w:p>
        <w:p w14:paraId="6EA7C419" w14:textId="06BBB034" w:rsidR="00903FE7" w:rsidRPr="003478AF" w:rsidRDefault="00770903">
          <w:pPr>
            <w:pStyle w:val="Spistreci1"/>
            <w:rPr>
              <w:rFonts w:asciiTheme="minorHAnsi" w:eastAsiaTheme="minorEastAsia" w:hAnsiTheme="minorHAnsi" w:cstheme="minorBidi"/>
              <w:b w:val="0"/>
              <w:bCs w:val="0"/>
              <w:sz w:val="22"/>
              <w:lang w:eastAsia="pl-PL"/>
            </w:rPr>
          </w:pPr>
          <w:hyperlink w:anchor="_Toc82159993" w:history="1">
            <w:r w:rsidR="00903FE7" w:rsidRPr="003478AF">
              <w:rPr>
                <w:rStyle w:val="Hipercze"/>
                <w:b w:val="0"/>
              </w:rPr>
              <w:t>3.</w:t>
            </w:r>
            <w:r w:rsidR="00903FE7" w:rsidRPr="003478AF">
              <w:rPr>
                <w:rFonts w:asciiTheme="minorHAnsi" w:eastAsiaTheme="minorEastAsia" w:hAnsiTheme="minorHAnsi" w:cstheme="minorBidi"/>
                <w:b w:val="0"/>
                <w:bCs w:val="0"/>
                <w:sz w:val="22"/>
                <w:lang w:eastAsia="pl-PL"/>
              </w:rPr>
              <w:tab/>
            </w:r>
            <w:r w:rsidR="00903FE7" w:rsidRPr="003478AF">
              <w:rPr>
                <w:rStyle w:val="Hipercze"/>
                <w:b w:val="0"/>
              </w:rPr>
              <w:t>Kluczowe obszary rozwoju GOZ w Polsce  i województwie wielkopolskim</w:t>
            </w:r>
            <w:r w:rsidR="00903FE7" w:rsidRPr="003478AF">
              <w:rPr>
                <w:b w:val="0"/>
                <w:webHidden/>
              </w:rPr>
              <w:tab/>
            </w:r>
            <w:r w:rsidR="00903FE7" w:rsidRPr="003478AF">
              <w:rPr>
                <w:b w:val="0"/>
                <w:webHidden/>
              </w:rPr>
              <w:fldChar w:fldCharType="begin"/>
            </w:r>
            <w:r w:rsidR="00903FE7" w:rsidRPr="003478AF">
              <w:rPr>
                <w:b w:val="0"/>
                <w:webHidden/>
              </w:rPr>
              <w:instrText xml:space="preserve"> PAGEREF _Toc82159993 \h </w:instrText>
            </w:r>
            <w:r w:rsidR="00903FE7" w:rsidRPr="003478AF">
              <w:rPr>
                <w:b w:val="0"/>
                <w:webHidden/>
              </w:rPr>
            </w:r>
            <w:r w:rsidR="00903FE7" w:rsidRPr="003478AF">
              <w:rPr>
                <w:b w:val="0"/>
                <w:webHidden/>
              </w:rPr>
              <w:fldChar w:fldCharType="separate"/>
            </w:r>
            <w:r w:rsidR="007B1066">
              <w:rPr>
                <w:b w:val="0"/>
                <w:webHidden/>
              </w:rPr>
              <w:t>34</w:t>
            </w:r>
            <w:r w:rsidR="00903FE7" w:rsidRPr="003478AF">
              <w:rPr>
                <w:b w:val="0"/>
                <w:webHidden/>
              </w:rPr>
              <w:fldChar w:fldCharType="end"/>
            </w:r>
          </w:hyperlink>
        </w:p>
        <w:p w14:paraId="351AE127" w14:textId="28DB234F" w:rsidR="00903FE7" w:rsidRPr="003478AF" w:rsidRDefault="00770903">
          <w:pPr>
            <w:pStyle w:val="Spistreci2"/>
            <w:rPr>
              <w:rFonts w:eastAsiaTheme="minorEastAsia" w:cstheme="minorBidi"/>
              <w:b w:val="0"/>
              <w:bCs w:val="0"/>
              <w:smallCaps w:val="0"/>
              <w:noProof/>
              <w:lang w:eastAsia="pl-PL"/>
            </w:rPr>
          </w:pPr>
          <w:hyperlink w:anchor="_Toc82159994" w:history="1">
            <w:r w:rsidR="00903FE7" w:rsidRPr="003478AF">
              <w:rPr>
                <w:rStyle w:val="Hipercze"/>
                <w:b w:val="0"/>
                <w:noProof/>
              </w:rPr>
              <w:t>3.1. Aspekty rozwoju GOZ</w:t>
            </w:r>
            <w:r w:rsidR="00903FE7" w:rsidRPr="003478AF">
              <w:rPr>
                <w:b w:val="0"/>
                <w:noProof/>
                <w:webHidden/>
              </w:rPr>
              <w:tab/>
            </w:r>
            <w:r w:rsidR="00903FE7" w:rsidRPr="003478AF">
              <w:rPr>
                <w:b w:val="0"/>
                <w:noProof/>
                <w:webHidden/>
              </w:rPr>
              <w:fldChar w:fldCharType="begin"/>
            </w:r>
            <w:r w:rsidR="00903FE7" w:rsidRPr="003478AF">
              <w:rPr>
                <w:b w:val="0"/>
                <w:noProof/>
                <w:webHidden/>
              </w:rPr>
              <w:instrText xml:space="preserve"> PAGEREF _Toc82159994 \h </w:instrText>
            </w:r>
            <w:r w:rsidR="00903FE7" w:rsidRPr="003478AF">
              <w:rPr>
                <w:b w:val="0"/>
                <w:noProof/>
                <w:webHidden/>
              </w:rPr>
            </w:r>
            <w:r w:rsidR="00903FE7" w:rsidRPr="003478AF">
              <w:rPr>
                <w:b w:val="0"/>
                <w:noProof/>
                <w:webHidden/>
              </w:rPr>
              <w:fldChar w:fldCharType="separate"/>
            </w:r>
            <w:r w:rsidR="007B1066">
              <w:rPr>
                <w:b w:val="0"/>
                <w:noProof/>
                <w:webHidden/>
              </w:rPr>
              <w:t>34</w:t>
            </w:r>
            <w:r w:rsidR="00903FE7" w:rsidRPr="003478AF">
              <w:rPr>
                <w:b w:val="0"/>
                <w:noProof/>
                <w:webHidden/>
              </w:rPr>
              <w:fldChar w:fldCharType="end"/>
            </w:r>
          </w:hyperlink>
        </w:p>
        <w:p w14:paraId="633C6890" w14:textId="16EE0D02" w:rsidR="00903FE7" w:rsidRPr="003478AF" w:rsidRDefault="00770903">
          <w:pPr>
            <w:pStyle w:val="Spistreci2"/>
            <w:rPr>
              <w:rFonts w:eastAsiaTheme="minorEastAsia" w:cstheme="minorBidi"/>
              <w:b w:val="0"/>
              <w:bCs w:val="0"/>
              <w:smallCaps w:val="0"/>
              <w:noProof/>
              <w:lang w:eastAsia="pl-PL"/>
            </w:rPr>
          </w:pPr>
          <w:hyperlink w:anchor="_Toc82159995" w:history="1">
            <w:r w:rsidR="00903FE7" w:rsidRPr="003478AF">
              <w:rPr>
                <w:rStyle w:val="Hipercze"/>
                <w:b w:val="0"/>
                <w:noProof/>
              </w:rPr>
              <w:t>3.2. Obszary rozwoju GOZ w Wielkopolsce</w:t>
            </w:r>
            <w:r w:rsidR="00903FE7" w:rsidRPr="003478AF">
              <w:rPr>
                <w:b w:val="0"/>
                <w:noProof/>
                <w:webHidden/>
              </w:rPr>
              <w:tab/>
            </w:r>
            <w:r w:rsidR="00903FE7" w:rsidRPr="003478AF">
              <w:rPr>
                <w:b w:val="0"/>
                <w:noProof/>
                <w:webHidden/>
              </w:rPr>
              <w:fldChar w:fldCharType="begin"/>
            </w:r>
            <w:r w:rsidR="00903FE7" w:rsidRPr="003478AF">
              <w:rPr>
                <w:b w:val="0"/>
                <w:noProof/>
                <w:webHidden/>
              </w:rPr>
              <w:instrText xml:space="preserve"> PAGEREF _Toc82159995 \h </w:instrText>
            </w:r>
            <w:r w:rsidR="00903FE7" w:rsidRPr="003478AF">
              <w:rPr>
                <w:b w:val="0"/>
                <w:noProof/>
                <w:webHidden/>
              </w:rPr>
            </w:r>
            <w:r w:rsidR="00903FE7" w:rsidRPr="003478AF">
              <w:rPr>
                <w:b w:val="0"/>
                <w:noProof/>
                <w:webHidden/>
              </w:rPr>
              <w:fldChar w:fldCharType="separate"/>
            </w:r>
            <w:r w:rsidR="007B1066">
              <w:rPr>
                <w:b w:val="0"/>
                <w:noProof/>
                <w:webHidden/>
              </w:rPr>
              <w:t>35</w:t>
            </w:r>
            <w:r w:rsidR="00903FE7" w:rsidRPr="003478AF">
              <w:rPr>
                <w:b w:val="0"/>
                <w:noProof/>
                <w:webHidden/>
              </w:rPr>
              <w:fldChar w:fldCharType="end"/>
            </w:r>
          </w:hyperlink>
        </w:p>
        <w:p w14:paraId="1F843C86" w14:textId="4F409DB8" w:rsidR="00903FE7" w:rsidRPr="003478AF" w:rsidRDefault="00770903">
          <w:pPr>
            <w:pStyle w:val="Spistreci1"/>
            <w:rPr>
              <w:rFonts w:asciiTheme="minorHAnsi" w:eastAsiaTheme="minorEastAsia" w:hAnsiTheme="minorHAnsi" w:cstheme="minorBidi"/>
              <w:b w:val="0"/>
              <w:bCs w:val="0"/>
              <w:sz w:val="22"/>
              <w:lang w:eastAsia="pl-PL"/>
            </w:rPr>
          </w:pPr>
          <w:hyperlink w:anchor="_Toc82159996" w:history="1">
            <w:r w:rsidR="00903FE7" w:rsidRPr="003478AF">
              <w:rPr>
                <w:rStyle w:val="Hipercze"/>
                <w:b w:val="0"/>
              </w:rPr>
              <w:t>4.</w:t>
            </w:r>
            <w:r w:rsidR="00903FE7" w:rsidRPr="003478AF">
              <w:rPr>
                <w:rFonts w:asciiTheme="minorHAnsi" w:eastAsiaTheme="minorEastAsia" w:hAnsiTheme="minorHAnsi" w:cstheme="minorBidi"/>
                <w:b w:val="0"/>
                <w:bCs w:val="0"/>
                <w:sz w:val="22"/>
                <w:lang w:eastAsia="pl-PL"/>
              </w:rPr>
              <w:tab/>
            </w:r>
            <w:r w:rsidR="00903FE7" w:rsidRPr="003478AF">
              <w:rPr>
                <w:rStyle w:val="Hipercze"/>
                <w:b w:val="0"/>
              </w:rPr>
              <w:t>Rola innowacji w transformacji w kierunku GOZ</w:t>
            </w:r>
            <w:r w:rsidR="00903FE7" w:rsidRPr="003478AF">
              <w:rPr>
                <w:b w:val="0"/>
                <w:webHidden/>
              </w:rPr>
              <w:tab/>
            </w:r>
            <w:r w:rsidR="00903FE7" w:rsidRPr="003478AF">
              <w:rPr>
                <w:b w:val="0"/>
                <w:webHidden/>
              </w:rPr>
              <w:fldChar w:fldCharType="begin"/>
            </w:r>
            <w:r w:rsidR="00903FE7" w:rsidRPr="003478AF">
              <w:rPr>
                <w:b w:val="0"/>
                <w:webHidden/>
              </w:rPr>
              <w:instrText xml:space="preserve"> PAGEREF _Toc82159996 \h </w:instrText>
            </w:r>
            <w:r w:rsidR="00903FE7" w:rsidRPr="003478AF">
              <w:rPr>
                <w:b w:val="0"/>
                <w:webHidden/>
              </w:rPr>
            </w:r>
            <w:r w:rsidR="00903FE7" w:rsidRPr="003478AF">
              <w:rPr>
                <w:b w:val="0"/>
                <w:webHidden/>
              </w:rPr>
              <w:fldChar w:fldCharType="separate"/>
            </w:r>
            <w:r w:rsidR="007B1066">
              <w:rPr>
                <w:b w:val="0"/>
                <w:webHidden/>
              </w:rPr>
              <w:t>51</w:t>
            </w:r>
            <w:r w:rsidR="00903FE7" w:rsidRPr="003478AF">
              <w:rPr>
                <w:b w:val="0"/>
                <w:webHidden/>
              </w:rPr>
              <w:fldChar w:fldCharType="end"/>
            </w:r>
          </w:hyperlink>
        </w:p>
        <w:p w14:paraId="2F129CD9" w14:textId="0A01068F" w:rsidR="00903FE7" w:rsidRPr="003478AF" w:rsidRDefault="00770903">
          <w:pPr>
            <w:pStyle w:val="Spistreci1"/>
            <w:rPr>
              <w:rFonts w:asciiTheme="minorHAnsi" w:eastAsiaTheme="minorEastAsia" w:hAnsiTheme="minorHAnsi" w:cstheme="minorBidi"/>
              <w:b w:val="0"/>
              <w:bCs w:val="0"/>
              <w:sz w:val="22"/>
              <w:lang w:eastAsia="pl-PL"/>
            </w:rPr>
          </w:pPr>
          <w:hyperlink w:anchor="_Toc82159997" w:history="1">
            <w:r w:rsidR="00903FE7" w:rsidRPr="003478AF">
              <w:rPr>
                <w:rStyle w:val="Hipercze"/>
                <w:b w:val="0"/>
              </w:rPr>
              <w:t>5.</w:t>
            </w:r>
            <w:r w:rsidR="00903FE7" w:rsidRPr="003478AF">
              <w:rPr>
                <w:rFonts w:asciiTheme="minorHAnsi" w:eastAsiaTheme="minorEastAsia" w:hAnsiTheme="minorHAnsi" w:cstheme="minorBidi"/>
                <w:b w:val="0"/>
                <w:bCs w:val="0"/>
                <w:sz w:val="22"/>
                <w:lang w:eastAsia="pl-PL"/>
              </w:rPr>
              <w:tab/>
            </w:r>
            <w:r w:rsidR="00903FE7" w:rsidRPr="003478AF">
              <w:rPr>
                <w:rStyle w:val="Hipercze"/>
                <w:b w:val="0"/>
              </w:rPr>
              <w:t>Identyfikacja kluczowych łańcuchów wartości  w województwie wielkopolskim</w:t>
            </w:r>
            <w:r w:rsidR="00903FE7" w:rsidRPr="003478AF">
              <w:rPr>
                <w:b w:val="0"/>
                <w:webHidden/>
              </w:rPr>
              <w:tab/>
            </w:r>
            <w:r w:rsidR="00903FE7" w:rsidRPr="003478AF">
              <w:rPr>
                <w:b w:val="0"/>
                <w:webHidden/>
              </w:rPr>
              <w:fldChar w:fldCharType="begin"/>
            </w:r>
            <w:r w:rsidR="00903FE7" w:rsidRPr="003478AF">
              <w:rPr>
                <w:b w:val="0"/>
                <w:webHidden/>
              </w:rPr>
              <w:instrText xml:space="preserve"> PAGEREF _Toc82159997 \h </w:instrText>
            </w:r>
            <w:r w:rsidR="00903FE7" w:rsidRPr="003478AF">
              <w:rPr>
                <w:b w:val="0"/>
                <w:webHidden/>
              </w:rPr>
            </w:r>
            <w:r w:rsidR="00903FE7" w:rsidRPr="003478AF">
              <w:rPr>
                <w:b w:val="0"/>
                <w:webHidden/>
              </w:rPr>
              <w:fldChar w:fldCharType="separate"/>
            </w:r>
            <w:r w:rsidR="007B1066">
              <w:rPr>
                <w:b w:val="0"/>
                <w:webHidden/>
              </w:rPr>
              <w:t>61</w:t>
            </w:r>
            <w:r w:rsidR="00903FE7" w:rsidRPr="003478AF">
              <w:rPr>
                <w:b w:val="0"/>
                <w:webHidden/>
              </w:rPr>
              <w:fldChar w:fldCharType="end"/>
            </w:r>
          </w:hyperlink>
        </w:p>
        <w:p w14:paraId="78180533" w14:textId="1F2BC8AF" w:rsidR="00903FE7" w:rsidRPr="003478AF" w:rsidRDefault="00770903">
          <w:pPr>
            <w:pStyle w:val="Spistreci2"/>
            <w:rPr>
              <w:rFonts w:eastAsiaTheme="minorEastAsia" w:cstheme="minorBidi"/>
              <w:b w:val="0"/>
              <w:bCs w:val="0"/>
              <w:smallCaps w:val="0"/>
              <w:noProof/>
              <w:lang w:eastAsia="pl-PL"/>
            </w:rPr>
          </w:pPr>
          <w:hyperlink w:anchor="_Toc82159998" w:history="1">
            <w:r w:rsidR="00903FE7" w:rsidRPr="003478AF">
              <w:rPr>
                <w:rStyle w:val="Hipercze"/>
                <w:b w:val="0"/>
                <w:noProof/>
              </w:rPr>
              <w:t>5.1. Identyfikacja łańcuchów wartości w województwie wielkopolskim</w:t>
            </w:r>
            <w:r w:rsidR="00903FE7" w:rsidRPr="003478AF">
              <w:rPr>
                <w:b w:val="0"/>
                <w:noProof/>
                <w:webHidden/>
              </w:rPr>
              <w:tab/>
            </w:r>
            <w:r w:rsidR="00903FE7" w:rsidRPr="003478AF">
              <w:rPr>
                <w:b w:val="0"/>
                <w:noProof/>
                <w:webHidden/>
              </w:rPr>
              <w:fldChar w:fldCharType="begin"/>
            </w:r>
            <w:r w:rsidR="00903FE7" w:rsidRPr="003478AF">
              <w:rPr>
                <w:b w:val="0"/>
                <w:noProof/>
                <w:webHidden/>
              </w:rPr>
              <w:instrText xml:space="preserve"> PAGEREF _Toc82159998 \h </w:instrText>
            </w:r>
            <w:r w:rsidR="00903FE7" w:rsidRPr="003478AF">
              <w:rPr>
                <w:b w:val="0"/>
                <w:noProof/>
                <w:webHidden/>
              </w:rPr>
            </w:r>
            <w:r w:rsidR="00903FE7" w:rsidRPr="003478AF">
              <w:rPr>
                <w:b w:val="0"/>
                <w:noProof/>
                <w:webHidden/>
              </w:rPr>
              <w:fldChar w:fldCharType="separate"/>
            </w:r>
            <w:r w:rsidR="007B1066">
              <w:rPr>
                <w:b w:val="0"/>
                <w:noProof/>
                <w:webHidden/>
              </w:rPr>
              <w:t>61</w:t>
            </w:r>
            <w:r w:rsidR="00903FE7" w:rsidRPr="003478AF">
              <w:rPr>
                <w:b w:val="0"/>
                <w:noProof/>
                <w:webHidden/>
              </w:rPr>
              <w:fldChar w:fldCharType="end"/>
            </w:r>
          </w:hyperlink>
        </w:p>
        <w:p w14:paraId="4C8C6399" w14:textId="45968C4E" w:rsidR="00903FE7" w:rsidRPr="003478AF" w:rsidRDefault="00770903">
          <w:pPr>
            <w:pStyle w:val="Spistreci2"/>
            <w:rPr>
              <w:rFonts w:eastAsiaTheme="minorEastAsia" w:cstheme="minorBidi"/>
              <w:b w:val="0"/>
              <w:bCs w:val="0"/>
              <w:smallCaps w:val="0"/>
              <w:noProof/>
              <w:lang w:eastAsia="pl-PL"/>
            </w:rPr>
          </w:pPr>
          <w:hyperlink w:anchor="_Toc82159999" w:history="1">
            <w:r w:rsidR="00903FE7" w:rsidRPr="003478AF">
              <w:rPr>
                <w:rStyle w:val="Hipercze"/>
                <w:b w:val="0"/>
                <w:noProof/>
              </w:rPr>
              <w:t>5.2. Studium przypadku dla łańcuchów wartości  w województwie wielkopolskim</w:t>
            </w:r>
            <w:r w:rsidR="00903FE7" w:rsidRPr="003478AF">
              <w:rPr>
                <w:b w:val="0"/>
                <w:noProof/>
                <w:webHidden/>
              </w:rPr>
              <w:tab/>
            </w:r>
            <w:r w:rsidR="00903FE7" w:rsidRPr="003478AF">
              <w:rPr>
                <w:b w:val="0"/>
                <w:noProof/>
                <w:webHidden/>
              </w:rPr>
              <w:fldChar w:fldCharType="begin"/>
            </w:r>
            <w:r w:rsidR="00903FE7" w:rsidRPr="003478AF">
              <w:rPr>
                <w:b w:val="0"/>
                <w:noProof/>
                <w:webHidden/>
              </w:rPr>
              <w:instrText xml:space="preserve"> PAGEREF _Toc82159999 \h </w:instrText>
            </w:r>
            <w:r w:rsidR="00903FE7" w:rsidRPr="003478AF">
              <w:rPr>
                <w:b w:val="0"/>
                <w:noProof/>
                <w:webHidden/>
              </w:rPr>
            </w:r>
            <w:r w:rsidR="00903FE7" w:rsidRPr="003478AF">
              <w:rPr>
                <w:b w:val="0"/>
                <w:noProof/>
                <w:webHidden/>
              </w:rPr>
              <w:fldChar w:fldCharType="separate"/>
            </w:r>
            <w:r w:rsidR="007B1066">
              <w:rPr>
                <w:b w:val="0"/>
                <w:noProof/>
                <w:webHidden/>
              </w:rPr>
              <w:t>70</w:t>
            </w:r>
            <w:r w:rsidR="00903FE7" w:rsidRPr="003478AF">
              <w:rPr>
                <w:b w:val="0"/>
                <w:noProof/>
                <w:webHidden/>
              </w:rPr>
              <w:fldChar w:fldCharType="end"/>
            </w:r>
          </w:hyperlink>
        </w:p>
        <w:p w14:paraId="40D5B7FA" w14:textId="54E41431" w:rsidR="00903FE7" w:rsidRPr="003478AF" w:rsidRDefault="00770903">
          <w:pPr>
            <w:pStyle w:val="Spistreci1"/>
            <w:rPr>
              <w:rFonts w:asciiTheme="minorHAnsi" w:eastAsiaTheme="minorEastAsia" w:hAnsiTheme="minorHAnsi" w:cstheme="minorBidi"/>
              <w:b w:val="0"/>
              <w:bCs w:val="0"/>
              <w:sz w:val="22"/>
              <w:lang w:eastAsia="pl-PL"/>
            </w:rPr>
          </w:pPr>
          <w:hyperlink w:anchor="_Toc82160000" w:history="1">
            <w:r w:rsidR="00903FE7" w:rsidRPr="003478AF">
              <w:rPr>
                <w:rStyle w:val="Hipercze"/>
                <w:b w:val="0"/>
              </w:rPr>
              <w:t>6.</w:t>
            </w:r>
            <w:r w:rsidR="00903FE7" w:rsidRPr="003478AF">
              <w:rPr>
                <w:rFonts w:asciiTheme="minorHAnsi" w:eastAsiaTheme="minorEastAsia" w:hAnsiTheme="minorHAnsi" w:cstheme="minorBidi"/>
                <w:b w:val="0"/>
                <w:bCs w:val="0"/>
                <w:sz w:val="22"/>
                <w:lang w:eastAsia="pl-PL"/>
              </w:rPr>
              <w:tab/>
            </w:r>
            <w:r w:rsidR="00903FE7" w:rsidRPr="003478AF">
              <w:rPr>
                <w:rStyle w:val="Hipercze"/>
                <w:b w:val="0"/>
              </w:rPr>
              <w:t>Dobre praktyki realizacji GOZ przez przedsiębiorstwa  funkcjonujące na terenie województwa wielkopolskiego</w:t>
            </w:r>
            <w:r w:rsidR="00903FE7" w:rsidRPr="003478AF">
              <w:rPr>
                <w:b w:val="0"/>
                <w:webHidden/>
              </w:rPr>
              <w:tab/>
            </w:r>
            <w:r w:rsidR="00903FE7" w:rsidRPr="003478AF">
              <w:rPr>
                <w:b w:val="0"/>
                <w:webHidden/>
              </w:rPr>
              <w:fldChar w:fldCharType="begin"/>
            </w:r>
            <w:r w:rsidR="00903FE7" w:rsidRPr="003478AF">
              <w:rPr>
                <w:b w:val="0"/>
                <w:webHidden/>
              </w:rPr>
              <w:instrText xml:space="preserve"> PAGEREF _Toc82160000 \h </w:instrText>
            </w:r>
            <w:r w:rsidR="00903FE7" w:rsidRPr="003478AF">
              <w:rPr>
                <w:b w:val="0"/>
                <w:webHidden/>
              </w:rPr>
            </w:r>
            <w:r w:rsidR="00903FE7" w:rsidRPr="003478AF">
              <w:rPr>
                <w:b w:val="0"/>
                <w:webHidden/>
              </w:rPr>
              <w:fldChar w:fldCharType="separate"/>
            </w:r>
            <w:r w:rsidR="007B1066">
              <w:rPr>
                <w:b w:val="0"/>
                <w:webHidden/>
              </w:rPr>
              <w:t>73</w:t>
            </w:r>
            <w:r w:rsidR="00903FE7" w:rsidRPr="003478AF">
              <w:rPr>
                <w:b w:val="0"/>
                <w:webHidden/>
              </w:rPr>
              <w:fldChar w:fldCharType="end"/>
            </w:r>
          </w:hyperlink>
        </w:p>
        <w:p w14:paraId="61FFD207" w14:textId="659631E3" w:rsidR="00903FE7" w:rsidRPr="003478AF" w:rsidRDefault="00770903">
          <w:pPr>
            <w:pStyle w:val="Spistreci1"/>
            <w:rPr>
              <w:rFonts w:asciiTheme="minorHAnsi" w:eastAsiaTheme="minorEastAsia" w:hAnsiTheme="minorHAnsi" w:cstheme="minorBidi"/>
              <w:b w:val="0"/>
              <w:bCs w:val="0"/>
              <w:sz w:val="22"/>
              <w:lang w:eastAsia="pl-PL"/>
            </w:rPr>
          </w:pPr>
          <w:hyperlink w:anchor="_Toc82160001" w:history="1">
            <w:r w:rsidR="00903FE7" w:rsidRPr="003478AF">
              <w:rPr>
                <w:rStyle w:val="Hipercze"/>
                <w:b w:val="0"/>
              </w:rPr>
              <w:t>7.</w:t>
            </w:r>
            <w:r w:rsidR="00903FE7" w:rsidRPr="003478AF">
              <w:rPr>
                <w:rFonts w:asciiTheme="minorHAnsi" w:eastAsiaTheme="minorEastAsia" w:hAnsiTheme="minorHAnsi" w:cstheme="minorBidi"/>
                <w:b w:val="0"/>
                <w:bCs w:val="0"/>
                <w:sz w:val="22"/>
                <w:lang w:eastAsia="pl-PL"/>
              </w:rPr>
              <w:tab/>
            </w:r>
            <w:r w:rsidR="00903FE7" w:rsidRPr="003478AF">
              <w:rPr>
                <w:rStyle w:val="Hipercze"/>
                <w:b w:val="0"/>
              </w:rPr>
              <w:t>Analiza barier w zakresie rozwoju GOZ</w:t>
            </w:r>
            <w:r w:rsidR="00903FE7" w:rsidRPr="003478AF">
              <w:rPr>
                <w:b w:val="0"/>
                <w:webHidden/>
              </w:rPr>
              <w:tab/>
            </w:r>
            <w:r w:rsidR="00903FE7" w:rsidRPr="003478AF">
              <w:rPr>
                <w:b w:val="0"/>
                <w:webHidden/>
              </w:rPr>
              <w:fldChar w:fldCharType="begin"/>
            </w:r>
            <w:r w:rsidR="00903FE7" w:rsidRPr="003478AF">
              <w:rPr>
                <w:b w:val="0"/>
                <w:webHidden/>
              </w:rPr>
              <w:instrText xml:space="preserve"> PAGEREF _Toc82160001 \h </w:instrText>
            </w:r>
            <w:r w:rsidR="00903FE7" w:rsidRPr="003478AF">
              <w:rPr>
                <w:b w:val="0"/>
                <w:webHidden/>
              </w:rPr>
            </w:r>
            <w:r w:rsidR="00903FE7" w:rsidRPr="003478AF">
              <w:rPr>
                <w:b w:val="0"/>
                <w:webHidden/>
              </w:rPr>
              <w:fldChar w:fldCharType="separate"/>
            </w:r>
            <w:r w:rsidR="007B1066">
              <w:rPr>
                <w:b w:val="0"/>
                <w:webHidden/>
              </w:rPr>
              <w:t>80</w:t>
            </w:r>
            <w:r w:rsidR="00903FE7" w:rsidRPr="003478AF">
              <w:rPr>
                <w:b w:val="0"/>
                <w:webHidden/>
              </w:rPr>
              <w:fldChar w:fldCharType="end"/>
            </w:r>
          </w:hyperlink>
        </w:p>
        <w:p w14:paraId="2E293913" w14:textId="27F2758E" w:rsidR="00903FE7" w:rsidRPr="003478AF" w:rsidRDefault="00770903">
          <w:pPr>
            <w:pStyle w:val="Spistreci1"/>
            <w:rPr>
              <w:rFonts w:asciiTheme="minorHAnsi" w:eastAsiaTheme="minorEastAsia" w:hAnsiTheme="minorHAnsi" w:cstheme="minorBidi"/>
              <w:b w:val="0"/>
              <w:bCs w:val="0"/>
              <w:sz w:val="22"/>
              <w:lang w:eastAsia="pl-PL"/>
            </w:rPr>
          </w:pPr>
          <w:hyperlink w:anchor="_Toc82160002" w:history="1">
            <w:r w:rsidR="00903FE7" w:rsidRPr="003478AF">
              <w:rPr>
                <w:rStyle w:val="Hipercze"/>
                <w:b w:val="0"/>
              </w:rPr>
              <w:t>8.</w:t>
            </w:r>
            <w:r w:rsidR="00903FE7" w:rsidRPr="003478AF">
              <w:rPr>
                <w:rFonts w:asciiTheme="minorHAnsi" w:eastAsiaTheme="minorEastAsia" w:hAnsiTheme="minorHAnsi" w:cstheme="minorBidi"/>
                <w:b w:val="0"/>
                <w:bCs w:val="0"/>
                <w:sz w:val="22"/>
                <w:lang w:eastAsia="pl-PL"/>
              </w:rPr>
              <w:tab/>
            </w:r>
            <w:r w:rsidR="00903FE7" w:rsidRPr="003478AF">
              <w:rPr>
                <w:rStyle w:val="Hipercze"/>
                <w:b w:val="0"/>
              </w:rPr>
              <w:t>Wskaźniki oceny stopnia rozwoju GOZ oraz ich analiza w odniesieniu do województwa wielkopolskiego</w:t>
            </w:r>
            <w:r w:rsidR="00903FE7" w:rsidRPr="003478AF">
              <w:rPr>
                <w:b w:val="0"/>
                <w:webHidden/>
              </w:rPr>
              <w:tab/>
            </w:r>
            <w:r w:rsidR="00903FE7" w:rsidRPr="003478AF">
              <w:rPr>
                <w:b w:val="0"/>
                <w:webHidden/>
              </w:rPr>
              <w:fldChar w:fldCharType="begin"/>
            </w:r>
            <w:r w:rsidR="00903FE7" w:rsidRPr="003478AF">
              <w:rPr>
                <w:b w:val="0"/>
                <w:webHidden/>
              </w:rPr>
              <w:instrText xml:space="preserve"> PAGEREF _Toc82160002 \h </w:instrText>
            </w:r>
            <w:r w:rsidR="00903FE7" w:rsidRPr="003478AF">
              <w:rPr>
                <w:b w:val="0"/>
                <w:webHidden/>
              </w:rPr>
            </w:r>
            <w:r w:rsidR="00903FE7" w:rsidRPr="003478AF">
              <w:rPr>
                <w:b w:val="0"/>
                <w:webHidden/>
              </w:rPr>
              <w:fldChar w:fldCharType="separate"/>
            </w:r>
            <w:r w:rsidR="007B1066">
              <w:rPr>
                <w:b w:val="0"/>
                <w:webHidden/>
              </w:rPr>
              <w:t>88</w:t>
            </w:r>
            <w:r w:rsidR="00903FE7" w:rsidRPr="003478AF">
              <w:rPr>
                <w:b w:val="0"/>
                <w:webHidden/>
              </w:rPr>
              <w:fldChar w:fldCharType="end"/>
            </w:r>
          </w:hyperlink>
        </w:p>
        <w:p w14:paraId="2798D812" w14:textId="77777777" w:rsidR="00903FE7" w:rsidRPr="003478AF" w:rsidRDefault="00903FE7">
          <w:pPr>
            <w:spacing w:line="240" w:lineRule="auto"/>
            <w:ind w:firstLine="0"/>
            <w:jc w:val="left"/>
            <w:rPr>
              <w:rStyle w:val="Hipercze"/>
              <w:rFonts w:asciiTheme="minorHAnsi" w:hAnsiTheme="minorHAnsi" w:cstheme="minorHAnsi"/>
              <w:bCs/>
              <w:smallCaps/>
              <w:noProof/>
              <w:sz w:val="22"/>
            </w:rPr>
          </w:pPr>
          <w:r w:rsidRPr="003478AF">
            <w:rPr>
              <w:rStyle w:val="Hipercze"/>
              <w:b/>
              <w:noProof/>
            </w:rPr>
            <w:br w:type="page"/>
          </w:r>
        </w:p>
        <w:p w14:paraId="7E7F6245" w14:textId="2F8CC841" w:rsidR="00903FE7" w:rsidRPr="003478AF" w:rsidRDefault="00770903">
          <w:pPr>
            <w:pStyle w:val="Spistreci2"/>
            <w:rPr>
              <w:rFonts w:eastAsiaTheme="minorEastAsia" w:cstheme="minorBidi"/>
              <w:b w:val="0"/>
              <w:bCs w:val="0"/>
              <w:smallCaps w:val="0"/>
              <w:noProof/>
              <w:lang w:eastAsia="pl-PL"/>
            </w:rPr>
          </w:pPr>
          <w:hyperlink w:anchor="_Toc82160003" w:history="1">
            <w:r w:rsidR="00903FE7" w:rsidRPr="003478AF">
              <w:rPr>
                <w:rStyle w:val="Hipercze"/>
                <w:b w:val="0"/>
                <w:noProof/>
              </w:rPr>
              <w:t>8.1. Wskaźniki oceny stopnia rozwoju GOZ</w:t>
            </w:r>
            <w:r w:rsidR="00903FE7" w:rsidRPr="003478AF">
              <w:rPr>
                <w:b w:val="0"/>
                <w:noProof/>
                <w:webHidden/>
              </w:rPr>
              <w:tab/>
            </w:r>
            <w:r w:rsidR="00903FE7" w:rsidRPr="003478AF">
              <w:rPr>
                <w:b w:val="0"/>
                <w:noProof/>
                <w:webHidden/>
              </w:rPr>
              <w:fldChar w:fldCharType="begin"/>
            </w:r>
            <w:r w:rsidR="00903FE7" w:rsidRPr="003478AF">
              <w:rPr>
                <w:b w:val="0"/>
                <w:noProof/>
                <w:webHidden/>
              </w:rPr>
              <w:instrText xml:space="preserve"> PAGEREF _Toc82160003 \h </w:instrText>
            </w:r>
            <w:r w:rsidR="00903FE7" w:rsidRPr="003478AF">
              <w:rPr>
                <w:b w:val="0"/>
                <w:noProof/>
                <w:webHidden/>
              </w:rPr>
            </w:r>
            <w:r w:rsidR="00903FE7" w:rsidRPr="003478AF">
              <w:rPr>
                <w:b w:val="0"/>
                <w:noProof/>
                <w:webHidden/>
              </w:rPr>
              <w:fldChar w:fldCharType="separate"/>
            </w:r>
            <w:r w:rsidR="007B1066">
              <w:rPr>
                <w:b w:val="0"/>
                <w:noProof/>
                <w:webHidden/>
              </w:rPr>
              <w:t>88</w:t>
            </w:r>
            <w:r w:rsidR="00903FE7" w:rsidRPr="003478AF">
              <w:rPr>
                <w:b w:val="0"/>
                <w:noProof/>
                <w:webHidden/>
              </w:rPr>
              <w:fldChar w:fldCharType="end"/>
            </w:r>
          </w:hyperlink>
        </w:p>
        <w:p w14:paraId="77E9DF22" w14:textId="48B7A4C8" w:rsidR="00903FE7" w:rsidRPr="003478AF" w:rsidRDefault="00770903">
          <w:pPr>
            <w:pStyle w:val="Spistreci2"/>
            <w:rPr>
              <w:rFonts w:eastAsiaTheme="minorEastAsia" w:cstheme="minorBidi"/>
              <w:b w:val="0"/>
              <w:bCs w:val="0"/>
              <w:smallCaps w:val="0"/>
              <w:noProof/>
              <w:lang w:eastAsia="pl-PL"/>
            </w:rPr>
          </w:pPr>
          <w:hyperlink w:anchor="_Toc82160004" w:history="1">
            <w:r w:rsidR="00903FE7" w:rsidRPr="003478AF">
              <w:rPr>
                <w:rStyle w:val="Hipercze"/>
                <w:b w:val="0"/>
                <w:noProof/>
              </w:rPr>
              <w:t>8.2.</w:t>
            </w:r>
            <w:r w:rsidR="00903FE7" w:rsidRPr="003478AF">
              <w:rPr>
                <w:rFonts w:eastAsiaTheme="minorEastAsia" w:cstheme="minorBidi"/>
                <w:b w:val="0"/>
                <w:bCs w:val="0"/>
                <w:smallCaps w:val="0"/>
                <w:noProof/>
                <w:lang w:eastAsia="pl-PL"/>
              </w:rPr>
              <w:tab/>
            </w:r>
            <w:r w:rsidR="00903FE7" w:rsidRPr="003478AF">
              <w:rPr>
                <w:rStyle w:val="Hipercze"/>
                <w:b w:val="0"/>
                <w:noProof/>
              </w:rPr>
              <w:t>Analiza wskaźników oceny stopnia rozwoju GOZ w odniesieniu do województwa wielkopolskiego</w:t>
            </w:r>
            <w:r w:rsidR="00903FE7" w:rsidRPr="003478AF">
              <w:rPr>
                <w:b w:val="0"/>
                <w:noProof/>
                <w:webHidden/>
              </w:rPr>
              <w:tab/>
            </w:r>
            <w:r w:rsidR="00903FE7" w:rsidRPr="003478AF">
              <w:rPr>
                <w:b w:val="0"/>
                <w:noProof/>
                <w:webHidden/>
              </w:rPr>
              <w:fldChar w:fldCharType="begin"/>
            </w:r>
            <w:r w:rsidR="00903FE7" w:rsidRPr="003478AF">
              <w:rPr>
                <w:b w:val="0"/>
                <w:noProof/>
                <w:webHidden/>
              </w:rPr>
              <w:instrText xml:space="preserve"> PAGEREF _Toc82160004 \h </w:instrText>
            </w:r>
            <w:r w:rsidR="00903FE7" w:rsidRPr="003478AF">
              <w:rPr>
                <w:b w:val="0"/>
                <w:noProof/>
                <w:webHidden/>
              </w:rPr>
            </w:r>
            <w:r w:rsidR="00903FE7" w:rsidRPr="003478AF">
              <w:rPr>
                <w:b w:val="0"/>
                <w:noProof/>
                <w:webHidden/>
              </w:rPr>
              <w:fldChar w:fldCharType="separate"/>
            </w:r>
            <w:r w:rsidR="007B1066">
              <w:rPr>
                <w:b w:val="0"/>
                <w:noProof/>
                <w:webHidden/>
              </w:rPr>
              <w:t>98</w:t>
            </w:r>
            <w:r w:rsidR="00903FE7" w:rsidRPr="003478AF">
              <w:rPr>
                <w:b w:val="0"/>
                <w:noProof/>
                <w:webHidden/>
              </w:rPr>
              <w:fldChar w:fldCharType="end"/>
            </w:r>
          </w:hyperlink>
        </w:p>
        <w:p w14:paraId="6222151C" w14:textId="5AC242F7" w:rsidR="00903FE7" w:rsidRPr="003478AF" w:rsidRDefault="00770903">
          <w:pPr>
            <w:pStyle w:val="Spistreci1"/>
            <w:rPr>
              <w:rFonts w:asciiTheme="minorHAnsi" w:eastAsiaTheme="minorEastAsia" w:hAnsiTheme="minorHAnsi" w:cstheme="minorBidi"/>
              <w:b w:val="0"/>
              <w:bCs w:val="0"/>
              <w:sz w:val="22"/>
              <w:lang w:eastAsia="pl-PL"/>
            </w:rPr>
          </w:pPr>
          <w:hyperlink w:anchor="_Toc82160005" w:history="1">
            <w:r w:rsidR="00903FE7" w:rsidRPr="003478AF">
              <w:rPr>
                <w:rStyle w:val="Hipercze"/>
                <w:b w:val="0"/>
              </w:rPr>
              <w:t>9.</w:t>
            </w:r>
            <w:r w:rsidR="00903FE7" w:rsidRPr="003478AF">
              <w:rPr>
                <w:rFonts w:asciiTheme="minorHAnsi" w:eastAsiaTheme="minorEastAsia" w:hAnsiTheme="minorHAnsi" w:cstheme="minorBidi"/>
                <w:b w:val="0"/>
                <w:bCs w:val="0"/>
                <w:sz w:val="22"/>
                <w:lang w:eastAsia="pl-PL"/>
              </w:rPr>
              <w:tab/>
            </w:r>
            <w:r w:rsidR="00903FE7" w:rsidRPr="003478AF">
              <w:rPr>
                <w:rStyle w:val="Hipercze"/>
                <w:b w:val="0"/>
              </w:rPr>
              <w:t>Propozycje działań wspierających transformację w kierunku GOZ oraz likwidujących bariery rozwoju GOZ w zależności  od źródeł finansowania</w:t>
            </w:r>
            <w:r w:rsidR="00903FE7" w:rsidRPr="003478AF">
              <w:rPr>
                <w:b w:val="0"/>
                <w:webHidden/>
              </w:rPr>
              <w:tab/>
            </w:r>
            <w:r w:rsidR="00903FE7" w:rsidRPr="003478AF">
              <w:rPr>
                <w:b w:val="0"/>
                <w:webHidden/>
              </w:rPr>
              <w:fldChar w:fldCharType="begin"/>
            </w:r>
            <w:r w:rsidR="00903FE7" w:rsidRPr="003478AF">
              <w:rPr>
                <w:b w:val="0"/>
                <w:webHidden/>
              </w:rPr>
              <w:instrText xml:space="preserve"> PAGEREF _Toc82160005 \h </w:instrText>
            </w:r>
            <w:r w:rsidR="00903FE7" w:rsidRPr="003478AF">
              <w:rPr>
                <w:b w:val="0"/>
                <w:webHidden/>
              </w:rPr>
            </w:r>
            <w:r w:rsidR="00903FE7" w:rsidRPr="003478AF">
              <w:rPr>
                <w:b w:val="0"/>
                <w:webHidden/>
              </w:rPr>
              <w:fldChar w:fldCharType="separate"/>
            </w:r>
            <w:r w:rsidR="007B1066">
              <w:rPr>
                <w:b w:val="0"/>
                <w:webHidden/>
              </w:rPr>
              <w:t>133</w:t>
            </w:r>
            <w:r w:rsidR="00903FE7" w:rsidRPr="003478AF">
              <w:rPr>
                <w:b w:val="0"/>
                <w:webHidden/>
              </w:rPr>
              <w:fldChar w:fldCharType="end"/>
            </w:r>
          </w:hyperlink>
        </w:p>
        <w:p w14:paraId="5090B374" w14:textId="5172A980" w:rsidR="00903FE7" w:rsidRPr="003478AF" w:rsidRDefault="00770903">
          <w:pPr>
            <w:pStyle w:val="Spistreci2"/>
            <w:rPr>
              <w:rFonts w:eastAsiaTheme="minorEastAsia" w:cstheme="minorBidi"/>
              <w:b w:val="0"/>
              <w:bCs w:val="0"/>
              <w:smallCaps w:val="0"/>
              <w:noProof/>
              <w:lang w:eastAsia="pl-PL"/>
            </w:rPr>
          </w:pPr>
          <w:hyperlink w:anchor="_Toc82160006" w:history="1">
            <w:r w:rsidR="00903FE7" w:rsidRPr="003478AF">
              <w:rPr>
                <w:rStyle w:val="Hipercze"/>
                <w:b w:val="0"/>
                <w:noProof/>
              </w:rPr>
              <w:t>9.1. Wsparcie finansowe w kierunku GOZ w latach 2014-2020</w:t>
            </w:r>
            <w:r w:rsidR="00903FE7" w:rsidRPr="003478AF">
              <w:rPr>
                <w:b w:val="0"/>
                <w:noProof/>
                <w:webHidden/>
              </w:rPr>
              <w:tab/>
            </w:r>
            <w:r w:rsidR="00903FE7" w:rsidRPr="003478AF">
              <w:rPr>
                <w:b w:val="0"/>
                <w:noProof/>
                <w:webHidden/>
              </w:rPr>
              <w:fldChar w:fldCharType="begin"/>
            </w:r>
            <w:r w:rsidR="00903FE7" w:rsidRPr="003478AF">
              <w:rPr>
                <w:b w:val="0"/>
                <w:noProof/>
                <w:webHidden/>
              </w:rPr>
              <w:instrText xml:space="preserve"> PAGEREF _Toc82160006 \h </w:instrText>
            </w:r>
            <w:r w:rsidR="00903FE7" w:rsidRPr="003478AF">
              <w:rPr>
                <w:b w:val="0"/>
                <w:noProof/>
                <w:webHidden/>
              </w:rPr>
            </w:r>
            <w:r w:rsidR="00903FE7" w:rsidRPr="003478AF">
              <w:rPr>
                <w:b w:val="0"/>
                <w:noProof/>
                <w:webHidden/>
              </w:rPr>
              <w:fldChar w:fldCharType="separate"/>
            </w:r>
            <w:r w:rsidR="007B1066">
              <w:rPr>
                <w:b w:val="0"/>
                <w:noProof/>
                <w:webHidden/>
              </w:rPr>
              <w:t>133</w:t>
            </w:r>
            <w:r w:rsidR="00903FE7" w:rsidRPr="003478AF">
              <w:rPr>
                <w:b w:val="0"/>
                <w:noProof/>
                <w:webHidden/>
              </w:rPr>
              <w:fldChar w:fldCharType="end"/>
            </w:r>
          </w:hyperlink>
        </w:p>
        <w:p w14:paraId="5A4152A3" w14:textId="67343A39" w:rsidR="00903FE7" w:rsidRPr="003478AF" w:rsidRDefault="00770903">
          <w:pPr>
            <w:pStyle w:val="Spistreci2"/>
            <w:rPr>
              <w:rFonts w:eastAsiaTheme="minorEastAsia" w:cstheme="minorBidi"/>
              <w:b w:val="0"/>
              <w:bCs w:val="0"/>
              <w:smallCaps w:val="0"/>
              <w:noProof/>
              <w:lang w:eastAsia="pl-PL"/>
            </w:rPr>
          </w:pPr>
          <w:hyperlink w:anchor="_Toc82160007" w:history="1">
            <w:r w:rsidR="00903FE7" w:rsidRPr="003478AF">
              <w:rPr>
                <w:rStyle w:val="Hipercze"/>
                <w:b w:val="0"/>
                <w:noProof/>
              </w:rPr>
              <w:t>9.2. Wsparcie finansowe w kierunku GOZ w latach 2020-2027</w:t>
            </w:r>
            <w:r w:rsidR="00903FE7" w:rsidRPr="003478AF">
              <w:rPr>
                <w:b w:val="0"/>
                <w:noProof/>
                <w:webHidden/>
              </w:rPr>
              <w:tab/>
            </w:r>
            <w:r w:rsidR="00903FE7" w:rsidRPr="003478AF">
              <w:rPr>
                <w:b w:val="0"/>
                <w:noProof/>
                <w:webHidden/>
              </w:rPr>
              <w:fldChar w:fldCharType="begin"/>
            </w:r>
            <w:r w:rsidR="00903FE7" w:rsidRPr="003478AF">
              <w:rPr>
                <w:b w:val="0"/>
                <w:noProof/>
                <w:webHidden/>
              </w:rPr>
              <w:instrText xml:space="preserve"> PAGEREF _Toc82160007 \h </w:instrText>
            </w:r>
            <w:r w:rsidR="00903FE7" w:rsidRPr="003478AF">
              <w:rPr>
                <w:b w:val="0"/>
                <w:noProof/>
                <w:webHidden/>
              </w:rPr>
            </w:r>
            <w:r w:rsidR="00903FE7" w:rsidRPr="003478AF">
              <w:rPr>
                <w:b w:val="0"/>
                <w:noProof/>
                <w:webHidden/>
              </w:rPr>
              <w:fldChar w:fldCharType="separate"/>
            </w:r>
            <w:r w:rsidR="007B1066">
              <w:rPr>
                <w:b w:val="0"/>
                <w:noProof/>
                <w:webHidden/>
              </w:rPr>
              <w:t>136</w:t>
            </w:r>
            <w:r w:rsidR="00903FE7" w:rsidRPr="003478AF">
              <w:rPr>
                <w:b w:val="0"/>
                <w:noProof/>
                <w:webHidden/>
              </w:rPr>
              <w:fldChar w:fldCharType="end"/>
            </w:r>
          </w:hyperlink>
        </w:p>
        <w:p w14:paraId="170C2DD4" w14:textId="00EAECFA" w:rsidR="00903FE7" w:rsidRPr="003478AF" w:rsidRDefault="00770903">
          <w:pPr>
            <w:pStyle w:val="Spistreci2"/>
            <w:rPr>
              <w:rFonts w:eastAsiaTheme="minorEastAsia" w:cstheme="minorBidi"/>
              <w:b w:val="0"/>
              <w:bCs w:val="0"/>
              <w:smallCaps w:val="0"/>
              <w:noProof/>
              <w:lang w:eastAsia="pl-PL"/>
            </w:rPr>
          </w:pPr>
          <w:hyperlink w:anchor="_Toc82160008" w:history="1">
            <w:r w:rsidR="00903FE7" w:rsidRPr="003478AF">
              <w:rPr>
                <w:rStyle w:val="Hipercze"/>
                <w:b w:val="0"/>
                <w:noProof/>
              </w:rPr>
              <w:t>9.3. Inne propozycje wsparcia finansowego w kierunku GOZ</w:t>
            </w:r>
            <w:r w:rsidR="00903FE7" w:rsidRPr="003478AF">
              <w:rPr>
                <w:b w:val="0"/>
                <w:noProof/>
                <w:webHidden/>
              </w:rPr>
              <w:tab/>
            </w:r>
            <w:r w:rsidR="00903FE7" w:rsidRPr="003478AF">
              <w:rPr>
                <w:b w:val="0"/>
                <w:noProof/>
                <w:webHidden/>
              </w:rPr>
              <w:fldChar w:fldCharType="begin"/>
            </w:r>
            <w:r w:rsidR="00903FE7" w:rsidRPr="003478AF">
              <w:rPr>
                <w:b w:val="0"/>
                <w:noProof/>
                <w:webHidden/>
              </w:rPr>
              <w:instrText xml:space="preserve"> PAGEREF _Toc82160008 \h </w:instrText>
            </w:r>
            <w:r w:rsidR="00903FE7" w:rsidRPr="003478AF">
              <w:rPr>
                <w:b w:val="0"/>
                <w:noProof/>
                <w:webHidden/>
              </w:rPr>
            </w:r>
            <w:r w:rsidR="00903FE7" w:rsidRPr="003478AF">
              <w:rPr>
                <w:b w:val="0"/>
                <w:noProof/>
                <w:webHidden/>
              </w:rPr>
              <w:fldChar w:fldCharType="separate"/>
            </w:r>
            <w:r w:rsidR="007B1066">
              <w:rPr>
                <w:b w:val="0"/>
                <w:noProof/>
                <w:webHidden/>
              </w:rPr>
              <w:t>138</w:t>
            </w:r>
            <w:r w:rsidR="00903FE7" w:rsidRPr="003478AF">
              <w:rPr>
                <w:b w:val="0"/>
                <w:noProof/>
                <w:webHidden/>
              </w:rPr>
              <w:fldChar w:fldCharType="end"/>
            </w:r>
          </w:hyperlink>
        </w:p>
        <w:p w14:paraId="4946E619" w14:textId="2A680CDB" w:rsidR="00903FE7" w:rsidRPr="003478AF" w:rsidRDefault="00770903">
          <w:pPr>
            <w:pStyle w:val="Spistreci1"/>
            <w:rPr>
              <w:rFonts w:asciiTheme="minorHAnsi" w:eastAsiaTheme="minorEastAsia" w:hAnsiTheme="minorHAnsi" w:cstheme="minorBidi"/>
              <w:b w:val="0"/>
              <w:bCs w:val="0"/>
              <w:sz w:val="22"/>
              <w:lang w:eastAsia="pl-PL"/>
            </w:rPr>
          </w:pPr>
          <w:hyperlink w:anchor="_Toc82160009" w:history="1">
            <w:r w:rsidR="00903FE7" w:rsidRPr="003478AF">
              <w:rPr>
                <w:rStyle w:val="Hipercze"/>
                <w:b w:val="0"/>
              </w:rPr>
              <w:t>10.</w:t>
            </w:r>
            <w:r w:rsidR="00903FE7" w:rsidRPr="003478AF">
              <w:rPr>
                <w:rFonts w:asciiTheme="minorHAnsi" w:eastAsiaTheme="minorEastAsia" w:hAnsiTheme="minorHAnsi" w:cstheme="minorBidi"/>
                <w:b w:val="0"/>
                <w:bCs w:val="0"/>
                <w:sz w:val="22"/>
                <w:lang w:eastAsia="pl-PL"/>
              </w:rPr>
              <w:tab/>
            </w:r>
            <w:r w:rsidR="00903FE7" w:rsidRPr="003478AF">
              <w:rPr>
                <w:rStyle w:val="Hipercze"/>
                <w:b w:val="0"/>
              </w:rPr>
              <w:t>Podsumowanie</w:t>
            </w:r>
            <w:r w:rsidR="00903FE7" w:rsidRPr="003478AF">
              <w:rPr>
                <w:b w:val="0"/>
                <w:webHidden/>
              </w:rPr>
              <w:tab/>
            </w:r>
            <w:r w:rsidR="00903FE7" w:rsidRPr="003478AF">
              <w:rPr>
                <w:b w:val="0"/>
                <w:webHidden/>
              </w:rPr>
              <w:fldChar w:fldCharType="begin"/>
            </w:r>
            <w:r w:rsidR="00903FE7" w:rsidRPr="003478AF">
              <w:rPr>
                <w:b w:val="0"/>
                <w:webHidden/>
              </w:rPr>
              <w:instrText xml:space="preserve"> PAGEREF _Toc82160009 \h </w:instrText>
            </w:r>
            <w:r w:rsidR="00903FE7" w:rsidRPr="003478AF">
              <w:rPr>
                <w:b w:val="0"/>
                <w:webHidden/>
              </w:rPr>
            </w:r>
            <w:r w:rsidR="00903FE7" w:rsidRPr="003478AF">
              <w:rPr>
                <w:b w:val="0"/>
                <w:webHidden/>
              </w:rPr>
              <w:fldChar w:fldCharType="separate"/>
            </w:r>
            <w:r w:rsidR="007B1066">
              <w:rPr>
                <w:b w:val="0"/>
                <w:webHidden/>
              </w:rPr>
              <w:t>144</w:t>
            </w:r>
            <w:r w:rsidR="00903FE7" w:rsidRPr="003478AF">
              <w:rPr>
                <w:b w:val="0"/>
                <w:webHidden/>
              </w:rPr>
              <w:fldChar w:fldCharType="end"/>
            </w:r>
          </w:hyperlink>
        </w:p>
        <w:p w14:paraId="3FF61CE2" w14:textId="4E3EB84B" w:rsidR="00903FE7" w:rsidRPr="003478AF" w:rsidRDefault="00770903">
          <w:pPr>
            <w:pStyle w:val="Spistreci3"/>
            <w:rPr>
              <w:rFonts w:eastAsiaTheme="minorEastAsia" w:cstheme="minorBidi"/>
              <w:smallCaps w:val="0"/>
              <w:noProof/>
              <w:lang w:eastAsia="pl-PL"/>
            </w:rPr>
          </w:pPr>
          <w:hyperlink w:anchor="_Toc82160010" w:history="1">
            <w:r w:rsidR="00903FE7" w:rsidRPr="003478AF">
              <w:rPr>
                <w:rStyle w:val="Hipercze"/>
                <w:noProof/>
              </w:rPr>
              <w:t>Bibliografia</w:t>
            </w:r>
            <w:r w:rsidR="00903FE7" w:rsidRPr="003478AF">
              <w:rPr>
                <w:noProof/>
                <w:webHidden/>
              </w:rPr>
              <w:tab/>
            </w:r>
            <w:r w:rsidR="00903FE7" w:rsidRPr="003478AF">
              <w:rPr>
                <w:noProof/>
                <w:webHidden/>
              </w:rPr>
              <w:fldChar w:fldCharType="begin"/>
            </w:r>
            <w:r w:rsidR="00903FE7" w:rsidRPr="003478AF">
              <w:rPr>
                <w:noProof/>
                <w:webHidden/>
              </w:rPr>
              <w:instrText xml:space="preserve"> PAGEREF _Toc82160010 \h </w:instrText>
            </w:r>
            <w:r w:rsidR="00903FE7" w:rsidRPr="003478AF">
              <w:rPr>
                <w:noProof/>
                <w:webHidden/>
              </w:rPr>
            </w:r>
            <w:r w:rsidR="00903FE7" w:rsidRPr="003478AF">
              <w:rPr>
                <w:noProof/>
                <w:webHidden/>
              </w:rPr>
              <w:fldChar w:fldCharType="separate"/>
            </w:r>
            <w:r w:rsidR="007B1066">
              <w:rPr>
                <w:noProof/>
                <w:webHidden/>
              </w:rPr>
              <w:t>146</w:t>
            </w:r>
            <w:r w:rsidR="00903FE7" w:rsidRPr="003478AF">
              <w:rPr>
                <w:noProof/>
                <w:webHidden/>
              </w:rPr>
              <w:fldChar w:fldCharType="end"/>
            </w:r>
          </w:hyperlink>
        </w:p>
        <w:p w14:paraId="5FBECEBC" w14:textId="0B45712F" w:rsidR="00903FE7" w:rsidRPr="003478AF" w:rsidRDefault="00770903">
          <w:pPr>
            <w:pStyle w:val="Spistreci3"/>
            <w:rPr>
              <w:rFonts w:eastAsiaTheme="minorEastAsia" w:cstheme="minorBidi"/>
              <w:smallCaps w:val="0"/>
              <w:noProof/>
              <w:lang w:eastAsia="pl-PL"/>
            </w:rPr>
          </w:pPr>
          <w:hyperlink w:anchor="_Toc82160011" w:history="1">
            <w:r w:rsidR="00903FE7" w:rsidRPr="003478AF">
              <w:rPr>
                <w:rStyle w:val="Hipercze"/>
                <w:noProof/>
              </w:rPr>
              <w:t>Załącznik 1. Wskaźniki GOZ w dokumentach strategicznych Wielkopolski</w:t>
            </w:r>
            <w:r w:rsidR="00903FE7" w:rsidRPr="003478AF">
              <w:rPr>
                <w:noProof/>
                <w:webHidden/>
              </w:rPr>
              <w:tab/>
            </w:r>
            <w:r w:rsidR="00903FE7" w:rsidRPr="003478AF">
              <w:rPr>
                <w:noProof/>
                <w:webHidden/>
              </w:rPr>
              <w:fldChar w:fldCharType="begin"/>
            </w:r>
            <w:r w:rsidR="00903FE7" w:rsidRPr="003478AF">
              <w:rPr>
                <w:noProof/>
                <w:webHidden/>
              </w:rPr>
              <w:instrText xml:space="preserve"> PAGEREF _Toc82160011 \h </w:instrText>
            </w:r>
            <w:r w:rsidR="00903FE7" w:rsidRPr="003478AF">
              <w:rPr>
                <w:noProof/>
                <w:webHidden/>
              </w:rPr>
            </w:r>
            <w:r w:rsidR="00903FE7" w:rsidRPr="003478AF">
              <w:rPr>
                <w:noProof/>
                <w:webHidden/>
              </w:rPr>
              <w:fldChar w:fldCharType="separate"/>
            </w:r>
            <w:r w:rsidR="007B1066">
              <w:rPr>
                <w:noProof/>
                <w:webHidden/>
              </w:rPr>
              <w:t>151</w:t>
            </w:r>
            <w:r w:rsidR="00903FE7" w:rsidRPr="003478AF">
              <w:rPr>
                <w:noProof/>
                <w:webHidden/>
              </w:rPr>
              <w:fldChar w:fldCharType="end"/>
            </w:r>
          </w:hyperlink>
        </w:p>
        <w:p w14:paraId="360DEAD3" w14:textId="4EDBD638" w:rsidR="00903FE7" w:rsidRPr="003478AF" w:rsidRDefault="00770903">
          <w:pPr>
            <w:pStyle w:val="Spistreci3"/>
            <w:rPr>
              <w:rFonts w:eastAsiaTheme="minorEastAsia" w:cstheme="minorBidi"/>
              <w:smallCaps w:val="0"/>
              <w:noProof/>
              <w:lang w:eastAsia="pl-PL"/>
            </w:rPr>
          </w:pPr>
          <w:hyperlink w:anchor="_Toc82160012" w:history="1">
            <w:r w:rsidR="00903FE7" w:rsidRPr="003478AF">
              <w:rPr>
                <w:rStyle w:val="Hipercze"/>
                <w:noProof/>
              </w:rPr>
              <w:t>Załącznik 2. Analiza regresji wskaźników</w:t>
            </w:r>
            <w:r w:rsidR="00903FE7" w:rsidRPr="003478AF">
              <w:rPr>
                <w:noProof/>
                <w:webHidden/>
              </w:rPr>
              <w:tab/>
            </w:r>
            <w:r w:rsidR="00903FE7" w:rsidRPr="003478AF">
              <w:rPr>
                <w:noProof/>
                <w:webHidden/>
              </w:rPr>
              <w:fldChar w:fldCharType="begin"/>
            </w:r>
            <w:r w:rsidR="00903FE7" w:rsidRPr="003478AF">
              <w:rPr>
                <w:noProof/>
                <w:webHidden/>
              </w:rPr>
              <w:instrText xml:space="preserve"> PAGEREF _Toc82160012 \h </w:instrText>
            </w:r>
            <w:r w:rsidR="00903FE7" w:rsidRPr="003478AF">
              <w:rPr>
                <w:noProof/>
                <w:webHidden/>
              </w:rPr>
            </w:r>
            <w:r w:rsidR="00903FE7" w:rsidRPr="003478AF">
              <w:rPr>
                <w:noProof/>
                <w:webHidden/>
              </w:rPr>
              <w:fldChar w:fldCharType="separate"/>
            </w:r>
            <w:r w:rsidR="007B1066">
              <w:rPr>
                <w:noProof/>
                <w:webHidden/>
              </w:rPr>
              <w:t>157</w:t>
            </w:r>
            <w:r w:rsidR="00903FE7" w:rsidRPr="003478AF">
              <w:rPr>
                <w:noProof/>
                <w:webHidden/>
              </w:rPr>
              <w:fldChar w:fldCharType="end"/>
            </w:r>
          </w:hyperlink>
        </w:p>
        <w:p w14:paraId="06C3F904" w14:textId="0108F0F2" w:rsidR="00680755" w:rsidRPr="003478AF" w:rsidRDefault="00853059" w:rsidP="00C817F6">
          <w:pPr>
            <w:pStyle w:val="Spistreci1"/>
          </w:pPr>
          <w:r w:rsidRPr="003478AF">
            <w:rPr>
              <w:b w:val="0"/>
              <w:bCs w:val="0"/>
            </w:rPr>
            <w:fldChar w:fldCharType="end"/>
          </w:r>
        </w:p>
      </w:sdtContent>
    </w:sdt>
    <w:bookmarkEnd w:id="2" w:displacedByCustomXml="prev"/>
    <w:p w14:paraId="2734B39F" w14:textId="77777777" w:rsidR="00BC4D13" w:rsidRPr="003478AF" w:rsidRDefault="00BC4D13" w:rsidP="00613897">
      <w:pPr>
        <w:autoSpaceDE w:val="0"/>
        <w:autoSpaceDN w:val="0"/>
        <w:adjustRightInd w:val="0"/>
        <w:ind w:firstLine="0"/>
        <w:rPr>
          <w:rFonts w:eastAsia="MinionPro-Regular" w:cs="Arial"/>
          <w:b/>
          <w:szCs w:val="20"/>
        </w:rPr>
      </w:pPr>
    </w:p>
    <w:p w14:paraId="011850C3" w14:textId="77777777" w:rsidR="00E7251B" w:rsidRPr="003478AF" w:rsidRDefault="00E7251B">
      <w:pPr>
        <w:spacing w:line="240" w:lineRule="auto"/>
        <w:ind w:firstLine="0"/>
        <w:jc w:val="left"/>
      </w:pPr>
      <w:bookmarkStart w:id="3" w:name="_Toc43140886"/>
      <w:bookmarkStart w:id="4" w:name="_Hlk73457422"/>
      <w:r w:rsidRPr="003478AF">
        <w:br w:type="page"/>
      </w:r>
    </w:p>
    <w:p w14:paraId="00348AAB" w14:textId="60CF6FB0" w:rsidR="00A56725" w:rsidRPr="003478AF" w:rsidRDefault="00B64BC6">
      <w:pPr>
        <w:pStyle w:val="Nagwek2"/>
      </w:pPr>
      <w:bookmarkStart w:id="5" w:name="_Toc82159975"/>
      <w:r w:rsidRPr="003478AF">
        <w:lastRenderedPageBreak/>
        <w:t>Indeks skrót</w:t>
      </w:r>
      <w:r w:rsidR="002B51EE" w:rsidRPr="003478AF">
        <w:t>owców</w:t>
      </w:r>
      <w:bookmarkEnd w:id="5"/>
    </w:p>
    <w:tbl>
      <w:tblPr>
        <w:tblStyle w:val="Tabela-Siatka"/>
        <w:tblW w:w="0" w:type="auto"/>
        <w:tblLook w:val="04A0" w:firstRow="1" w:lastRow="0" w:firstColumn="1" w:lastColumn="0" w:noHBand="0" w:noVBand="1"/>
      </w:tblPr>
      <w:tblGrid>
        <w:gridCol w:w="1395"/>
        <w:gridCol w:w="6872"/>
      </w:tblGrid>
      <w:tr w:rsidR="00380138" w:rsidRPr="003478AF" w14:paraId="505A83D3" w14:textId="77777777" w:rsidTr="00365B14">
        <w:trPr>
          <w:trHeight w:val="227"/>
        </w:trPr>
        <w:tc>
          <w:tcPr>
            <w:tcW w:w="0" w:type="auto"/>
          </w:tcPr>
          <w:p w14:paraId="777D5E6D" w14:textId="77777777" w:rsidR="00380138" w:rsidRPr="003478AF" w:rsidRDefault="00380138" w:rsidP="00380138">
            <w:pPr>
              <w:spacing w:before="40" w:after="40" w:line="240" w:lineRule="auto"/>
              <w:ind w:firstLine="0"/>
              <w:rPr>
                <w:rFonts w:cs="Arial"/>
                <w:sz w:val="20"/>
                <w:szCs w:val="20"/>
              </w:rPr>
            </w:pPr>
            <w:r w:rsidRPr="003478AF">
              <w:rPr>
                <w:rFonts w:eastAsia="Times New Roman" w:cs="Arial"/>
                <w:color w:val="000000"/>
                <w:sz w:val="20"/>
                <w:szCs w:val="20"/>
                <w:lang w:val="en-GB" w:eastAsia="pl-PL"/>
              </w:rPr>
              <w:t>CSR</w:t>
            </w:r>
          </w:p>
        </w:tc>
        <w:tc>
          <w:tcPr>
            <w:tcW w:w="0" w:type="auto"/>
          </w:tcPr>
          <w:p w14:paraId="1F9C75A8" w14:textId="4C4CBA08" w:rsidR="00380138" w:rsidRPr="003478AF" w:rsidRDefault="00380138" w:rsidP="008E6936">
            <w:pPr>
              <w:spacing w:before="40" w:after="40" w:line="240" w:lineRule="auto"/>
              <w:ind w:firstLine="0"/>
              <w:jc w:val="left"/>
              <w:rPr>
                <w:rFonts w:cs="Arial"/>
                <w:sz w:val="20"/>
                <w:szCs w:val="20"/>
              </w:rPr>
            </w:pPr>
            <w:r w:rsidRPr="003478AF">
              <w:rPr>
                <w:rFonts w:cs="Arial"/>
                <w:color w:val="000000"/>
                <w:sz w:val="20"/>
                <w:szCs w:val="20"/>
                <w:lang w:eastAsia="pl-PL"/>
              </w:rPr>
              <w:t>społeczna odpowiedzialność biznesu</w:t>
            </w:r>
            <w:r w:rsidR="008E6936" w:rsidRPr="003478AF">
              <w:rPr>
                <w:rFonts w:cs="Arial"/>
                <w:color w:val="000000"/>
                <w:sz w:val="20"/>
                <w:szCs w:val="20"/>
                <w:lang w:eastAsia="pl-PL"/>
              </w:rPr>
              <w:t xml:space="preserve"> (</w:t>
            </w:r>
            <w:r w:rsidRPr="003478AF">
              <w:rPr>
                <w:rFonts w:cs="Arial"/>
                <w:i/>
                <w:iCs/>
                <w:color w:val="000000"/>
                <w:sz w:val="20"/>
                <w:szCs w:val="20"/>
                <w:lang w:eastAsia="pl-PL"/>
              </w:rPr>
              <w:t xml:space="preserve">ang. </w:t>
            </w:r>
            <w:r w:rsidR="002B51EE" w:rsidRPr="003478AF">
              <w:rPr>
                <w:rFonts w:cs="Arial"/>
                <w:i/>
                <w:iCs/>
                <w:color w:val="000000"/>
                <w:sz w:val="20"/>
                <w:szCs w:val="20"/>
                <w:lang w:eastAsia="pl-PL"/>
              </w:rPr>
              <w:t>C</w:t>
            </w:r>
            <w:r w:rsidRPr="003478AF">
              <w:rPr>
                <w:rFonts w:cs="Arial"/>
                <w:i/>
                <w:iCs/>
                <w:color w:val="000000"/>
                <w:sz w:val="20"/>
                <w:szCs w:val="20"/>
                <w:lang w:eastAsia="pl-PL"/>
              </w:rPr>
              <w:t xml:space="preserve">orporate </w:t>
            </w:r>
            <w:r w:rsidR="002B51EE" w:rsidRPr="003478AF">
              <w:rPr>
                <w:rFonts w:cs="Arial"/>
                <w:i/>
                <w:iCs/>
                <w:color w:val="000000"/>
                <w:sz w:val="20"/>
                <w:szCs w:val="20"/>
                <w:lang w:eastAsia="pl-PL"/>
              </w:rPr>
              <w:t>S</w:t>
            </w:r>
            <w:r w:rsidRPr="003478AF">
              <w:rPr>
                <w:rFonts w:cs="Arial"/>
                <w:i/>
                <w:iCs/>
                <w:color w:val="000000"/>
                <w:sz w:val="20"/>
                <w:szCs w:val="20"/>
                <w:lang w:eastAsia="pl-PL"/>
              </w:rPr>
              <w:t xml:space="preserve">ocial </w:t>
            </w:r>
            <w:r w:rsidR="002B51EE" w:rsidRPr="003478AF">
              <w:rPr>
                <w:rFonts w:cs="Arial"/>
                <w:i/>
                <w:iCs/>
                <w:color w:val="000000"/>
                <w:sz w:val="20"/>
                <w:szCs w:val="20"/>
                <w:lang w:eastAsia="pl-PL"/>
              </w:rPr>
              <w:t>R</w:t>
            </w:r>
            <w:r w:rsidRPr="003478AF">
              <w:rPr>
                <w:rFonts w:cs="Arial"/>
                <w:i/>
                <w:iCs/>
                <w:color w:val="000000"/>
                <w:sz w:val="20"/>
                <w:szCs w:val="20"/>
                <w:lang w:eastAsia="pl-PL"/>
              </w:rPr>
              <w:t>esponsibility</w:t>
            </w:r>
            <w:r w:rsidR="008E6936" w:rsidRPr="003478AF">
              <w:rPr>
                <w:rFonts w:cs="Arial"/>
                <w:iCs/>
                <w:color w:val="000000"/>
                <w:sz w:val="20"/>
                <w:szCs w:val="20"/>
                <w:lang w:eastAsia="pl-PL"/>
              </w:rPr>
              <w:t>)</w:t>
            </w:r>
          </w:p>
        </w:tc>
      </w:tr>
      <w:tr w:rsidR="00380138" w:rsidRPr="003478AF" w14:paraId="60CC3001" w14:textId="77777777" w:rsidTr="00365B14">
        <w:trPr>
          <w:trHeight w:val="227"/>
        </w:trPr>
        <w:tc>
          <w:tcPr>
            <w:tcW w:w="0" w:type="auto"/>
          </w:tcPr>
          <w:p w14:paraId="3B800EAB" w14:textId="77777777" w:rsidR="00380138" w:rsidRPr="003478AF" w:rsidRDefault="00380138" w:rsidP="00380138">
            <w:pPr>
              <w:spacing w:before="40" w:after="40" w:line="240" w:lineRule="auto"/>
              <w:ind w:firstLine="0"/>
              <w:rPr>
                <w:rFonts w:cs="Arial"/>
                <w:sz w:val="20"/>
                <w:szCs w:val="20"/>
              </w:rPr>
            </w:pPr>
            <w:r w:rsidRPr="003478AF">
              <w:rPr>
                <w:rFonts w:cs="Arial"/>
                <w:color w:val="000000"/>
                <w:sz w:val="20"/>
                <w:szCs w:val="20"/>
                <w:lang w:eastAsia="pl-PL"/>
              </w:rPr>
              <w:t>DMC</w:t>
            </w:r>
          </w:p>
        </w:tc>
        <w:tc>
          <w:tcPr>
            <w:tcW w:w="0" w:type="auto"/>
          </w:tcPr>
          <w:p w14:paraId="3ABF87DE" w14:textId="3432F67F" w:rsidR="00380138" w:rsidRPr="003478AF" w:rsidRDefault="008C048F" w:rsidP="00380138">
            <w:pPr>
              <w:spacing w:before="40" w:after="40" w:line="240" w:lineRule="auto"/>
              <w:ind w:firstLine="0"/>
              <w:jc w:val="left"/>
              <w:rPr>
                <w:rFonts w:cs="Arial"/>
                <w:sz w:val="20"/>
                <w:szCs w:val="20"/>
              </w:rPr>
            </w:pPr>
            <w:r w:rsidRPr="003478AF">
              <w:rPr>
                <w:rFonts w:eastAsia="Arial" w:cs="Arial"/>
                <w:color w:val="000000"/>
                <w:sz w:val="20"/>
                <w:szCs w:val="20"/>
                <w:lang w:eastAsia="pl-PL"/>
              </w:rPr>
              <w:t>konsumpcja materialna</w:t>
            </w:r>
          </w:p>
        </w:tc>
      </w:tr>
      <w:tr w:rsidR="00380138" w:rsidRPr="003478AF" w14:paraId="6789F4AE" w14:textId="77777777" w:rsidTr="00365B14">
        <w:trPr>
          <w:trHeight w:val="227"/>
        </w:trPr>
        <w:tc>
          <w:tcPr>
            <w:tcW w:w="0" w:type="auto"/>
          </w:tcPr>
          <w:p w14:paraId="145A86D5" w14:textId="77777777" w:rsidR="00380138" w:rsidRPr="003478AF" w:rsidRDefault="00380138" w:rsidP="00380138">
            <w:pPr>
              <w:spacing w:before="40" w:after="40" w:line="240" w:lineRule="auto"/>
              <w:ind w:firstLine="0"/>
              <w:rPr>
                <w:rFonts w:cs="Arial"/>
                <w:sz w:val="20"/>
                <w:szCs w:val="20"/>
              </w:rPr>
            </w:pPr>
            <w:r w:rsidRPr="003478AF">
              <w:rPr>
                <w:rFonts w:cs="Arial"/>
                <w:color w:val="000000"/>
                <w:sz w:val="20"/>
                <w:szCs w:val="20"/>
                <w:lang w:eastAsia="pl-PL"/>
              </w:rPr>
              <w:t>GHG </w:t>
            </w:r>
          </w:p>
        </w:tc>
        <w:tc>
          <w:tcPr>
            <w:tcW w:w="0" w:type="auto"/>
          </w:tcPr>
          <w:p w14:paraId="6FF36581" w14:textId="77777777" w:rsidR="00380138" w:rsidRPr="003478AF" w:rsidRDefault="00380138" w:rsidP="00380138">
            <w:pPr>
              <w:spacing w:before="40" w:after="40" w:line="240" w:lineRule="auto"/>
              <w:ind w:firstLine="0"/>
              <w:jc w:val="left"/>
              <w:rPr>
                <w:rFonts w:cs="Arial"/>
                <w:sz w:val="20"/>
                <w:szCs w:val="20"/>
              </w:rPr>
            </w:pPr>
            <w:r w:rsidRPr="003478AF">
              <w:rPr>
                <w:rFonts w:cs="Arial"/>
                <w:color w:val="000000"/>
                <w:sz w:val="20"/>
                <w:szCs w:val="20"/>
                <w:lang w:eastAsia="pl-PL"/>
              </w:rPr>
              <w:t xml:space="preserve">emisje gazów cieplarnianych, ang. </w:t>
            </w:r>
            <w:r w:rsidRPr="003478AF">
              <w:rPr>
                <w:rFonts w:cs="Arial"/>
                <w:i/>
                <w:iCs/>
                <w:color w:val="000000"/>
                <w:sz w:val="20"/>
                <w:szCs w:val="20"/>
                <w:lang w:eastAsia="pl-PL"/>
              </w:rPr>
              <w:t>greenhouse gas</w:t>
            </w:r>
          </w:p>
        </w:tc>
      </w:tr>
      <w:tr w:rsidR="00380138" w:rsidRPr="003478AF" w14:paraId="6DBD5CC7" w14:textId="77777777" w:rsidTr="00365B14">
        <w:trPr>
          <w:trHeight w:val="227"/>
        </w:trPr>
        <w:tc>
          <w:tcPr>
            <w:tcW w:w="0" w:type="auto"/>
          </w:tcPr>
          <w:p w14:paraId="327CA9ED" w14:textId="77777777" w:rsidR="00380138" w:rsidRPr="003478AF" w:rsidRDefault="00380138" w:rsidP="00380138">
            <w:pPr>
              <w:spacing w:before="40" w:after="40" w:line="240" w:lineRule="auto"/>
              <w:ind w:firstLine="0"/>
              <w:rPr>
                <w:rFonts w:cs="Arial"/>
                <w:sz w:val="20"/>
                <w:szCs w:val="20"/>
              </w:rPr>
            </w:pPr>
            <w:r w:rsidRPr="003478AF">
              <w:rPr>
                <w:rFonts w:cs="Arial"/>
                <w:color w:val="000000"/>
                <w:sz w:val="20"/>
                <w:szCs w:val="20"/>
                <w:lang w:eastAsia="pl-PL"/>
              </w:rPr>
              <w:t>GOZ</w:t>
            </w:r>
          </w:p>
        </w:tc>
        <w:tc>
          <w:tcPr>
            <w:tcW w:w="0" w:type="auto"/>
          </w:tcPr>
          <w:p w14:paraId="738FC675" w14:textId="77777777" w:rsidR="00380138" w:rsidRPr="003478AF" w:rsidRDefault="00380138" w:rsidP="00380138">
            <w:pPr>
              <w:spacing w:before="40" w:after="40" w:line="240" w:lineRule="auto"/>
              <w:ind w:firstLine="0"/>
              <w:jc w:val="left"/>
              <w:rPr>
                <w:rFonts w:cs="Arial"/>
                <w:sz w:val="20"/>
                <w:szCs w:val="20"/>
              </w:rPr>
            </w:pPr>
            <w:r w:rsidRPr="003478AF">
              <w:rPr>
                <w:rFonts w:cs="Arial"/>
                <w:color w:val="000000"/>
                <w:sz w:val="20"/>
                <w:szCs w:val="20"/>
                <w:lang w:eastAsia="pl-PL"/>
              </w:rPr>
              <w:t>gospodarka o obiegu zamkniętym</w:t>
            </w:r>
          </w:p>
        </w:tc>
      </w:tr>
      <w:tr w:rsidR="00363517" w:rsidRPr="003478AF" w14:paraId="641E6D05" w14:textId="77777777" w:rsidTr="00365B14">
        <w:trPr>
          <w:trHeight w:val="227"/>
        </w:trPr>
        <w:tc>
          <w:tcPr>
            <w:tcW w:w="0" w:type="auto"/>
          </w:tcPr>
          <w:p w14:paraId="2107477C" w14:textId="184F4017" w:rsidR="00363517" w:rsidRPr="003478AF" w:rsidRDefault="00363517" w:rsidP="00092276">
            <w:pPr>
              <w:spacing w:before="40" w:after="40" w:line="240" w:lineRule="auto"/>
              <w:ind w:firstLine="0"/>
              <w:rPr>
                <w:rFonts w:cs="Arial"/>
                <w:sz w:val="20"/>
                <w:szCs w:val="20"/>
              </w:rPr>
            </w:pPr>
            <w:r w:rsidRPr="003478AF">
              <w:rPr>
                <w:rFonts w:cs="Arial"/>
                <w:sz w:val="20"/>
                <w:szCs w:val="20"/>
              </w:rPr>
              <w:t>JST</w:t>
            </w:r>
          </w:p>
        </w:tc>
        <w:tc>
          <w:tcPr>
            <w:tcW w:w="0" w:type="auto"/>
          </w:tcPr>
          <w:p w14:paraId="2F4E2642" w14:textId="00C781B9" w:rsidR="00363517" w:rsidRPr="003478AF" w:rsidRDefault="00363517" w:rsidP="00092276">
            <w:pPr>
              <w:spacing w:before="40" w:after="40" w:line="240" w:lineRule="auto"/>
              <w:ind w:firstLine="0"/>
              <w:jc w:val="left"/>
              <w:rPr>
                <w:rFonts w:cs="Arial"/>
                <w:sz w:val="20"/>
                <w:szCs w:val="20"/>
              </w:rPr>
            </w:pPr>
            <w:r w:rsidRPr="003478AF">
              <w:rPr>
                <w:rFonts w:cs="Arial"/>
                <w:sz w:val="20"/>
                <w:szCs w:val="20"/>
              </w:rPr>
              <w:t>jednostki samorządu terytorialnego</w:t>
            </w:r>
          </w:p>
        </w:tc>
      </w:tr>
      <w:tr w:rsidR="00380138" w:rsidRPr="003478AF" w14:paraId="4BF1D8BD" w14:textId="77777777" w:rsidTr="00365B14">
        <w:trPr>
          <w:trHeight w:val="227"/>
        </w:trPr>
        <w:tc>
          <w:tcPr>
            <w:tcW w:w="0" w:type="auto"/>
          </w:tcPr>
          <w:p w14:paraId="149D3C40" w14:textId="77777777" w:rsidR="00380138" w:rsidRPr="003478AF" w:rsidRDefault="00380138" w:rsidP="00380138">
            <w:pPr>
              <w:spacing w:before="40" w:after="40" w:line="240" w:lineRule="auto"/>
              <w:ind w:firstLine="0"/>
              <w:rPr>
                <w:rFonts w:cs="Arial"/>
                <w:sz w:val="20"/>
                <w:szCs w:val="20"/>
              </w:rPr>
            </w:pPr>
            <w:r w:rsidRPr="003478AF">
              <w:rPr>
                <w:rFonts w:cs="Arial"/>
                <w:color w:val="000000"/>
                <w:sz w:val="20"/>
                <w:szCs w:val="20"/>
                <w:lang w:eastAsia="pl-PL"/>
              </w:rPr>
              <w:t>KE</w:t>
            </w:r>
          </w:p>
        </w:tc>
        <w:tc>
          <w:tcPr>
            <w:tcW w:w="0" w:type="auto"/>
          </w:tcPr>
          <w:p w14:paraId="6F1D23C3" w14:textId="77777777" w:rsidR="00380138" w:rsidRPr="003478AF" w:rsidRDefault="00380138" w:rsidP="00380138">
            <w:pPr>
              <w:spacing w:before="40" w:after="40" w:line="240" w:lineRule="auto"/>
              <w:ind w:firstLine="0"/>
              <w:jc w:val="left"/>
              <w:rPr>
                <w:rFonts w:cs="Arial"/>
                <w:sz w:val="20"/>
                <w:szCs w:val="20"/>
              </w:rPr>
            </w:pPr>
            <w:r w:rsidRPr="003478AF">
              <w:rPr>
                <w:rFonts w:cs="Arial"/>
                <w:color w:val="000000"/>
                <w:sz w:val="20"/>
                <w:szCs w:val="20"/>
                <w:lang w:eastAsia="pl-PL"/>
              </w:rPr>
              <w:t>Komisja Europejska</w:t>
            </w:r>
          </w:p>
        </w:tc>
      </w:tr>
      <w:tr w:rsidR="00FA2269" w:rsidRPr="003478AF" w14:paraId="4B24254F" w14:textId="77777777" w:rsidTr="00365B14">
        <w:trPr>
          <w:trHeight w:val="227"/>
        </w:trPr>
        <w:tc>
          <w:tcPr>
            <w:tcW w:w="0" w:type="auto"/>
          </w:tcPr>
          <w:p w14:paraId="19156B75" w14:textId="77777777" w:rsidR="00FA2269" w:rsidRPr="003478AF" w:rsidRDefault="00FA2269" w:rsidP="0038370F">
            <w:pPr>
              <w:spacing w:before="40" w:after="40" w:line="240" w:lineRule="auto"/>
              <w:ind w:firstLine="0"/>
              <w:rPr>
                <w:rFonts w:cs="Arial"/>
                <w:sz w:val="20"/>
                <w:szCs w:val="20"/>
              </w:rPr>
            </w:pPr>
            <w:r w:rsidRPr="003478AF">
              <w:rPr>
                <w:rFonts w:cs="Arial"/>
                <w:sz w:val="20"/>
                <w:szCs w:val="20"/>
              </w:rPr>
              <w:t>KIS</w:t>
            </w:r>
          </w:p>
        </w:tc>
        <w:tc>
          <w:tcPr>
            <w:tcW w:w="0" w:type="auto"/>
          </w:tcPr>
          <w:p w14:paraId="65C82AF0" w14:textId="77777777" w:rsidR="00FA2269" w:rsidRPr="003478AF" w:rsidRDefault="00FA2269" w:rsidP="0038370F">
            <w:pPr>
              <w:spacing w:before="40" w:after="40" w:line="240" w:lineRule="auto"/>
              <w:ind w:firstLine="0"/>
              <w:jc w:val="left"/>
              <w:rPr>
                <w:rFonts w:cs="Arial"/>
                <w:sz w:val="20"/>
                <w:szCs w:val="20"/>
              </w:rPr>
            </w:pPr>
            <w:r w:rsidRPr="003478AF">
              <w:rPr>
                <w:rFonts w:cs="Arial"/>
                <w:sz w:val="20"/>
                <w:szCs w:val="20"/>
              </w:rPr>
              <w:t>Krajowa Inteligentna Specjalizacja</w:t>
            </w:r>
          </w:p>
        </w:tc>
      </w:tr>
      <w:tr w:rsidR="00380138" w:rsidRPr="003478AF" w14:paraId="30CB14C2" w14:textId="77777777" w:rsidTr="00365B14">
        <w:trPr>
          <w:trHeight w:val="227"/>
        </w:trPr>
        <w:tc>
          <w:tcPr>
            <w:tcW w:w="0" w:type="auto"/>
          </w:tcPr>
          <w:p w14:paraId="1814AFE4" w14:textId="77777777" w:rsidR="00380138" w:rsidRPr="003478AF" w:rsidRDefault="00380138" w:rsidP="00380138">
            <w:pPr>
              <w:spacing w:before="40" w:after="40" w:line="240" w:lineRule="auto"/>
              <w:ind w:firstLine="0"/>
              <w:rPr>
                <w:rFonts w:cs="Arial"/>
                <w:sz w:val="20"/>
                <w:szCs w:val="20"/>
              </w:rPr>
            </w:pPr>
            <w:r w:rsidRPr="003478AF">
              <w:rPr>
                <w:rFonts w:eastAsia="MinionPro-Regular" w:cs="Arial"/>
                <w:color w:val="000000"/>
                <w:sz w:val="20"/>
                <w:szCs w:val="20"/>
                <w:lang w:eastAsia="pl-PL"/>
              </w:rPr>
              <w:t>KPEiK</w:t>
            </w:r>
          </w:p>
        </w:tc>
        <w:tc>
          <w:tcPr>
            <w:tcW w:w="0" w:type="auto"/>
          </w:tcPr>
          <w:p w14:paraId="6CAC8083" w14:textId="77777777" w:rsidR="00380138" w:rsidRPr="003478AF" w:rsidRDefault="00380138" w:rsidP="00380138">
            <w:pPr>
              <w:spacing w:before="40" w:after="40" w:line="240" w:lineRule="auto"/>
              <w:ind w:firstLine="0"/>
              <w:jc w:val="left"/>
              <w:rPr>
                <w:rFonts w:cs="Arial"/>
                <w:sz w:val="20"/>
                <w:szCs w:val="20"/>
              </w:rPr>
            </w:pPr>
            <w:r w:rsidRPr="003478AF">
              <w:rPr>
                <w:rFonts w:eastAsia="MinionPro-Regular" w:cs="Arial"/>
                <w:color w:val="000000"/>
                <w:sz w:val="20"/>
                <w:szCs w:val="20"/>
                <w:lang w:eastAsia="pl-PL"/>
              </w:rPr>
              <w:t>Krajowy Plan na Rzecz Energii i Klimatu na lata 2021-2030</w:t>
            </w:r>
          </w:p>
        </w:tc>
      </w:tr>
      <w:tr w:rsidR="00380138" w:rsidRPr="003478AF" w14:paraId="0B44632E" w14:textId="77777777" w:rsidTr="00365B14">
        <w:trPr>
          <w:trHeight w:val="227"/>
        </w:trPr>
        <w:tc>
          <w:tcPr>
            <w:tcW w:w="0" w:type="auto"/>
          </w:tcPr>
          <w:p w14:paraId="79E810FE" w14:textId="77777777" w:rsidR="00380138" w:rsidRPr="003478AF" w:rsidRDefault="00380138" w:rsidP="00380138">
            <w:pPr>
              <w:spacing w:before="40" w:after="40" w:line="240" w:lineRule="auto"/>
              <w:ind w:firstLine="0"/>
              <w:rPr>
                <w:rFonts w:cs="Arial"/>
                <w:sz w:val="20"/>
                <w:szCs w:val="20"/>
              </w:rPr>
            </w:pPr>
            <w:r w:rsidRPr="003478AF">
              <w:rPr>
                <w:rFonts w:cs="Arial"/>
                <w:color w:val="000000"/>
                <w:sz w:val="20"/>
                <w:szCs w:val="20"/>
                <w:lang w:eastAsia="pl-PL"/>
              </w:rPr>
              <w:t>KPGO</w:t>
            </w:r>
          </w:p>
        </w:tc>
        <w:tc>
          <w:tcPr>
            <w:tcW w:w="0" w:type="auto"/>
          </w:tcPr>
          <w:p w14:paraId="56E0DB28" w14:textId="77777777" w:rsidR="00380138" w:rsidRPr="003478AF" w:rsidRDefault="00380138" w:rsidP="00380138">
            <w:pPr>
              <w:spacing w:before="40" w:after="40" w:line="240" w:lineRule="auto"/>
              <w:ind w:firstLine="0"/>
              <w:jc w:val="left"/>
              <w:rPr>
                <w:rFonts w:cs="Arial"/>
                <w:sz w:val="20"/>
                <w:szCs w:val="20"/>
              </w:rPr>
            </w:pPr>
            <w:r w:rsidRPr="003478AF">
              <w:rPr>
                <w:rFonts w:cs="Arial"/>
                <w:color w:val="000000"/>
                <w:sz w:val="20"/>
                <w:szCs w:val="20"/>
                <w:lang w:eastAsia="pl-PL"/>
              </w:rPr>
              <w:t>Krajowy Plan Gospodarki Odpadami 2022</w:t>
            </w:r>
          </w:p>
        </w:tc>
      </w:tr>
      <w:tr w:rsidR="00380138" w:rsidRPr="003478AF" w14:paraId="6DE0ED19" w14:textId="77777777" w:rsidTr="00365B14">
        <w:trPr>
          <w:trHeight w:val="227"/>
        </w:trPr>
        <w:tc>
          <w:tcPr>
            <w:tcW w:w="0" w:type="auto"/>
          </w:tcPr>
          <w:p w14:paraId="599D806D" w14:textId="77777777" w:rsidR="00380138" w:rsidRPr="003478AF" w:rsidRDefault="00380138" w:rsidP="00380138">
            <w:pPr>
              <w:spacing w:before="40" w:after="40" w:line="240" w:lineRule="auto"/>
              <w:ind w:firstLine="0"/>
              <w:rPr>
                <w:rFonts w:cs="Arial"/>
                <w:sz w:val="20"/>
                <w:szCs w:val="20"/>
              </w:rPr>
            </w:pPr>
            <w:r w:rsidRPr="003478AF">
              <w:rPr>
                <w:rFonts w:eastAsia="Times New Roman" w:cs="Arial"/>
                <w:color w:val="000000"/>
                <w:sz w:val="20"/>
                <w:szCs w:val="20"/>
                <w:lang w:val="en-GB" w:eastAsia="pl-PL"/>
              </w:rPr>
              <w:t>LCA</w:t>
            </w:r>
          </w:p>
        </w:tc>
        <w:tc>
          <w:tcPr>
            <w:tcW w:w="0" w:type="auto"/>
          </w:tcPr>
          <w:p w14:paraId="0A54AF97" w14:textId="0155CB1F" w:rsidR="00380138" w:rsidRPr="003478AF" w:rsidRDefault="00380138" w:rsidP="008E6936">
            <w:pPr>
              <w:spacing w:before="40" w:after="40" w:line="240" w:lineRule="auto"/>
              <w:ind w:firstLine="0"/>
              <w:jc w:val="left"/>
              <w:rPr>
                <w:rFonts w:cs="Arial"/>
                <w:sz w:val="20"/>
                <w:szCs w:val="20"/>
                <w:lang w:val="en-GB"/>
              </w:rPr>
            </w:pPr>
            <w:r w:rsidRPr="003478AF">
              <w:rPr>
                <w:rFonts w:eastAsia="Times New Roman" w:cs="Arial"/>
                <w:color w:val="000000"/>
                <w:sz w:val="20"/>
                <w:szCs w:val="20"/>
                <w:lang w:val="en-GB" w:eastAsia="pl-PL"/>
              </w:rPr>
              <w:t>analiza cyklu życia</w:t>
            </w:r>
            <w:r w:rsidR="008E6936" w:rsidRPr="003478AF">
              <w:rPr>
                <w:rFonts w:eastAsia="Times New Roman" w:cs="Arial"/>
                <w:i/>
                <w:iCs/>
                <w:color w:val="000000"/>
                <w:sz w:val="20"/>
                <w:szCs w:val="20"/>
                <w:lang w:val="en-GB" w:eastAsia="pl-PL"/>
              </w:rPr>
              <w:t xml:space="preserve"> </w:t>
            </w:r>
            <w:r w:rsidR="008E6936" w:rsidRPr="003478AF">
              <w:rPr>
                <w:rFonts w:eastAsia="Times New Roman" w:cs="Arial"/>
                <w:iCs/>
                <w:color w:val="000000"/>
                <w:sz w:val="20"/>
                <w:szCs w:val="20"/>
                <w:lang w:val="en-GB" w:eastAsia="pl-PL"/>
              </w:rPr>
              <w:t>(</w:t>
            </w:r>
            <w:r w:rsidRPr="003478AF">
              <w:rPr>
                <w:rFonts w:eastAsia="Times New Roman" w:cs="Arial"/>
                <w:color w:val="000000"/>
                <w:sz w:val="20"/>
                <w:szCs w:val="20"/>
                <w:lang w:val="en-GB" w:eastAsia="pl-PL"/>
              </w:rPr>
              <w:t>ang.</w:t>
            </w:r>
            <w:r w:rsidRPr="003478AF">
              <w:rPr>
                <w:rFonts w:eastAsia="Times New Roman" w:cs="Arial"/>
                <w:color w:val="00007E"/>
                <w:sz w:val="20"/>
                <w:szCs w:val="20"/>
                <w:lang w:val="en-GB" w:eastAsia="pl-PL"/>
              </w:rPr>
              <w:t xml:space="preserve"> </w:t>
            </w:r>
            <w:r w:rsidRPr="003478AF">
              <w:rPr>
                <w:rFonts w:eastAsia="Times New Roman" w:cs="Arial"/>
                <w:i/>
                <w:iCs/>
                <w:color w:val="00007E"/>
                <w:sz w:val="20"/>
                <w:szCs w:val="20"/>
                <w:lang w:val="en-GB" w:eastAsia="pl-PL"/>
              </w:rPr>
              <w:t>l</w:t>
            </w:r>
            <w:r w:rsidRPr="003478AF">
              <w:rPr>
                <w:rFonts w:eastAsia="Times New Roman" w:cs="Arial"/>
                <w:i/>
                <w:iCs/>
                <w:color w:val="000000"/>
                <w:sz w:val="20"/>
                <w:szCs w:val="20"/>
                <w:lang w:val="en-GB" w:eastAsia="pl-PL"/>
              </w:rPr>
              <w:t>ife cycle analysis</w:t>
            </w:r>
            <w:r w:rsidR="008E6936" w:rsidRPr="003478AF">
              <w:rPr>
                <w:rFonts w:eastAsia="Times New Roman" w:cs="Arial"/>
                <w:iCs/>
                <w:color w:val="000000"/>
                <w:sz w:val="20"/>
                <w:szCs w:val="20"/>
                <w:lang w:val="en-GB" w:eastAsia="pl-PL"/>
              </w:rPr>
              <w:t>)</w:t>
            </w:r>
          </w:p>
        </w:tc>
      </w:tr>
      <w:tr w:rsidR="00380138" w:rsidRPr="003478AF" w14:paraId="555227BE" w14:textId="77777777" w:rsidTr="00365B14">
        <w:trPr>
          <w:trHeight w:val="227"/>
        </w:trPr>
        <w:tc>
          <w:tcPr>
            <w:tcW w:w="0" w:type="auto"/>
          </w:tcPr>
          <w:p w14:paraId="68F4CF97" w14:textId="77777777" w:rsidR="00380138" w:rsidRPr="003478AF" w:rsidRDefault="00380138" w:rsidP="00380138">
            <w:pPr>
              <w:spacing w:before="40" w:after="40" w:line="240" w:lineRule="auto"/>
              <w:ind w:firstLine="0"/>
              <w:rPr>
                <w:rFonts w:cs="Arial"/>
                <w:sz w:val="20"/>
                <w:szCs w:val="20"/>
              </w:rPr>
            </w:pPr>
            <w:r w:rsidRPr="003478AF">
              <w:rPr>
                <w:rFonts w:cs="Arial"/>
                <w:color w:val="000000"/>
                <w:sz w:val="20"/>
                <w:szCs w:val="20"/>
                <w:lang w:eastAsia="pl-PL"/>
              </w:rPr>
              <w:t>MŚP</w:t>
            </w:r>
          </w:p>
        </w:tc>
        <w:tc>
          <w:tcPr>
            <w:tcW w:w="0" w:type="auto"/>
          </w:tcPr>
          <w:p w14:paraId="12CCC945" w14:textId="77777777" w:rsidR="00380138" w:rsidRPr="003478AF" w:rsidRDefault="00380138" w:rsidP="00380138">
            <w:pPr>
              <w:spacing w:before="40" w:after="40" w:line="240" w:lineRule="auto"/>
              <w:ind w:firstLine="0"/>
              <w:jc w:val="left"/>
              <w:rPr>
                <w:rFonts w:cs="Arial"/>
                <w:sz w:val="20"/>
                <w:szCs w:val="20"/>
              </w:rPr>
            </w:pPr>
            <w:r w:rsidRPr="003478AF">
              <w:rPr>
                <w:rFonts w:cs="Arial"/>
                <w:color w:val="000000"/>
                <w:sz w:val="20"/>
                <w:szCs w:val="20"/>
                <w:lang w:eastAsia="pl-PL"/>
              </w:rPr>
              <w:t>małe i średnie przedsiębiorstwa</w:t>
            </w:r>
          </w:p>
        </w:tc>
      </w:tr>
      <w:tr w:rsidR="00380138" w:rsidRPr="003478AF" w14:paraId="19C652D0" w14:textId="77777777" w:rsidTr="00365B14">
        <w:trPr>
          <w:trHeight w:val="227"/>
        </w:trPr>
        <w:tc>
          <w:tcPr>
            <w:tcW w:w="0" w:type="auto"/>
          </w:tcPr>
          <w:p w14:paraId="4BCB8F65" w14:textId="77777777" w:rsidR="00380138" w:rsidRPr="003478AF" w:rsidRDefault="00380138" w:rsidP="00380138">
            <w:pPr>
              <w:spacing w:before="40" w:after="40" w:line="240" w:lineRule="auto"/>
              <w:ind w:firstLine="0"/>
              <w:rPr>
                <w:rFonts w:cs="Arial"/>
                <w:sz w:val="20"/>
                <w:szCs w:val="20"/>
              </w:rPr>
            </w:pPr>
            <w:r w:rsidRPr="003478AF">
              <w:rPr>
                <w:rFonts w:eastAsia="MinionPro-Regular" w:cs="Arial"/>
                <w:color w:val="000000"/>
                <w:sz w:val="20"/>
                <w:szCs w:val="20"/>
                <w:lang w:eastAsia="pl-PL"/>
              </w:rPr>
              <w:t>ONZ</w:t>
            </w:r>
          </w:p>
        </w:tc>
        <w:tc>
          <w:tcPr>
            <w:tcW w:w="0" w:type="auto"/>
          </w:tcPr>
          <w:p w14:paraId="5B48FAB2" w14:textId="77777777" w:rsidR="00380138" w:rsidRPr="003478AF" w:rsidRDefault="00380138" w:rsidP="00380138">
            <w:pPr>
              <w:spacing w:before="40" w:after="40" w:line="240" w:lineRule="auto"/>
              <w:ind w:firstLine="0"/>
              <w:jc w:val="left"/>
              <w:rPr>
                <w:rFonts w:cs="Arial"/>
                <w:sz w:val="20"/>
                <w:szCs w:val="20"/>
              </w:rPr>
            </w:pPr>
            <w:r w:rsidRPr="003478AF">
              <w:rPr>
                <w:rFonts w:eastAsia="MinionPro-Regular" w:cs="Arial"/>
                <w:color w:val="000000"/>
                <w:sz w:val="20"/>
                <w:szCs w:val="20"/>
                <w:lang w:eastAsia="pl-PL"/>
              </w:rPr>
              <w:t>Organizacja Narodów Zjednoczonych</w:t>
            </w:r>
          </w:p>
        </w:tc>
      </w:tr>
      <w:tr w:rsidR="00380138" w:rsidRPr="003478AF" w14:paraId="4FDCEEB5" w14:textId="77777777" w:rsidTr="00365B14">
        <w:trPr>
          <w:trHeight w:val="227"/>
        </w:trPr>
        <w:tc>
          <w:tcPr>
            <w:tcW w:w="0" w:type="auto"/>
          </w:tcPr>
          <w:p w14:paraId="6863A85D" w14:textId="77777777" w:rsidR="00380138" w:rsidRPr="003478AF" w:rsidRDefault="00380138" w:rsidP="00380138">
            <w:pPr>
              <w:spacing w:before="40" w:after="40" w:line="240" w:lineRule="auto"/>
              <w:ind w:firstLine="0"/>
              <w:rPr>
                <w:rFonts w:cs="Arial"/>
                <w:sz w:val="20"/>
                <w:szCs w:val="20"/>
              </w:rPr>
            </w:pPr>
            <w:r w:rsidRPr="003478AF">
              <w:rPr>
                <w:rFonts w:cs="Arial"/>
                <w:color w:val="000000"/>
                <w:sz w:val="20"/>
                <w:szCs w:val="20"/>
                <w:lang w:eastAsia="pl-PL"/>
              </w:rPr>
              <w:t>Opracowanie</w:t>
            </w:r>
          </w:p>
        </w:tc>
        <w:tc>
          <w:tcPr>
            <w:tcW w:w="0" w:type="auto"/>
          </w:tcPr>
          <w:p w14:paraId="523ED778" w14:textId="19DC461D" w:rsidR="00380138" w:rsidRPr="003478AF" w:rsidRDefault="00903FE7" w:rsidP="00903FE7">
            <w:pPr>
              <w:spacing w:before="40" w:after="40" w:line="240" w:lineRule="auto"/>
              <w:ind w:firstLine="0"/>
              <w:jc w:val="left"/>
              <w:rPr>
                <w:rFonts w:cs="Arial"/>
                <w:sz w:val="20"/>
                <w:szCs w:val="20"/>
              </w:rPr>
            </w:pPr>
            <w:r w:rsidRPr="003478AF">
              <w:rPr>
                <w:rFonts w:eastAsia="MinionPro-Regular" w:cs="Arial"/>
                <w:color w:val="000000"/>
                <w:sz w:val="20"/>
                <w:szCs w:val="20"/>
                <w:lang w:eastAsia="pl-PL"/>
              </w:rPr>
              <w:t>Koncepcja w</w:t>
            </w:r>
            <w:r w:rsidR="00380138" w:rsidRPr="003478AF">
              <w:rPr>
                <w:rFonts w:eastAsia="MinionPro-Regular" w:cs="Arial"/>
                <w:color w:val="000000"/>
                <w:sz w:val="20"/>
                <w:szCs w:val="20"/>
                <w:lang w:eastAsia="pl-PL"/>
              </w:rPr>
              <w:t>sparci</w:t>
            </w:r>
            <w:r w:rsidRPr="003478AF">
              <w:rPr>
                <w:rFonts w:eastAsia="MinionPro-Regular" w:cs="Arial"/>
                <w:color w:val="000000"/>
                <w:sz w:val="20"/>
                <w:szCs w:val="20"/>
                <w:lang w:eastAsia="pl-PL"/>
              </w:rPr>
              <w:t>a</w:t>
            </w:r>
            <w:r w:rsidR="00380138" w:rsidRPr="003478AF">
              <w:rPr>
                <w:rFonts w:eastAsia="MinionPro-Regular" w:cs="Arial"/>
                <w:color w:val="000000"/>
                <w:sz w:val="20"/>
                <w:szCs w:val="20"/>
                <w:lang w:eastAsia="pl-PL"/>
              </w:rPr>
              <w:t xml:space="preserve"> regionalne</w:t>
            </w:r>
            <w:r w:rsidRPr="003478AF">
              <w:rPr>
                <w:rFonts w:eastAsia="MinionPro-Regular" w:cs="Arial"/>
                <w:color w:val="000000"/>
                <w:sz w:val="20"/>
                <w:szCs w:val="20"/>
                <w:lang w:eastAsia="pl-PL"/>
              </w:rPr>
              <w:t>go</w:t>
            </w:r>
            <w:r w:rsidR="00380138" w:rsidRPr="003478AF">
              <w:rPr>
                <w:rFonts w:eastAsia="MinionPro-Regular" w:cs="Arial"/>
                <w:color w:val="000000"/>
                <w:sz w:val="20"/>
                <w:szCs w:val="20"/>
                <w:lang w:eastAsia="pl-PL"/>
              </w:rPr>
              <w:t xml:space="preserve"> w zakresie realizacji </w:t>
            </w:r>
            <w:r w:rsidRPr="003478AF">
              <w:rPr>
                <w:rFonts w:eastAsia="MinionPro-Regular" w:cs="Arial"/>
                <w:color w:val="000000"/>
                <w:sz w:val="20"/>
                <w:szCs w:val="20"/>
                <w:lang w:eastAsia="pl-PL"/>
              </w:rPr>
              <w:t>gospodarki o obiegu zamkniętym</w:t>
            </w:r>
            <w:r w:rsidR="00380138" w:rsidRPr="003478AF">
              <w:rPr>
                <w:rFonts w:eastAsia="MinionPro-Regular" w:cs="Arial"/>
                <w:color w:val="000000"/>
                <w:sz w:val="20"/>
                <w:szCs w:val="20"/>
                <w:lang w:eastAsia="pl-PL"/>
              </w:rPr>
              <w:t xml:space="preserve"> w województwie </w:t>
            </w:r>
            <w:r w:rsidRPr="003478AF">
              <w:rPr>
                <w:rFonts w:eastAsia="MinionPro-Regular" w:cs="Arial"/>
                <w:color w:val="000000"/>
                <w:sz w:val="20"/>
                <w:szCs w:val="20"/>
                <w:lang w:eastAsia="pl-PL"/>
              </w:rPr>
              <w:t>w</w:t>
            </w:r>
            <w:r w:rsidR="00380138" w:rsidRPr="003478AF">
              <w:rPr>
                <w:rFonts w:eastAsia="MinionPro-Regular" w:cs="Arial"/>
                <w:color w:val="000000"/>
                <w:sz w:val="20"/>
                <w:szCs w:val="20"/>
                <w:lang w:eastAsia="pl-PL"/>
              </w:rPr>
              <w:t>ielkopolskim</w:t>
            </w:r>
          </w:p>
        </w:tc>
      </w:tr>
      <w:tr w:rsidR="00380138" w:rsidRPr="003478AF" w14:paraId="14F6711C" w14:textId="77777777" w:rsidTr="00365B14">
        <w:trPr>
          <w:trHeight w:val="227"/>
        </w:trPr>
        <w:tc>
          <w:tcPr>
            <w:tcW w:w="0" w:type="auto"/>
          </w:tcPr>
          <w:p w14:paraId="69BE86F8" w14:textId="77777777" w:rsidR="00380138" w:rsidRPr="003478AF" w:rsidRDefault="00380138" w:rsidP="00380138">
            <w:pPr>
              <w:spacing w:before="40" w:after="40" w:line="240" w:lineRule="auto"/>
              <w:ind w:firstLine="0"/>
              <w:rPr>
                <w:rFonts w:cs="Arial"/>
                <w:sz w:val="20"/>
                <w:szCs w:val="20"/>
              </w:rPr>
            </w:pPr>
            <w:r w:rsidRPr="003478AF">
              <w:rPr>
                <w:rFonts w:eastAsia="Times New Roman" w:cs="Arial"/>
                <w:color w:val="000000"/>
                <w:sz w:val="20"/>
                <w:szCs w:val="20"/>
                <w:lang w:eastAsia="pl-PL"/>
              </w:rPr>
              <w:t>OZE</w:t>
            </w:r>
          </w:p>
        </w:tc>
        <w:tc>
          <w:tcPr>
            <w:tcW w:w="0" w:type="auto"/>
          </w:tcPr>
          <w:p w14:paraId="4D4CC38A" w14:textId="77777777" w:rsidR="00380138" w:rsidRPr="003478AF" w:rsidRDefault="00380138" w:rsidP="00380138">
            <w:pPr>
              <w:spacing w:before="40" w:after="40" w:line="240" w:lineRule="auto"/>
              <w:ind w:firstLine="0"/>
              <w:jc w:val="left"/>
              <w:rPr>
                <w:rFonts w:cs="Arial"/>
                <w:sz w:val="20"/>
                <w:szCs w:val="20"/>
              </w:rPr>
            </w:pPr>
            <w:r w:rsidRPr="003478AF">
              <w:rPr>
                <w:rFonts w:eastAsia="Times New Roman" w:cs="Arial"/>
                <w:color w:val="000000"/>
                <w:sz w:val="20"/>
                <w:szCs w:val="20"/>
                <w:lang w:val="en-GB" w:eastAsia="pl-PL"/>
              </w:rPr>
              <w:t>odnawialne źródła energii</w:t>
            </w:r>
          </w:p>
        </w:tc>
      </w:tr>
      <w:tr w:rsidR="00380138" w:rsidRPr="003478AF" w14:paraId="4A8E6F88" w14:textId="77777777" w:rsidTr="00365B14">
        <w:trPr>
          <w:trHeight w:val="227"/>
        </w:trPr>
        <w:tc>
          <w:tcPr>
            <w:tcW w:w="0" w:type="auto"/>
          </w:tcPr>
          <w:p w14:paraId="4D5DE8D5" w14:textId="77777777" w:rsidR="00380138" w:rsidRPr="003478AF" w:rsidRDefault="00380138" w:rsidP="00380138">
            <w:pPr>
              <w:spacing w:before="40" w:after="40" w:line="240" w:lineRule="auto"/>
              <w:ind w:firstLine="0"/>
              <w:rPr>
                <w:rFonts w:cs="Arial"/>
                <w:sz w:val="20"/>
                <w:szCs w:val="20"/>
              </w:rPr>
            </w:pPr>
            <w:r w:rsidRPr="003478AF">
              <w:rPr>
                <w:rFonts w:eastAsia="MinionPro-Regular" w:cs="Arial"/>
                <w:color w:val="000000"/>
                <w:sz w:val="20"/>
                <w:szCs w:val="20"/>
                <w:lang w:eastAsia="pl-PL"/>
              </w:rPr>
              <w:t>PEP</w:t>
            </w:r>
          </w:p>
        </w:tc>
        <w:tc>
          <w:tcPr>
            <w:tcW w:w="0" w:type="auto"/>
          </w:tcPr>
          <w:p w14:paraId="26BA0CEC" w14:textId="77777777" w:rsidR="00380138" w:rsidRPr="003478AF" w:rsidRDefault="00380138" w:rsidP="00380138">
            <w:pPr>
              <w:spacing w:before="40" w:after="40" w:line="240" w:lineRule="auto"/>
              <w:ind w:firstLine="0"/>
              <w:jc w:val="left"/>
              <w:rPr>
                <w:rFonts w:cs="Arial"/>
                <w:sz w:val="20"/>
                <w:szCs w:val="20"/>
              </w:rPr>
            </w:pPr>
            <w:r w:rsidRPr="003478AF">
              <w:rPr>
                <w:rFonts w:eastAsia="MinionPro-Regular" w:cs="Arial"/>
                <w:color w:val="000000"/>
                <w:sz w:val="20"/>
                <w:szCs w:val="20"/>
                <w:lang w:eastAsia="pl-PL"/>
              </w:rPr>
              <w:t>Polityka Energetyczna Polski do 2040 roku</w:t>
            </w:r>
          </w:p>
        </w:tc>
      </w:tr>
      <w:tr w:rsidR="00380138" w:rsidRPr="003478AF" w14:paraId="020743F2" w14:textId="77777777" w:rsidTr="00365B14">
        <w:trPr>
          <w:trHeight w:val="227"/>
        </w:trPr>
        <w:tc>
          <w:tcPr>
            <w:tcW w:w="0" w:type="auto"/>
          </w:tcPr>
          <w:p w14:paraId="55599E47" w14:textId="77777777" w:rsidR="00380138" w:rsidRPr="003478AF" w:rsidRDefault="00380138" w:rsidP="00380138">
            <w:pPr>
              <w:spacing w:before="40" w:after="40" w:line="240" w:lineRule="auto"/>
              <w:ind w:firstLine="0"/>
              <w:rPr>
                <w:rFonts w:cs="Arial"/>
                <w:sz w:val="20"/>
                <w:szCs w:val="20"/>
              </w:rPr>
            </w:pPr>
            <w:r w:rsidRPr="003478AF">
              <w:rPr>
                <w:rFonts w:eastAsia="Arial" w:cs="Arial"/>
                <w:color w:val="000000"/>
                <w:sz w:val="20"/>
                <w:szCs w:val="20"/>
                <w:lang w:eastAsia="pl-PL"/>
              </w:rPr>
              <w:t xml:space="preserve">PEP2030 </w:t>
            </w:r>
          </w:p>
        </w:tc>
        <w:tc>
          <w:tcPr>
            <w:tcW w:w="0" w:type="auto"/>
          </w:tcPr>
          <w:p w14:paraId="6A19FCE1" w14:textId="77777777" w:rsidR="00380138" w:rsidRPr="003478AF" w:rsidRDefault="00380138" w:rsidP="00380138">
            <w:pPr>
              <w:spacing w:before="40" w:after="40" w:line="240" w:lineRule="auto"/>
              <w:ind w:firstLine="0"/>
              <w:jc w:val="left"/>
              <w:rPr>
                <w:rFonts w:cs="Arial"/>
                <w:sz w:val="20"/>
                <w:szCs w:val="20"/>
              </w:rPr>
            </w:pPr>
            <w:r w:rsidRPr="003478AF">
              <w:rPr>
                <w:rFonts w:eastAsia="Arial" w:cs="Arial"/>
                <w:color w:val="000000"/>
                <w:sz w:val="20"/>
                <w:szCs w:val="20"/>
                <w:lang w:eastAsia="pl-PL"/>
              </w:rPr>
              <w:t>Polityka Ekologiczna Państwa 2030 – strategia rozwoju w obszarze środowiska i gospodarki wodnej</w:t>
            </w:r>
          </w:p>
        </w:tc>
      </w:tr>
      <w:tr w:rsidR="00380138" w:rsidRPr="003478AF" w14:paraId="5908EE4F" w14:textId="77777777" w:rsidTr="00365B14">
        <w:trPr>
          <w:trHeight w:val="227"/>
        </w:trPr>
        <w:tc>
          <w:tcPr>
            <w:tcW w:w="0" w:type="auto"/>
          </w:tcPr>
          <w:p w14:paraId="6BC64638" w14:textId="77777777" w:rsidR="00380138" w:rsidRPr="003478AF" w:rsidRDefault="00380138" w:rsidP="00380138">
            <w:pPr>
              <w:spacing w:before="40" w:after="40" w:line="240" w:lineRule="auto"/>
              <w:ind w:firstLine="0"/>
              <w:rPr>
                <w:rFonts w:cs="Arial"/>
                <w:sz w:val="20"/>
                <w:szCs w:val="20"/>
              </w:rPr>
            </w:pPr>
            <w:r w:rsidRPr="003478AF">
              <w:rPr>
                <w:rFonts w:cs="Arial"/>
                <w:color w:val="000000"/>
                <w:sz w:val="20"/>
                <w:szCs w:val="20"/>
                <w:lang w:eastAsia="pl-PL"/>
              </w:rPr>
              <w:t>PKB</w:t>
            </w:r>
          </w:p>
        </w:tc>
        <w:tc>
          <w:tcPr>
            <w:tcW w:w="0" w:type="auto"/>
          </w:tcPr>
          <w:p w14:paraId="3080D21A" w14:textId="77777777" w:rsidR="00380138" w:rsidRPr="003478AF" w:rsidRDefault="00380138" w:rsidP="00380138">
            <w:pPr>
              <w:spacing w:before="40" w:after="40" w:line="240" w:lineRule="auto"/>
              <w:ind w:firstLine="0"/>
              <w:jc w:val="left"/>
              <w:rPr>
                <w:rFonts w:cs="Arial"/>
                <w:sz w:val="20"/>
                <w:szCs w:val="20"/>
              </w:rPr>
            </w:pPr>
            <w:r w:rsidRPr="003478AF">
              <w:rPr>
                <w:rFonts w:cs="Arial"/>
                <w:color w:val="000000"/>
                <w:sz w:val="20"/>
                <w:szCs w:val="20"/>
                <w:lang w:eastAsia="pl-PL"/>
              </w:rPr>
              <w:t>Produkt Krajowy Brutto</w:t>
            </w:r>
          </w:p>
        </w:tc>
      </w:tr>
      <w:tr w:rsidR="00380138" w:rsidRPr="003478AF" w14:paraId="1275A908" w14:textId="77777777" w:rsidTr="00365B14">
        <w:trPr>
          <w:trHeight w:val="227"/>
        </w:trPr>
        <w:tc>
          <w:tcPr>
            <w:tcW w:w="0" w:type="auto"/>
          </w:tcPr>
          <w:p w14:paraId="46AB35C0" w14:textId="77777777" w:rsidR="00380138" w:rsidRPr="003478AF" w:rsidRDefault="00380138" w:rsidP="00380138">
            <w:pPr>
              <w:spacing w:before="40" w:after="40" w:line="240" w:lineRule="auto"/>
              <w:ind w:firstLine="0"/>
              <w:rPr>
                <w:rFonts w:cs="Arial"/>
                <w:sz w:val="20"/>
                <w:szCs w:val="20"/>
              </w:rPr>
            </w:pPr>
            <w:r w:rsidRPr="003478AF">
              <w:rPr>
                <w:rFonts w:cs="Arial"/>
                <w:color w:val="000000"/>
                <w:sz w:val="20"/>
                <w:szCs w:val="20"/>
                <w:lang w:eastAsia="pl-PL"/>
              </w:rPr>
              <w:t>PM</w:t>
            </w:r>
          </w:p>
        </w:tc>
        <w:tc>
          <w:tcPr>
            <w:tcW w:w="0" w:type="auto"/>
          </w:tcPr>
          <w:p w14:paraId="3139D38D" w14:textId="77777777" w:rsidR="00380138" w:rsidRPr="003478AF" w:rsidRDefault="00380138" w:rsidP="00380138">
            <w:pPr>
              <w:spacing w:before="40" w:after="40" w:line="240" w:lineRule="auto"/>
              <w:ind w:firstLine="0"/>
              <w:jc w:val="left"/>
              <w:rPr>
                <w:rFonts w:cs="Arial"/>
                <w:sz w:val="20"/>
                <w:szCs w:val="20"/>
              </w:rPr>
            </w:pPr>
            <w:r w:rsidRPr="003478AF">
              <w:rPr>
                <w:rFonts w:cs="Arial"/>
                <w:color w:val="000000"/>
                <w:sz w:val="20"/>
                <w:szCs w:val="20"/>
                <w:lang w:eastAsia="pl-PL"/>
              </w:rPr>
              <w:t>pyły zawieszone</w:t>
            </w:r>
          </w:p>
        </w:tc>
      </w:tr>
      <w:tr w:rsidR="00380138" w:rsidRPr="003478AF" w14:paraId="1EFF08C6" w14:textId="77777777" w:rsidTr="00365B14">
        <w:trPr>
          <w:trHeight w:val="227"/>
        </w:trPr>
        <w:tc>
          <w:tcPr>
            <w:tcW w:w="0" w:type="auto"/>
          </w:tcPr>
          <w:p w14:paraId="46E26575" w14:textId="571C187A" w:rsidR="00380138" w:rsidRPr="003478AF" w:rsidRDefault="00F06367" w:rsidP="00380138">
            <w:pPr>
              <w:spacing w:before="40" w:after="40" w:line="240" w:lineRule="auto"/>
              <w:ind w:firstLine="0"/>
              <w:rPr>
                <w:rFonts w:cs="Arial"/>
                <w:sz w:val="20"/>
                <w:szCs w:val="20"/>
              </w:rPr>
            </w:pPr>
            <w:r w:rsidRPr="003478AF">
              <w:rPr>
                <w:rFonts w:eastAsia="Arial" w:cs="Arial"/>
                <w:color w:val="000000"/>
                <w:sz w:val="20"/>
                <w:szCs w:val="20"/>
                <w:lang w:eastAsia="pl-PL"/>
              </w:rPr>
              <w:t>POIŚ</w:t>
            </w:r>
            <w:r w:rsidR="00380138" w:rsidRPr="003478AF">
              <w:rPr>
                <w:rFonts w:eastAsia="Arial" w:cs="Arial"/>
                <w:color w:val="000000"/>
                <w:sz w:val="20"/>
                <w:szCs w:val="20"/>
                <w:lang w:eastAsia="pl-PL"/>
              </w:rPr>
              <w:t xml:space="preserve"> </w:t>
            </w:r>
          </w:p>
        </w:tc>
        <w:tc>
          <w:tcPr>
            <w:tcW w:w="0" w:type="auto"/>
          </w:tcPr>
          <w:p w14:paraId="765B1344" w14:textId="500CFEA7" w:rsidR="00380138" w:rsidRPr="003478AF" w:rsidRDefault="00380138" w:rsidP="00380138">
            <w:pPr>
              <w:spacing w:before="40" w:after="40" w:line="240" w:lineRule="auto"/>
              <w:ind w:firstLine="0"/>
              <w:jc w:val="left"/>
              <w:rPr>
                <w:rFonts w:cs="Arial"/>
                <w:sz w:val="20"/>
                <w:szCs w:val="20"/>
              </w:rPr>
            </w:pPr>
            <w:r w:rsidRPr="003478AF">
              <w:rPr>
                <w:rFonts w:eastAsia="Arial" w:cs="Arial"/>
                <w:color w:val="000000"/>
                <w:sz w:val="20"/>
                <w:szCs w:val="20"/>
                <w:lang w:eastAsia="pl-PL"/>
              </w:rPr>
              <w:t xml:space="preserve">Program Operacyjny Infrastruktura i Środowisko </w:t>
            </w:r>
            <w:r w:rsidR="002B51EE" w:rsidRPr="003478AF">
              <w:rPr>
                <w:rFonts w:eastAsia="Arial" w:cs="Arial"/>
                <w:color w:val="000000"/>
                <w:sz w:val="20"/>
                <w:szCs w:val="20"/>
                <w:lang w:eastAsia="pl-PL"/>
              </w:rPr>
              <w:t xml:space="preserve">na lata </w:t>
            </w:r>
            <w:r w:rsidRPr="003478AF">
              <w:rPr>
                <w:rFonts w:eastAsia="Arial" w:cs="Arial"/>
                <w:color w:val="000000"/>
                <w:sz w:val="20"/>
                <w:szCs w:val="20"/>
                <w:lang w:eastAsia="pl-PL"/>
              </w:rPr>
              <w:t>2014-2020</w:t>
            </w:r>
          </w:p>
        </w:tc>
      </w:tr>
      <w:tr w:rsidR="00380138" w:rsidRPr="003478AF" w14:paraId="241D1411" w14:textId="77777777" w:rsidTr="00365B14">
        <w:trPr>
          <w:trHeight w:val="227"/>
        </w:trPr>
        <w:tc>
          <w:tcPr>
            <w:tcW w:w="0" w:type="auto"/>
          </w:tcPr>
          <w:p w14:paraId="39004B27" w14:textId="77777777" w:rsidR="00380138" w:rsidRPr="003478AF" w:rsidRDefault="00380138" w:rsidP="00380138">
            <w:pPr>
              <w:spacing w:before="40" w:after="40" w:line="240" w:lineRule="auto"/>
              <w:ind w:firstLine="0"/>
              <w:rPr>
                <w:rFonts w:cs="Arial"/>
                <w:sz w:val="20"/>
                <w:szCs w:val="20"/>
              </w:rPr>
            </w:pPr>
            <w:r w:rsidRPr="003478AF">
              <w:rPr>
                <w:rFonts w:eastAsia="Arial" w:cs="Arial"/>
                <w:color w:val="000000"/>
                <w:sz w:val="20"/>
                <w:szCs w:val="20"/>
                <w:lang w:eastAsia="pl-PL"/>
              </w:rPr>
              <w:t>POS</w:t>
            </w:r>
          </w:p>
        </w:tc>
        <w:tc>
          <w:tcPr>
            <w:tcW w:w="0" w:type="auto"/>
          </w:tcPr>
          <w:p w14:paraId="5B4FEBFC" w14:textId="77777777" w:rsidR="00380138" w:rsidRPr="003478AF" w:rsidRDefault="00380138" w:rsidP="00380138">
            <w:pPr>
              <w:spacing w:before="40" w:after="40" w:line="240" w:lineRule="auto"/>
              <w:ind w:firstLine="0"/>
              <w:jc w:val="left"/>
              <w:rPr>
                <w:rFonts w:cs="Arial"/>
                <w:sz w:val="20"/>
                <w:szCs w:val="20"/>
              </w:rPr>
            </w:pPr>
            <w:r w:rsidRPr="003478AF">
              <w:rPr>
                <w:rFonts w:eastAsia="Arial" w:cs="Arial"/>
                <w:color w:val="000000"/>
                <w:sz w:val="20"/>
                <w:szCs w:val="20"/>
                <w:lang w:eastAsia="pl-PL"/>
              </w:rPr>
              <w:t>Program Ochrony Środowiska dla Województwa Wielkopolskiego do roku 2030</w:t>
            </w:r>
          </w:p>
        </w:tc>
      </w:tr>
      <w:tr w:rsidR="00380138" w:rsidRPr="003478AF" w14:paraId="6BB7819B" w14:textId="77777777" w:rsidTr="00365B14">
        <w:trPr>
          <w:trHeight w:val="227"/>
        </w:trPr>
        <w:tc>
          <w:tcPr>
            <w:tcW w:w="0" w:type="auto"/>
          </w:tcPr>
          <w:p w14:paraId="0A978AC6" w14:textId="77777777" w:rsidR="00380138" w:rsidRPr="003478AF" w:rsidRDefault="00380138" w:rsidP="00380138">
            <w:pPr>
              <w:spacing w:before="40" w:after="40" w:line="240" w:lineRule="auto"/>
              <w:ind w:firstLine="0"/>
              <w:rPr>
                <w:rFonts w:cs="Arial"/>
                <w:sz w:val="20"/>
                <w:szCs w:val="20"/>
              </w:rPr>
            </w:pPr>
            <w:r w:rsidRPr="003478AF">
              <w:rPr>
                <w:rFonts w:eastAsia="MinionPro-Regular" w:cs="Arial"/>
                <w:color w:val="000000"/>
                <w:sz w:val="20"/>
                <w:szCs w:val="20"/>
                <w:lang w:eastAsia="pl-PL"/>
              </w:rPr>
              <w:t>PZPWW</w:t>
            </w:r>
          </w:p>
        </w:tc>
        <w:tc>
          <w:tcPr>
            <w:tcW w:w="0" w:type="auto"/>
          </w:tcPr>
          <w:p w14:paraId="72B3830D" w14:textId="12C3007B" w:rsidR="00380138" w:rsidRPr="003478AF" w:rsidRDefault="00380138" w:rsidP="002D5996">
            <w:pPr>
              <w:spacing w:before="40" w:after="40" w:line="240" w:lineRule="auto"/>
              <w:ind w:firstLine="0"/>
              <w:jc w:val="left"/>
              <w:rPr>
                <w:rFonts w:cs="Arial"/>
                <w:sz w:val="20"/>
                <w:szCs w:val="20"/>
              </w:rPr>
            </w:pPr>
            <w:r w:rsidRPr="003478AF">
              <w:rPr>
                <w:rFonts w:eastAsia="MinionPro-Regular" w:cs="Arial"/>
                <w:color w:val="000000"/>
                <w:sz w:val="20"/>
                <w:szCs w:val="20"/>
                <w:lang w:eastAsia="pl-PL"/>
              </w:rPr>
              <w:t xml:space="preserve">Plan </w:t>
            </w:r>
            <w:r w:rsidR="002D5996" w:rsidRPr="003478AF">
              <w:rPr>
                <w:rFonts w:eastAsia="MinionPro-Regular" w:cs="Arial"/>
                <w:color w:val="000000"/>
                <w:sz w:val="20"/>
                <w:szCs w:val="20"/>
                <w:lang w:eastAsia="pl-PL"/>
              </w:rPr>
              <w:t>z</w:t>
            </w:r>
            <w:r w:rsidRPr="003478AF">
              <w:rPr>
                <w:rFonts w:eastAsia="MinionPro-Regular" w:cs="Arial"/>
                <w:color w:val="000000"/>
                <w:sz w:val="20"/>
                <w:szCs w:val="20"/>
                <w:lang w:eastAsia="pl-PL"/>
              </w:rPr>
              <w:t xml:space="preserve">agospodarowania </w:t>
            </w:r>
            <w:r w:rsidR="002D5996" w:rsidRPr="003478AF">
              <w:rPr>
                <w:rFonts w:eastAsia="MinionPro-Regular" w:cs="Arial"/>
                <w:color w:val="000000"/>
                <w:sz w:val="20"/>
                <w:szCs w:val="20"/>
                <w:lang w:eastAsia="pl-PL"/>
              </w:rPr>
              <w:t>p</w:t>
            </w:r>
            <w:r w:rsidRPr="003478AF">
              <w:rPr>
                <w:rFonts w:eastAsia="MinionPro-Regular" w:cs="Arial"/>
                <w:color w:val="000000"/>
                <w:sz w:val="20"/>
                <w:szCs w:val="20"/>
                <w:lang w:eastAsia="pl-PL"/>
              </w:rPr>
              <w:t xml:space="preserve">rzestrzennego </w:t>
            </w:r>
            <w:r w:rsidR="002D5996" w:rsidRPr="003478AF">
              <w:rPr>
                <w:rFonts w:eastAsia="MinionPro-Regular" w:cs="Arial"/>
                <w:color w:val="000000"/>
                <w:sz w:val="20"/>
                <w:szCs w:val="20"/>
                <w:lang w:eastAsia="pl-PL"/>
              </w:rPr>
              <w:t>w</w:t>
            </w:r>
            <w:r w:rsidRPr="003478AF">
              <w:rPr>
                <w:rFonts w:eastAsia="MinionPro-Regular" w:cs="Arial"/>
                <w:color w:val="000000"/>
                <w:sz w:val="20"/>
                <w:szCs w:val="20"/>
                <w:lang w:eastAsia="pl-PL"/>
              </w:rPr>
              <w:t xml:space="preserve">ojewództwa </w:t>
            </w:r>
            <w:r w:rsidR="002D5996" w:rsidRPr="003478AF">
              <w:rPr>
                <w:rFonts w:eastAsia="MinionPro-Regular" w:cs="Arial"/>
                <w:color w:val="000000"/>
                <w:sz w:val="20"/>
                <w:szCs w:val="20"/>
                <w:lang w:eastAsia="pl-PL"/>
              </w:rPr>
              <w:t>w</w:t>
            </w:r>
            <w:r w:rsidRPr="003478AF">
              <w:rPr>
                <w:rFonts w:eastAsia="MinionPro-Regular" w:cs="Arial"/>
                <w:color w:val="000000"/>
                <w:sz w:val="20"/>
                <w:szCs w:val="20"/>
                <w:lang w:eastAsia="pl-PL"/>
              </w:rPr>
              <w:t>ielkopolskiego. Wielkopolska 2020+</w:t>
            </w:r>
          </w:p>
        </w:tc>
      </w:tr>
      <w:tr w:rsidR="00380138" w:rsidRPr="003478AF" w14:paraId="30C72EAB" w14:textId="77777777" w:rsidTr="00365B14">
        <w:trPr>
          <w:trHeight w:val="227"/>
        </w:trPr>
        <w:tc>
          <w:tcPr>
            <w:tcW w:w="0" w:type="auto"/>
          </w:tcPr>
          <w:p w14:paraId="79F4091F" w14:textId="77777777" w:rsidR="00380138" w:rsidRPr="003478AF" w:rsidRDefault="00380138" w:rsidP="00380138">
            <w:pPr>
              <w:spacing w:before="40" w:after="40" w:line="240" w:lineRule="auto"/>
              <w:ind w:firstLine="0"/>
              <w:rPr>
                <w:rFonts w:cs="Arial"/>
                <w:sz w:val="20"/>
                <w:szCs w:val="20"/>
              </w:rPr>
            </w:pPr>
            <w:r w:rsidRPr="003478AF">
              <w:rPr>
                <w:rFonts w:eastAsia="MinionPro-Regular" w:cs="Arial"/>
                <w:color w:val="000000"/>
                <w:sz w:val="20"/>
                <w:szCs w:val="20"/>
                <w:lang w:eastAsia="pl-PL"/>
              </w:rPr>
              <w:t>RIS</w:t>
            </w:r>
          </w:p>
        </w:tc>
        <w:tc>
          <w:tcPr>
            <w:tcW w:w="0" w:type="auto"/>
          </w:tcPr>
          <w:p w14:paraId="220EE72B" w14:textId="77777777" w:rsidR="00380138" w:rsidRPr="003478AF" w:rsidRDefault="00380138" w:rsidP="00380138">
            <w:pPr>
              <w:spacing w:before="40" w:after="40" w:line="240" w:lineRule="auto"/>
              <w:ind w:firstLine="0"/>
              <w:jc w:val="left"/>
              <w:rPr>
                <w:rFonts w:cs="Arial"/>
                <w:sz w:val="20"/>
                <w:szCs w:val="20"/>
              </w:rPr>
            </w:pPr>
            <w:r w:rsidRPr="003478AF">
              <w:rPr>
                <w:rFonts w:eastAsia="MinionPro-Regular" w:cs="Arial"/>
                <w:color w:val="000000"/>
                <w:sz w:val="20"/>
                <w:szCs w:val="20"/>
                <w:lang w:eastAsia="pl-PL"/>
              </w:rPr>
              <w:t>Regionalna Strategia Innowacji dla Wielkopolski 2030</w:t>
            </w:r>
          </w:p>
        </w:tc>
      </w:tr>
      <w:tr w:rsidR="00380138" w:rsidRPr="003478AF" w14:paraId="00DEE6D2" w14:textId="77777777" w:rsidTr="00365B14">
        <w:trPr>
          <w:trHeight w:val="227"/>
        </w:trPr>
        <w:tc>
          <w:tcPr>
            <w:tcW w:w="0" w:type="auto"/>
          </w:tcPr>
          <w:p w14:paraId="64562BFD" w14:textId="77777777" w:rsidR="00380138" w:rsidRPr="003478AF" w:rsidRDefault="00380138" w:rsidP="00380138">
            <w:pPr>
              <w:spacing w:before="40" w:after="40" w:line="240" w:lineRule="auto"/>
              <w:ind w:firstLine="0"/>
              <w:rPr>
                <w:rFonts w:cs="Arial"/>
                <w:sz w:val="20"/>
                <w:szCs w:val="20"/>
              </w:rPr>
            </w:pPr>
            <w:r w:rsidRPr="003478AF">
              <w:rPr>
                <w:rFonts w:eastAsia="Times New Roman" w:cs="Arial"/>
                <w:color w:val="000000"/>
                <w:sz w:val="20"/>
                <w:szCs w:val="20"/>
                <w:lang w:val="en-GB" w:eastAsia="pl-PL"/>
              </w:rPr>
              <w:t>ROI</w:t>
            </w:r>
          </w:p>
        </w:tc>
        <w:tc>
          <w:tcPr>
            <w:tcW w:w="0" w:type="auto"/>
          </w:tcPr>
          <w:p w14:paraId="58E268E4" w14:textId="544642AD" w:rsidR="00380138" w:rsidRPr="003478AF" w:rsidRDefault="00380138" w:rsidP="008E6936">
            <w:pPr>
              <w:spacing w:before="40" w:after="40" w:line="240" w:lineRule="auto"/>
              <w:ind w:firstLine="0"/>
              <w:jc w:val="left"/>
              <w:rPr>
                <w:rFonts w:cs="Arial"/>
                <w:sz w:val="20"/>
                <w:szCs w:val="20"/>
                <w:lang w:val="en-GB"/>
              </w:rPr>
            </w:pPr>
            <w:r w:rsidRPr="003478AF">
              <w:rPr>
                <w:rFonts w:eastAsia="Times New Roman" w:cs="Arial"/>
                <w:color w:val="000000"/>
                <w:sz w:val="20"/>
                <w:szCs w:val="20"/>
                <w:lang w:val="en-GB" w:eastAsia="pl-PL"/>
              </w:rPr>
              <w:t>wskaźnik rentowności</w:t>
            </w:r>
            <w:r w:rsidR="008E6936" w:rsidRPr="003478AF">
              <w:rPr>
                <w:rFonts w:eastAsia="Times New Roman" w:cs="Arial"/>
                <w:color w:val="000000"/>
                <w:sz w:val="20"/>
                <w:szCs w:val="20"/>
                <w:lang w:val="en-GB" w:eastAsia="pl-PL"/>
              </w:rPr>
              <w:t xml:space="preserve"> (</w:t>
            </w:r>
            <w:r w:rsidRPr="003478AF">
              <w:rPr>
                <w:rFonts w:eastAsia="Times New Roman" w:cs="Arial"/>
                <w:iCs/>
                <w:color w:val="000000"/>
                <w:sz w:val="20"/>
                <w:szCs w:val="20"/>
                <w:lang w:val="en-GB" w:eastAsia="pl-PL"/>
              </w:rPr>
              <w:t xml:space="preserve">ang. </w:t>
            </w:r>
            <w:r w:rsidR="002D5996" w:rsidRPr="003478AF">
              <w:rPr>
                <w:rFonts w:eastAsia="Times New Roman" w:cs="Arial"/>
                <w:i/>
                <w:iCs/>
                <w:color w:val="000000"/>
                <w:sz w:val="20"/>
                <w:szCs w:val="20"/>
                <w:lang w:val="en-GB" w:eastAsia="pl-PL"/>
              </w:rPr>
              <w:t>R</w:t>
            </w:r>
            <w:r w:rsidRPr="003478AF">
              <w:rPr>
                <w:rFonts w:eastAsia="Times New Roman" w:cs="Arial"/>
                <w:i/>
                <w:iCs/>
                <w:color w:val="000000"/>
                <w:sz w:val="20"/>
                <w:szCs w:val="20"/>
                <w:lang w:val="en-GB" w:eastAsia="pl-PL"/>
              </w:rPr>
              <w:t xml:space="preserve">eturn </w:t>
            </w:r>
            <w:r w:rsidR="002D5996" w:rsidRPr="003478AF">
              <w:rPr>
                <w:rFonts w:eastAsia="Times New Roman" w:cs="Arial"/>
                <w:i/>
                <w:iCs/>
                <w:color w:val="000000"/>
                <w:sz w:val="20"/>
                <w:szCs w:val="20"/>
                <w:lang w:val="en-GB" w:eastAsia="pl-PL"/>
              </w:rPr>
              <w:t>O</w:t>
            </w:r>
            <w:r w:rsidRPr="003478AF">
              <w:rPr>
                <w:rFonts w:eastAsia="Times New Roman" w:cs="Arial"/>
                <w:i/>
                <w:iCs/>
                <w:color w:val="000000"/>
                <w:sz w:val="20"/>
                <w:szCs w:val="20"/>
                <w:lang w:val="en-GB" w:eastAsia="pl-PL"/>
              </w:rPr>
              <w:t xml:space="preserve">n </w:t>
            </w:r>
            <w:r w:rsidR="002D5996" w:rsidRPr="003478AF">
              <w:rPr>
                <w:rFonts w:eastAsia="Times New Roman" w:cs="Arial"/>
                <w:i/>
                <w:iCs/>
                <w:color w:val="000000"/>
                <w:sz w:val="20"/>
                <w:szCs w:val="20"/>
                <w:lang w:val="en-GB" w:eastAsia="pl-PL"/>
              </w:rPr>
              <w:t>I</w:t>
            </w:r>
            <w:r w:rsidRPr="003478AF">
              <w:rPr>
                <w:rFonts w:eastAsia="Times New Roman" w:cs="Arial"/>
                <w:i/>
                <w:iCs/>
                <w:color w:val="000000"/>
                <w:sz w:val="20"/>
                <w:szCs w:val="20"/>
                <w:lang w:val="en-GB" w:eastAsia="pl-PL"/>
              </w:rPr>
              <w:t>nvestment</w:t>
            </w:r>
            <w:r w:rsidR="008E6936" w:rsidRPr="003478AF">
              <w:rPr>
                <w:rFonts w:eastAsia="Times New Roman" w:cs="Arial"/>
                <w:iCs/>
                <w:color w:val="000000"/>
                <w:sz w:val="20"/>
                <w:szCs w:val="20"/>
                <w:lang w:val="en-GB" w:eastAsia="pl-PL"/>
              </w:rPr>
              <w:t>)</w:t>
            </w:r>
          </w:p>
        </w:tc>
      </w:tr>
      <w:tr w:rsidR="00380138" w:rsidRPr="003478AF" w14:paraId="1E673535" w14:textId="77777777" w:rsidTr="00365B14">
        <w:trPr>
          <w:trHeight w:val="227"/>
        </w:trPr>
        <w:tc>
          <w:tcPr>
            <w:tcW w:w="0" w:type="auto"/>
          </w:tcPr>
          <w:p w14:paraId="0249C0AA" w14:textId="2678D212" w:rsidR="00380138" w:rsidRPr="003478AF" w:rsidRDefault="00900661" w:rsidP="00380138">
            <w:pPr>
              <w:spacing w:before="40" w:after="40" w:line="240" w:lineRule="auto"/>
              <w:ind w:firstLine="0"/>
              <w:rPr>
                <w:rFonts w:cs="Arial"/>
                <w:sz w:val="20"/>
                <w:szCs w:val="20"/>
              </w:rPr>
            </w:pPr>
            <w:r w:rsidRPr="003478AF">
              <w:rPr>
                <w:rFonts w:eastAsia="MinionPro-Regular" w:cs="Arial"/>
                <w:color w:val="000000"/>
                <w:sz w:val="20"/>
                <w:szCs w:val="20"/>
                <w:lang w:eastAsia="pl-PL"/>
              </w:rPr>
              <w:t>SRWW</w:t>
            </w:r>
          </w:p>
        </w:tc>
        <w:tc>
          <w:tcPr>
            <w:tcW w:w="0" w:type="auto"/>
          </w:tcPr>
          <w:p w14:paraId="6270D9FA" w14:textId="7B4B2E13" w:rsidR="00380138" w:rsidRPr="003478AF" w:rsidRDefault="00380138" w:rsidP="002B51EE">
            <w:pPr>
              <w:spacing w:before="40" w:after="40" w:line="240" w:lineRule="auto"/>
              <w:ind w:firstLine="0"/>
              <w:jc w:val="left"/>
              <w:rPr>
                <w:rFonts w:cs="Arial"/>
                <w:sz w:val="20"/>
                <w:szCs w:val="20"/>
              </w:rPr>
            </w:pPr>
            <w:r w:rsidRPr="003478AF">
              <w:rPr>
                <w:rFonts w:eastAsia="MinionPro-Regular" w:cs="Arial"/>
                <w:color w:val="000000"/>
                <w:sz w:val="20"/>
                <w:szCs w:val="20"/>
                <w:lang w:eastAsia="pl-PL"/>
              </w:rPr>
              <w:t xml:space="preserve">Strategia </w:t>
            </w:r>
            <w:r w:rsidR="002B51EE" w:rsidRPr="003478AF">
              <w:rPr>
                <w:rFonts w:eastAsia="MinionPro-Regular" w:cs="Arial"/>
                <w:color w:val="000000"/>
                <w:sz w:val="20"/>
                <w:szCs w:val="20"/>
                <w:lang w:eastAsia="pl-PL"/>
              </w:rPr>
              <w:t>r</w:t>
            </w:r>
            <w:r w:rsidRPr="003478AF">
              <w:rPr>
                <w:rFonts w:eastAsia="MinionPro-Regular" w:cs="Arial"/>
                <w:color w:val="000000"/>
                <w:sz w:val="20"/>
                <w:szCs w:val="20"/>
                <w:lang w:eastAsia="pl-PL"/>
              </w:rPr>
              <w:t xml:space="preserve">ozwoju </w:t>
            </w:r>
            <w:r w:rsidR="002B51EE" w:rsidRPr="003478AF">
              <w:rPr>
                <w:rFonts w:eastAsia="MinionPro-Regular" w:cs="Arial"/>
                <w:color w:val="000000"/>
                <w:sz w:val="20"/>
                <w:szCs w:val="20"/>
                <w:lang w:eastAsia="pl-PL"/>
              </w:rPr>
              <w:t>w</w:t>
            </w:r>
            <w:r w:rsidRPr="003478AF">
              <w:rPr>
                <w:rFonts w:eastAsia="MinionPro-Regular" w:cs="Arial"/>
                <w:color w:val="000000"/>
                <w:sz w:val="20"/>
                <w:szCs w:val="20"/>
                <w:lang w:eastAsia="pl-PL"/>
              </w:rPr>
              <w:t xml:space="preserve">ojewództwa </w:t>
            </w:r>
            <w:r w:rsidR="002B51EE" w:rsidRPr="003478AF">
              <w:rPr>
                <w:rFonts w:eastAsia="MinionPro-Regular" w:cs="Arial"/>
                <w:color w:val="000000"/>
                <w:sz w:val="20"/>
                <w:szCs w:val="20"/>
                <w:lang w:eastAsia="pl-PL"/>
              </w:rPr>
              <w:t>w</w:t>
            </w:r>
            <w:r w:rsidRPr="003478AF">
              <w:rPr>
                <w:rFonts w:eastAsia="MinionPro-Regular" w:cs="Arial"/>
                <w:color w:val="000000"/>
                <w:sz w:val="20"/>
                <w:szCs w:val="20"/>
                <w:lang w:eastAsia="pl-PL"/>
              </w:rPr>
              <w:t>ielkopolskiego do 2030 roku</w:t>
            </w:r>
          </w:p>
        </w:tc>
      </w:tr>
      <w:tr w:rsidR="00380138" w:rsidRPr="003478AF" w14:paraId="5EF53A7C" w14:textId="77777777" w:rsidTr="00365B14">
        <w:trPr>
          <w:trHeight w:val="227"/>
        </w:trPr>
        <w:tc>
          <w:tcPr>
            <w:tcW w:w="0" w:type="auto"/>
          </w:tcPr>
          <w:p w14:paraId="7870F443" w14:textId="77777777" w:rsidR="00380138" w:rsidRPr="003478AF" w:rsidRDefault="00380138" w:rsidP="00380138">
            <w:pPr>
              <w:spacing w:before="40" w:after="40" w:line="240" w:lineRule="auto"/>
              <w:ind w:firstLine="0"/>
              <w:rPr>
                <w:rFonts w:cs="Arial"/>
                <w:sz w:val="20"/>
                <w:szCs w:val="20"/>
              </w:rPr>
            </w:pPr>
            <w:r w:rsidRPr="003478AF">
              <w:rPr>
                <w:rFonts w:cs="Arial"/>
                <w:color w:val="000000"/>
                <w:sz w:val="20"/>
                <w:szCs w:val="20"/>
                <w:lang w:eastAsia="pl-PL"/>
              </w:rPr>
              <w:t>UE</w:t>
            </w:r>
          </w:p>
        </w:tc>
        <w:tc>
          <w:tcPr>
            <w:tcW w:w="0" w:type="auto"/>
          </w:tcPr>
          <w:p w14:paraId="2057AF85" w14:textId="77777777" w:rsidR="00380138" w:rsidRPr="003478AF" w:rsidRDefault="00380138" w:rsidP="00380138">
            <w:pPr>
              <w:spacing w:before="40" w:after="40" w:line="240" w:lineRule="auto"/>
              <w:ind w:firstLine="0"/>
              <w:jc w:val="left"/>
              <w:rPr>
                <w:rFonts w:cs="Arial"/>
                <w:sz w:val="20"/>
                <w:szCs w:val="20"/>
              </w:rPr>
            </w:pPr>
            <w:r w:rsidRPr="003478AF">
              <w:rPr>
                <w:rFonts w:cs="Arial"/>
                <w:color w:val="000000"/>
                <w:sz w:val="20"/>
                <w:szCs w:val="20"/>
                <w:lang w:eastAsia="pl-PL"/>
              </w:rPr>
              <w:t>Unia Europejska</w:t>
            </w:r>
          </w:p>
        </w:tc>
      </w:tr>
      <w:tr w:rsidR="00380138" w:rsidRPr="003478AF" w14:paraId="442EAAFA" w14:textId="77777777" w:rsidTr="00365B14">
        <w:trPr>
          <w:trHeight w:val="227"/>
        </w:trPr>
        <w:tc>
          <w:tcPr>
            <w:tcW w:w="0" w:type="auto"/>
          </w:tcPr>
          <w:p w14:paraId="00D19798" w14:textId="77777777" w:rsidR="00380138" w:rsidRPr="003478AF" w:rsidRDefault="00380138" w:rsidP="00380138">
            <w:pPr>
              <w:spacing w:before="40" w:after="40" w:line="240" w:lineRule="auto"/>
              <w:ind w:firstLine="0"/>
              <w:rPr>
                <w:rFonts w:cs="Arial"/>
                <w:sz w:val="20"/>
                <w:szCs w:val="20"/>
              </w:rPr>
            </w:pPr>
            <w:r w:rsidRPr="003478AF">
              <w:rPr>
                <w:rFonts w:cs="Arial"/>
                <w:color w:val="000000"/>
                <w:sz w:val="20"/>
                <w:szCs w:val="20"/>
                <w:lang w:eastAsia="pl-PL"/>
              </w:rPr>
              <w:t>UP</w:t>
            </w:r>
          </w:p>
        </w:tc>
        <w:tc>
          <w:tcPr>
            <w:tcW w:w="0" w:type="auto"/>
          </w:tcPr>
          <w:p w14:paraId="03B14EF4" w14:textId="77777777" w:rsidR="00380138" w:rsidRPr="003478AF" w:rsidRDefault="00380138" w:rsidP="00380138">
            <w:pPr>
              <w:spacing w:before="40" w:after="40" w:line="240" w:lineRule="auto"/>
              <w:ind w:firstLine="0"/>
              <w:jc w:val="left"/>
              <w:rPr>
                <w:rFonts w:cs="Arial"/>
                <w:sz w:val="20"/>
                <w:szCs w:val="20"/>
              </w:rPr>
            </w:pPr>
            <w:r w:rsidRPr="003478AF">
              <w:rPr>
                <w:rFonts w:cs="Arial"/>
                <w:color w:val="000000"/>
                <w:sz w:val="20"/>
                <w:szCs w:val="20"/>
                <w:lang w:eastAsia="pl-PL"/>
              </w:rPr>
              <w:t>Uniwersytet Przyrodniczy w Poznaniu</w:t>
            </w:r>
          </w:p>
        </w:tc>
      </w:tr>
      <w:tr w:rsidR="00FA2269" w:rsidRPr="003478AF" w14:paraId="6AF2506E" w14:textId="77777777" w:rsidTr="00365B14">
        <w:trPr>
          <w:trHeight w:val="227"/>
        </w:trPr>
        <w:tc>
          <w:tcPr>
            <w:tcW w:w="0" w:type="auto"/>
          </w:tcPr>
          <w:p w14:paraId="45FBC9A8" w14:textId="77777777" w:rsidR="00FA2269" w:rsidRPr="003478AF" w:rsidRDefault="00FA2269" w:rsidP="0038370F">
            <w:pPr>
              <w:spacing w:before="40" w:after="40" w:line="240" w:lineRule="auto"/>
              <w:ind w:firstLine="0"/>
              <w:rPr>
                <w:rFonts w:cs="Arial"/>
                <w:sz w:val="20"/>
                <w:szCs w:val="20"/>
              </w:rPr>
            </w:pPr>
            <w:r w:rsidRPr="003478AF">
              <w:rPr>
                <w:rFonts w:cs="Arial"/>
                <w:sz w:val="20"/>
                <w:szCs w:val="20"/>
              </w:rPr>
              <w:t>UPRP</w:t>
            </w:r>
          </w:p>
        </w:tc>
        <w:tc>
          <w:tcPr>
            <w:tcW w:w="0" w:type="auto"/>
          </w:tcPr>
          <w:p w14:paraId="67741263" w14:textId="77777777" w:rsidR="00FA2269" w:rsidRPr="003478AF" w:rsidRDefault="00FA2269" w:rsidP="0038370F">
            <w:pPr>
              <w:spacing w:before="40" w:after="40" w:line="240" w:lineRule="auto"/>
              <w:ind w:firstLine="0"/>
              <w:jc w:val="left"/>
              <w:rPr>
                <w:rFonts w:cs="Arial"/>
                <w:sz w:val="20"/>
                <w:szCs w:val="20"/>
              </w:rPr>
            </w:pPr>
            <w:r w:rsidRPr="003478AF">
              <w:rPr>
                <w:rFonts w:cs="Arial"/>
                <w:sz w:val="20"/>
                <w:szCs w:val="20"/>
              </w:rPr>
              <w:t>Urząd Patentowy Rzeczypospolitej Polskiej</w:t>
            </w:r>
          </w:p>
        </w:tc>
      </w:tr>
      <w:tr w:rsidR="00380138" w:rsidRPr="003478AF" w14:paraId="009F295F" w14:textId="77777777" w:rsidTr="00365B14">
        <w:trPr>
          <w:trHeight w:val="227"/>
        </w:trPr>
        <w:tc>
          <w:tcPr>
            <w:tcW w:w="0" w:type="auto"/>
          </w:tcPr>
          <w:p w14:paraId="4D6210F8" w14:textId="77777777" w:rsidR="00380138" w:rsidRPr="003478AF" w:rsidRDefault="00380138" w:rsidP="00380138">
            <w:pPr>
              <w:spacing w:before="40" w:after="40" w:line="240" w:lineRule="auto"/>
              <w:ind w:firstLine="0"/>
              <w:rPr>
                <w:rFonts w:cs="Arial"/>
                <w:sz w:val="20"/>
                <w:szCs w:val="20"/>
              </w:rPr>
            </w:pPr>
            <w:r w:rsidRPr="003478AF">
              <w:rPr>
                <w:rFonts w:cs="Arial"/>
                <w:color w:val="000000"/>
                <w:sz w:val="20"/>
                <w:szCs w:val="20"/>
                <w:lang w:eastAsia="pl-PL"/>
              </w:rPr>
              <w:t>UPS</w:t>
            </w:r>
          </w:p>
        </w:tc>
        <w:tc>
          <w:tcPr>
            <w:tcW w:w="0" w:type="auto"/>
          </w:tcPr>
          <w:p w14:paraId="4631D402" w14:textId="77777777" w:rsidR="00380138" w:rsidRPr="003478AF" w:rsidRDefault="00380138" w:rsidP="00380138">
            <w:pPr>
              <w:spacing w:before="40" w:after="40" w:line="240" w:lineRule="auto"/>
              <w:ind w:firstLine="0"/>
              <w:jc w:val="left"/>
              <w:rPr>
                <w:rFonts w:cs="Arial"/>
                <w:sz w:val="20"/>
                <w:szCs w:val="20"/>
              </w:rPr>
            </w:pPr>
            <w:r w:rsidRPr="003478AF">
              <w:rPr>
                <w:rFonts w:cs="Arial"/>
                <w:color w:val="000000"/>
                <w:sz w:val="20"/>
                <w:szCs w:val="20"/>
                <w:lang w:eastAsia="pl-PL"/>
              </w:rPr>
              <w:t>uboczny produkt spalania</w:t>
            </w:r>
          </w:p>
        </w:tc>
      </w:tr>
      <w:tr w:rsidR="00380138" w:rsidRPr="003478AF" w14:paraId="5F4860CD" w14:textId="77777777" w:rsidTr="00365B14">
        <w:trPr>
          <w:trHeight w:val="227"/>
        </w:trPr>
        <w:tc>
          <w:tcPr>
            <w:tcW w:w="0" w:type="auto"/>
          </w:tcPr>
          <w:p w14:paraId="7502D06A" w14:textId="077D2F36" w:rsidR="00380138" w:rsidRPr="003478AF" w:rsidRDefault="00380138" w:rsidP="00380138">
            <w:pPr>
              <w:spacing w:before="40" w:after="40" w:line="240" w:lineRule="auto"/>
              <w:ind w:firstLine="0"/>
              <w:rPr>
                <w:rFonts w:cs="Arial"/>
                <w:color w:val="000000"/>
                <w:sz w:val="20"/>
                <w:szCs w:val="20"/>
                <w:lang w:eastAsia="pl-PL"/>
              </w:rPr>
            </w:pPr>
            <w:r w:rsidRPr="003478AF">
              <w:rPr>
                <w:rFonts w:eastAsia="MinionPro-Regular" w:cs="Arial"/>
                <w:color w:val="000000"/>
                <w:sz w:val="20"/>
                <w:szCs w:val="20"/>
                <w:lang w:eastAsia="pl-PL"/>
              </w:rPr>
              <w:t>WPGO</w:t>
            </w:r>
            <w:r w:rsidR="002214E9" w:rsidRPr="003478AF">
              <w:rPr>
                <w:rFonts w:eastAsia="MinionPro-Regular" w:cs="Arial"/>
                <w:color w:val="000000"/>
                <w:sz w:val="20"/>
                <w:szCs w:val="20"/>
                <w:lang w:eastAsia="pl-PL"/>
              </w:rPr>
              <w:t xml:space="preserve"> 2025</w:t>
            </w:r>
          </w:p>
        </w:tc>
        <w:tc>
          <w:tcPr>
            <w:tcW w:w="0" w:type="auto"/>
          </w:tcPr>
          <w:p w14:paraId="0802677A" w14:textId="5D0D8CA0" w:rsidR="00380138" w:rsidRPr="003478AF" w:rsidRDefault="00380138" w:rsidP="00380138">
            <w:pPr>
              <w:spacing w:before="40" w:after="40" w:line="240" w:lineRule="auto"/>
              <w:ind w:firstLine="0"/>
              <w:jc w:val="left"/>
              <w:rPr>
                <w:rFonts w:cs="Arial"/>
                <w:color w:val="000000"/>
                <w:sz w:val="20"/>
                <w:szCs w:val="20"/>
                <w:lang w:eastAsia="pl-PL"/>
              </w:rPr>
            </w:pPr>
            <w:r w:rsidRPr="003478AF">
              <w:rPr>
                <w:rFonts w:eastAsia="MinionPro-Regular" w:cs="Arial"/>
                <w:color w:val="000000"/>
                <w:sz w:val="20"/>
                <w:szCs w:val="20"/>
                <w:lang w:eastAsia="pl-PL"/>
              </w:rPr>
              <w:t>Plan Gospodarki Odpadami dla Województwa Wielkopolskiego na lata 2019-2025</w:t>
            </w:r>
            <w:r w:rsidR="008E6936" w:rsidRPr="003478AF">
              <w:rPr>
                <w:rFonts w:eastAsia="MinionPro-Regular" w:cs="Arial"/>
                <w:color w:val="000000"/>
                <w:sz w:val="20"/>
                <w:szCs w:val="20"/>
                <w:lang w:eastAsia="pl-PL"/>
              </w:rPr>
              <w:t xml:space="preserve"> wraz z planem inwestycyjnym</w:t>
            </w:r>
          </w:p>
        </w:tc>
      </w:tr>
      <w:tr w:rsidR="00B74873" w:rsidRPr="003478AF" w14:paraId="0CA4A1AC" w14:textId="77777777" w:rsidTr="00365B14">
        <w:trPr>
          <w:trHeight w:val="227"/>
        </w:trPr>
        <w:tc>
          <w:tcPr>
            <w:tcW w:w="0" w:type="auto"/>
          </w:tcPr>
          <w:p w14:paraId="7F697B00" w14:textId="77777777" w:rsidR="00B74873" w:rsidRPr="003478AF" w:rsidRDefault="00B74873" w:rsidP="00092276">
            <w:pPr>
              <w:spacing w:before="40" w:after="40" w:line="240" w:lineRule="auto"/>
              <w:ind w:firstLine="0"/>
              <w:rPr>
                <w:rFonts w:eastAsia="Arial" w:cs="Arial"/>
                <w:color w:val="000000"/>
                <w:sz w:val="20"/>
                <w:szCs w:val="20"/>
                <w:lang w:eastAsia="pl-PL"/>
              </w:rPr>
            </w:pPr>
            <w:r w:rsidRPr="003478AF">
              <w:rPr>
                <w:rFonts w:cs="Arial"/>
                <w:color w:val="000000"/>
                <w:sz w:val="20"/>
                <w:szCs w:val="20"/>
                <w:lang w:eastAsia="pl-PL"/>
              </w:rPr>
              <w:t>WRPO</w:t>
            </w:r>
          </w:p>
        </w:tc>
        <w:tc>
          <w:tcPr>
            <w:tcW w:w="0" w:type="auto"/>
          </w:tcPr>
          <w:p w14:paraId="0CA0B74C" w14:textId="77777777" w:rsidR="00B74873" w:rsidRPr="003478AF" w:rsidRDefault="00B74873" w:rsidP="00092276">
            <w:pPr>
              <w:spacing w:before="40" w:after="40" w:line="240" w:lineRule="auto"/>
              <w:ind w:firstLine="0"/>
              <w:jc w:val="left"/>
              <w:rPr>
                <w:rFonts w:eastAsia="Arial" w:cs="Arial"/>
                <w:color w:val="000000"/>
                <w:sz w:val="20"/>
                <w:szCs w:val="20"/>
                <w:lang w:eastAsia="pl-PL"/>
              </w:rPr>
            </w:pPr>
            <w:r w:rsidRPr="003478AF">
              <w:rPr>
                <w:rFonts w:eastAsia="MinionPro-Regular" w:cs="Arial"/>
                <w:color w:val="000000"/>
                <w:sz w:val="20"/>
                <w:szCs w:val="20"/>
                <w:lang w:eastAsia="pl-PL"/>
              </w:rPr>
              <w:t>Wielkopolski Regionalny Program Operacyjny na lata 2014-2020</w:t>
            </w:r>
          </w:p>
        </w:tc>
      </w:tr>
      <w:tr w:rsidR="00380138" w:rsidRPr="003478AF" w14:paraId="52371603" w14:textId="77777777" w:rsidTr="00365B14">
        <w:trPr>
          <w:trHeight w:val="227"/>
        </w:trPr>
        <w:tc>
          <w:tcPr>
            <w:tcW w:w="0" w:type="auto"/>
          </w:tcPr>
          <w:p w14:paraId="590BE198" w14:textId="4E0FB175" w:rsidR="00380138" w:rsidRPr="003478AF" w:rsidRDefault="00B74873" w:rsidP="00380138">
            <w:pPr>
              <w:spacing w:before="40" w:after="40" w:line="240" w:lineRule="auto"/>
              <w:ind w:firstLine="0"/>
              <w:rPr>
                <w:rFonts w:cs="Arial"/>
                <w:color w:val="000000"/>
                <w:sz w:val="20"/>
                <w:szCs w:val="20"/>
                <w:lang w:eastAsia="pl-PL"/>
              </w:rPr>
            </w:pPr>
            <w:r w:rsidRPr="003478AF">
              <w:rPr>
                <w:rFonts w:cs="Arial"/>
                <w:color w:val="000000"/>
                <w:sz w:val="20"/>
                <w:szCs w:val="20"/>
                <w:lang w:eastAsia="pl-PL"/>
              </w:rPr>
              <w:t>ZE PAK</w:t>
            </w:r>
          </w:p>
        </w:tc>
        <w:tc>
          <w:tcPr>
            <w:tcW w:w="0" w:type="auto"/>
          </w:tcPr>
          <w:p w14:paraId="37DA713E" w14:textId="40CC058B" w:rsidR="00380138" w:rsidRPr="003478AF" w:rsidRDefault="00B74873" w:rsidP="00B74873">
            <w:pPr>
              <w:spacing w:before="40" w:after="40" w:line="240" w:lineRule="auto"/>
              <w:ind w:firstLine="0"/>
              <w:rPr>
                <w:rFonts w:cs="Arial"/>
                <w:color w:val="000000"/>
                <w:sz w:val="20"/>
                <w:szCs w:val="20"/>
                <w:lang w:eastAsia="pl-PL"/>
              </w:rPr>
            </w:pPr>
            <w:r w:rsidRPr="003478AF">
              <w:rPr>
                <w:rFonts w:cs="Arial"/>
                <w:color w:val="000000"/>
                <w:sz w:val="20"/>
                <w:szCs w:val="20"/>
                <w:lang w:eastAsia="pl-PL"/>
              </w:rPr>
              <w:t>Zespół Elektrowni Pątnów–Adamów–Konin S.A.</w:t>
            </w:r>
          </w:p>
        </w:tc>
      </w:tr>
    </w:tbl>
    <w:p w14:paraId="1522FA3B" w14:textId="578435B1" w:rsidR="00E7251B" w:rsidRPr="003478AF" w:rsidRDefault="00E7251B" w:rsidP="006931BD">
      <w:pPr>
        <w:spacing w:line="240" w:lineRule="auto"/>
        <w:ind w:firstLine="0"/>
        <w:sectPr w:rsidR="00E7251B" w:rsidRPr="003478AF" w:rsidSect="00C977E8">
          <w:headerReference w:type="default" r:id="rId12"/>
          <w:footerReference w:type="default" r:id="rId13"/>
          <w:headerReference w:type="first" r:id="rId14"/>
          <w:pgSz w:w="9979" w:h="14181" w:code="259"/>
          <w:pgMar w:top="340" w:right="851" w:bottom="340" w:left="851" w:header="567" w:footer="714" w:gutter="0"/>
          <w:cols w:space="708"/>
          <w:titlePg/>
          <w:docGrid w:linePitch="360"/>
        </w:sectPr>
      </w:pPr>
    </w:p>
    <w:p w14:paraId="08051CAF" w14:textId="77777777" w:rsidR="00C977E8" w:rsidRPr="003478AF" w:rsidRDefault="00C977E8" w:rsidP="00C977E8"/>
    <w:p w14:paraId="5AF11E85" w14:textId="52830935" w:rsidR="00A10139" w:rsidRPr="003478AF" w:rsidRDefault="00FA7769">
      <w:pPr>
        <w:pStyle w:val="Nagwek2"/>
      </w:pPr>
      <w:bookmarkStart w:id="6" w:name="_Toc82159976"/>
      <w:r w:rsidRPr="003478AF">
        <w:t>Wstęp</w:t>
      </w:r>
      <w:bookmarkEnd w:id="3"/>
      <w:bookmarkEnd w:id="6"/>
    </w:p>
    <w:p w14:paraId="1B7A9F57" w14:textId="6CF43A4F" w:rsidR="002463C5" w:rsidRPr="003478AF" w:rsidRDefault="00A85804" w:rsidP="00A85804">
      <w:pPr>
        <w:autoSpaceDE w:val="0"/>
        <w:autoSpaceDN w:val="0"/>
        <w:adjustRightInd w:val="0"/>
      </w:pPr>
      <w:r w:rsidRPr="003478AF">
        <w:rPr>
          <w:rFonts w:eastAsia="MinionPro-Regular" w:cs="Arial"/>
          <w:szCs w:val="20"/>
        </w:rPr>
        <w:t xml:space="preserve">Gospodarka o </w:t>
      </w:r>
      <w:r w:rsidRPr="003478AF">
        <w:rPr>
          <w:rFonts w:eastAsia="MinionPro-Regular" w:cs="Arial"/>
          <w:iCs/>
          <w:szCs w:val="20"/>
        </w:rPr>
        <w:t>obieg</w:t>
      </w:r>
      <w:r w:rsidRPr="003478AF">
        <w:rPr>
          <w:rFonts w:eastAsia="MinionPro-Regular" w:cs="Arial"/>
          <w:szCs w:val="20"/>
        </w:rPr>
        <w:t>u zamkniętym (GOZ</w:t>
      </w:r>
      <w:r w:rsidR="009310D0" w:rsidRPr="003478AF">
        <w:rPr>
          <w:rFonts w:eastAsia="MinionPro-Regular" w:cs="Arial"/>
          <w:szCs w:val="20"/>
        </w:rPr>
        <w:t xml:space="preserve">, </w:t>
      </w:r>
      <w:hyperlink r:id="rId15" w:tooltip="Język angielski" w:history="1">
        <w:r w:rsidR="00895A85" w:rsidRPr="003478AF">
          <w:rPr>
            <w:rStyle w:val="Hipercze"/>
            <w:color w:val="auto"/>
            <w:szCs w:val="20"/>
            <w:u w:val="none"/>
          </w:rPr>
          <w:t>ang.</w:t>
        </w:r>
      </w:hyperlink>
      <w:r w:rsidR="00895A85" w:rsidRPr="003478AF">
        <w:rPr>
          <w:szCs w:val="20"/>
        </w:rPr>
        <w:t xml:space="preserve"> </w:t>
      </w:r>
      <w:r w:rsidR="009310D0" w:rsidRPr="003478AF">
        <w:rPr>
          <w:rStyle w:val="Uwydatnienie"/>
          <w:iCs w:val="0"/>
          <w:szCs w:val="20"/>
        </w:rPr>
        <w:t>circular economy</w:t>
      </w:r>
      <w:r w:rsidRPr="003478AF">
        <w:rPr>
          <w:rFonts w:eastAsia="MinionPro-Regular" w:cs="Arial"/>
          <w:szCs w:val="20"/>
        </w:rPr>
        <w:t xml:space="preserve">), inaczej nazywana także gospodarką obiegu zamkniętego lub cyrkularną, to koncepcja zmierzająca do maksymalnie racjonalnego wykorzystania zasobów oraz ograniczenia negatywnego oddziaływania na środowisko wytwarzanych produktów. Model ten ma na celu minimalizację zużycia surowców oraz powstawania odpadów, a tym samym zmniejszenie emisji i </w:t>
      </w:r>
      <w:r w:rsidR="0065576C" w:rsidRPr="003478AF">
        <w:t xml:space="preserve">poziomów </w:t>
      </w:r>
      <w:r w:rsidRPr="003478AF">
        <w:rPr>
          <w:rFonts w:eastAsia="MinionPro-Regular" w:cs="Arial"/>
          <w:szCs w:val="20"/>
        </w:rPr>
        <w:t xml:space="preserve">wykorzystania energii, poprzez tworzenie zamkniętej pętli procesów, w której powstające odpady traktowane są jako surowce w kolejnych etapach produkcyjnych. </w:t>
      </w:r>
      <w:r w:rsidR="0065576C" w:rsidRPr="003478AF">
        <w:rPr>
          <w:rFonts w:eastAsia="MinionPro-Regular" w:cs="Arial"/>
          <w:szCs w:val="20"/>
        </w:rPr>
        <w:t>Produkty p</w:t>
      </w:r>
      <w:r w:rsidR="002463C5" w:rsidRPr="003478AF">
        <w:t>rojekt</w:t>
      </w:r>
      <w:r w:rsidR="0065576C" w:rsidRPr="003478AF">
        <w:t xml:space="preserve">owane są w taki </w:t>
      </w:r>
      <w:r w:rsidR="00645805" w:rsidRPr="003478AF">
        <w:t>sposób,</w:t>
      </w:r>
      <w:r w:rsidR="0065576C" w:rsidRPr="003478AF">
        <w:t xml:space="preserve"> aby </w:t>
      </w:r>
      <w:r w:rsidR="002463C5" w:rsidRPr="003478AF">
        <w:t>nada</w:t>
      </w:r>
      <w:r w:rsidR="0065576C" w:rsidRPr="003478AF">
        <w:t>wały</w:t>
      </w:r>
      <w:r w:rsidR="002463C5" w:rsidRPr="003478AF">
        <w:t xml:space="preserve"> się do ponownego użycia.</w:t>
      </w:r>
    </w:p>
    <w:p w14:paraId="784FDB37" w14:textId="009D8BD3" w:rsidR="00A85804" w:rsidRPr="003478AF" w:rsidRDefault="00A85804" w:rsidP="00A85804">
      <w:pPr>
        <w:autoSpaceDE w:val="0"/>
        <w:autoSpaceDN w:val="0"/>
        <w:adjustRightInd w:val="0"/>
        <w:rPr>
          <w:rFonts w:eastAsia="MinionPro-Regular" w:cs="Arial"/>
          <w:szCs w:val="20"/>
        </w:rPr>
      </w:pPr>
      <w:r w:rsidRPr="003478AF">
        <w:rPr>
          <w:rFonts w:eastAsia="MinionPro-Regular" w:cs="Arial"/>
          <w:szCs w:val="20"/>
        </w:rPr>
        <w:t xml:space="preserve">Gospodarka o obiegu zamkniętym nadaje priorytet całościowym wynikom wpływającym na sektor wodny i energetyczny, a także zdrowie ludzkie, różnorodność biologiczną i wartość wykraczającą poza wartość finansową. Strategia </w:t>
      </w:r>
      <w:r w:rsidR="00FA2269" w:rsidRPr="003478AF">
        <w:rPr>
          <w:rFonts w:eastAsia="MinionPro-Regular" w:cs="Arial"/>
          <w:szCs w:val="20"/>
        </w:rPr>
        <w:t xml:space="preserve">rozwoju </w:t>
      </w:r>
      <w:r w:rsidR="0065576C" w:rsidRPr="003478AF">
        <w:rPr>
          <w:rFonts w:eastAsia="MinionPro-Regular" w:cs="Arial"/>
          <w:szCs w:val="20"/>
        </w:rPr>
        <w:t>GOZ</w:t>
      </w:r>
      <w:r w:rsidRPr="003478AF">
        <w:rPr>
          <w:rFonts w:eastAsia="MinionPro-Regular" w:cs="Arial"/>
          <w:szCs w:val="20"/>
        </w:rPr>
        <w:t xml:space="preserve"> powinna być silnie powiązana z lokalną </w:t>
      </w:r>
      <w:r w:rsidR="00645805" w:rsidRPr="003478AF">
        <w:rPr>
          <w:rFonts w:eastAsia="MinionPro-Regular" w:cs="Arial"/>
          <w:szCs w:val="20"/>
        </w:rPr>
        <w:t>społecznością.</w:t>
      </w:r>
    </w:p>
    <w:p w14:paraId="2A99C47E" w14:textId="10FB9C0E" w:rsidR="00A85804" w:rsidRPr="003478AF" w:rsidRDefault="00FA2269" w:rsidP="00A85804">
      <w:pPr>
        <w:autoSpaceDE w:val="0"/>
        <w:autoSpaceDN w:val="0"/>
        <w:adjustRightInd w:val="0"/>
        <w:rPr>
          <w:rFonts w:eastAsia="MinionPro-Regular" w:cs="Arial"/>
          <w:szCs w:val="20"/>
        </w:rPr>
      </w:pPr>
      <w:r w:rsidRPr="003478AF">
        <w:rPr>
          <w:rFonts w:eastAsia="MinionPro-Regular" w:cs="Arial"/>
          <w:szCs w:val="20"/>
        </w:rPr>
        <w:t>Rząd Polski</w:t>
      </w:r>
      <w:r w:rsidR="00A85804" w:rsidRPr="003478AF">
        <w:rPr>
          <w:rFonts w:eastAsia="MinionPro-Regular" w:cs="Arial"/>
          <w:szCs w:val="20"/>
        </w:rPr>
        <w:t xml:space="preserve"> rozpoczął prace nad wdrożeniem zasad GOZ w gospodarce narodowej </w:t>
      </w:r>
      <w:r w:rsidR="005B1891" w:rsidRPr="003478AF">
        <w:rPr>
          <w:rFonts w:eastAsia="MinionPro-Regular" w:cs="Arial"/>
          <w:szCs w:val="20"/>
        </w:rPr>
        <w:t>od</w:t>
      </w:r>
      <w:r w:rsidR="00645805" w:rsidRPr="003478AF">
        <w:rPr>
          <w:rFonts w:eastAsia="MinionPro-Regular" w:cs="Arial"/>
          <w:szCs w:val="20"/>
        </w:rPr>
        <w:t xml:space="preserve"> </w:t>
      </w:r>
      <w:r w:rsidR="00A85804" w:rsidRPr="003478AF">
        <w:rPr>
          <w:rFonts w:eastAsia="MinionPro-Regular" w:cs="Arial"/>
          <w:szCs w:val="20"/>
        </w:rPr>
        <w:t>2016 r</w:t>
      </w:r>
      <w:r w:rsidR="00645805" w:rsidRPr="003478AF">
        <w:rPr>
          <w:rFonts w:eastAsia="MinionPro-Regular" w:cs="Arial"/>
          <w:szCs w:val="20"/>
        </w:rPr>
        <w:t>oku</w:t>
      </w:r>
      <w:r w:rsidR="00A85804" w:rsidRPr="003478AF">
        <w:rPr>
          <w:rFonts w:eastAsia="MinionPro-Regular" w:cs="Arial"/>
          <w:szCs w:val="20"/>
        </w:rPr>
        <w:t xml:space="preserve"> (m.in. Polityka Ekologiczna Państwa</w:t>
      </w:r>
      <w:r w:rsidR="00A85804" w:rsidRPr="003478AF">
        <w:rPr>
          <w:rFonts w:eastAsia="MinionPro-Regular" w:cs="Arial"/>
          <w:szCs w:val="20"/>
          <w:vertAlign w:val="superscript"/>
        </w:rPr>
        <w:footnoteReference w:id="2"/>
      </w:r>
      <w:r w:rsidR="00A85804" w:rsidRPr="003478AF">
        <w:rPr>
          <w:rFonts w:eastAsia="MinionPro-Regular" w:cs="Arial"/>
          <w:szCs w:val="20"/>
        </w:rPr>
        <w:t xml:space="preserve">, Strategia na rzecz Odpowiedzialnego Rozwoju do roku 2020 </w:t>
      </w:r>
      <w:r w:rsidR="0090414C" w:rsidRPr="003478AF">
        <w:rPr>
          <w:rFonts w:eastAsia="MinionPro-Regular" w:cs="Arial"/>
          <w:szCs w:val="20"/>
        </w:rPr>
        <w:t>(</w:t>
      </w:r>
      <w:r w:rsidR="00A85804" w:rsidRPr="003478AF">
        <w:rPr>
          <w:rFonts w:eastAsia="MinionPro-Regular" w:cs="Arial"/>
          <w:szCs w:val="20"/>
        </w:rPr>
        <w:t>z perspektywą do 2030</w:t>
      </w:r>
      <w:r w:rsidR="00FE614B" w:rsidRPr="003478AF">
        <w:rPr>
          <w:rFonts w:eastAsia="MinionPro-Regular" w:cs="Arial"/>
          <w:szCs w:val="20"/>
        </w:rPr>
        <w:t> r.</w:t>
      </w:r>
      <w:r w:rsidR="0090414C" w:rsidRPr="003478AF">
        <w:rPr>
          <w:rFonts w:eastAsia="MinionPro-Regular" w:cs="Arial"/>
          <w:szCs w:val="20"/>
        </w:rPr>
        <w:t>)</w:t>
      </w:r>
      <w:r w:rsidR="00A85804" w:rsidRPr="003478AF">
        <w:rPr>
          <w:rFonts w:eastAsia="MinionPro-Regular" w:cs="Arial"/>
          <w:szCs w:val="20"/>
          <w:vertAlign w:val="superscript"/>
        </w:rPr>
        <w:footnoteReference w:id="3"/>
      </w:r>
      <w:r w:rsidR="00A85804" w:rsidRPr="003478AF">
        <w:rPr>
          <w:rFonts w:eastAsia="MinionPro-Regular" w:cs="Arial"/>
          <w:szCs w:val="20"/>
        </w:rPr>
        <w:t>, Krajowa Strategia Rozwoju Regionalnego 2030</w:t>
      </w:r>
      <w:r w:rsidR="00A85804" w:rsidRPr="003478AF">
        <w:rPr>
          <w:rFonts w:eastAsia="MinionPro-Regular" w:cs="Arial"/>
          <w:szCs w:val="20"/>
          <w:vertAlign w:val="superscript"/>
        </w:rPr>
        <w:footnoteReference w:id="4"/>
      </w:r>
      <w:r w:rsidR="00A85804" w:rsidRPr="003478AF">
        <w:rPr>
          <w:rFonts w:eastAsia="MinionPro-Regular" w:cs="Arial"/>
          <w:szCs w:val="20"/>
        </w:rPr>
        <w:t>,</w:t>
      </w:r>
      <w:r w:rsidR="00645805" w:rsidRPr="003478AF">
        <w:rPr>
          <w:rFonts w:eastAsia="MinionPro-Regular" w:cs="Arial"/>
          <w:szCs w:val="20"/>
        </w:rPr>
        <w:t xml:space="preserve"> </w:t>
      </w:r>
      <w:r w:rsidR="00A85804" w:rsidRPr="003478AF">
        <w:rPr>
          <w:rFonts w:eastAsia="MinionPro-Regular" w:cs="Arial"/>
          <w:szCs w:val="20"/>
        </w:rPr>
        <w:t xml:space="preserve">Mapa </w:t>
      </w:r>
      <w:r w:rsidR="00FE614B" w:rsidRPr="003478AF">
        <w:rPr>
          <w:rFonts w:eastAsia="MinionPro-Regular" w:cs="Arial"/>
          <w:szCs w:val="20"/>
        </w:rPr>
        <w:t>D</w:t>
      </w:r>
      <w:r w:rsidR="00A85804" w:rsidRPr="003478AF">
        <w:rPr>
          <w:rFonts w:eastAsia="MinionPro-Regular" w:cs="Arial"/>
          <w:szCs w:val="20"/>
        </w:rPr>
        <w:t>rogowa GOZ</w:t>
      </w:r>
      <w:r w:rsidR="00A85804" w:rsidRPr="003478AF">
        <w:rPr>
          <w:rFonts w:eastAsia="MinionPro-Regular" w:cs="Arial"/>
          <w:szCs w:val="20"/>
          <w:vertAlign w:val="superscript"/>
        </w:rPr>
        <w:footnoteReference w:id="5"/>
      </w:r>
      <w:r w:rsidR="00A85804" w:rsidRPr="003478AF">
        <w:rPr>
          <w:rFonts w:eastAsia="MinionPro-Regular" w:cs="Arial"/>
          <w:szCs w:val="20"/>
        </w:rPr>
        <w:t xml:space="preserve">). Gospodarka o obiegu zamkniętym jest także istotnym elementem Strategii </w:t>
      </w:r>
      <w:r w:rsidR="0090414C" w:rsidRPr="003478AF">
        <w:rPr>
          <w:rFonts w:eastAsia="MinionPro-Regular" w:cs="Arial"/>
          <w:szCs w:val="20"/>
        </w:rPr>
        <w:t>r</w:t>
      </w:r>
      <w:r w:rsidR="00687A86" w:rsidRPr="003478AF">
        <w:rPr>
          <w:rFonts w:eastAsia="MinionPro-Regular" w:cs="Arial"/>
          <w:szCs w:val="20"/>
        </w:rPr>
        <w:t xml:space="preserve">ozwoju </w:t>
      </w:r>
      <w:r w:rsidR="0090414C" w:rsidRPr="003478AF">
        <w:rPr>
          <w:rFonts w:eastAsia="MinionPro-Regular" w:cs="Arial"/>
          <w:szCs w:val="20"/>
        </w:rPr>
        <w:t>w</w:t>
      </w:r>
      <w:r w:rsidR="00687A86" w:rsidRPr="003478AF">
        <w:rPr>
          <w:rFonts w:eastAsia="MinionPro-Regular" w:cs="Arial"/>
          <w:szCs w:val="20"/>
        </w:rPr>
        <w:t xml:space="preserve">ojewództwa </w:t>
      </w:r>
      <w:r w:rsidR="0090414C" w:rsidRPr="003478AF">
        <w:rPr>
          <w:rFonts w:eastAsia="MinionPro-Regular" w:cs="Arial"/>
          <w:szCs w:val="20"/>
        </w:rPr>
        <w:t>w</w:t>
      </w:r>
      <w:r w:rsidR="00687A86" w:rsidRPr="003478AF">
        <w:rPr>
          <w:rFonts w:eastAsia="MinionPro-Regular" w:cs="Arial"/>
          <w:szCs w:val="20"/>
        </w:rPr>
        <w:t xml:space="preserve">ielkopolskiego </w:t>
      </w:r>
      <w:r w:rsidR="00645805" w:rsidRPr="003478AF">
        <w:rPr>
          <w:rFonts w:eastAsia="MinionPro-Regular" w:cs="Arial"/>
          <w:szCs w:val="20"/>
        </w:rPr>
        <w:t xml:space="preserve">do </w:t>
      </w:r>
      <w:r w:rsidR="00A85804" w:rsidRPr="003478AF">
        <w:t>2030 r</w:t>
      </w:r>
      <w:r w:rsidR="00645805" w:rsidRPr="003478AF">
        <w:t>oku</w:t>
      </w:r>
      <w:r w:rsidR="00A85804" w:rsidRPr="003478AF">
        <w:t>.</w:t>
      </w:r>
    </w:p>
    <w:p w14:paraId="6AED5092" w14:textId="087427AD" w:rsidR="009533A5" w:rsidRPr="003478AF" w:rsidRDefault="00A85804" w:rsidP="009533A5">
      <w:pPr>
        <w:autoSpaceDE w:val="0"/>
        <w:autoSpaceDN w:val="0"/>
        <w:adjustRightInd w:val="0"/>
        <w:rPr>
          <w:rFonts w:eastAsia="MinionPro-Regular" w:cs="Arial"/>
          <w:szCs w:val="20"/>
        </w:rPr>
      </w:pPr>
      <w:r w:rsidRPr="003478AF">
        <w:rPr>
          <w:rFonts w:eastAsia="MinionPro-Regular" w:cs="Arial"/>
          <w:szCs w:val="20"/>
        </w:rPr>
        <w:t>Przejście na gospodarkę o obiegu zamkniętym wymaga zmiany systemowej, w której regiony odgrywają kluczową rolę</w:t>
      </w:r>
      <w:r w:rsidRPr="003478AF">
        <w:rPr>
          <w:rFonts w:eastAsia="MinionPro-Regular" w:cs="Arial"/>
          <w:szCs w:val="20"/>
          <w:vertAlign w:val="superscript"/>
        </w:rPr>
        <w:footnoteReference w:id="6"/>
      </w:r>
      <w:r w:rsidRPr="003478AF">
        <w:rPr>
          <w:rFonts w:eastAsia="MinionPro-Regular" w:cs="Arial"/>
          <w:szCs w:val="20"/>
        </w:rPr>
        <w:t xml:space="preserve">. Już w wielu regionach europejskich np. Päijät-Häme </w:t>
      </w:r>
      <w:r w:rsidR="00843D1E" w:rsidRPr="003478AF">
        <w:rPr>
          <w:rFonts w:eastAsia="MinionPro-Regular" w:cs="Arial"/>
          <w:szCs w:val="20"/>
        </w:rPr>
        <w:br/>
      </w:r>
      <w:r w:rsidRPr="003478AF">
        <w:rPr>
          <w:rFonts w:eastAsia="MinionPro-Regular" w:cs="Arial"/>
          <w:szCs w:val="20"/>
        </w:rPr>
        <w:t>w Finlandii</w:t>
      </w:r>
      <w:r w:rsidRPr="003478AF">
        <w:rPr>
          <w:rFonts w:eastAsia="MinionPro-Regular" w:cs="Arial"/>
          <w:szCs w:val="20"/>
          <w:vertAlign w:val="superscript"/>
        </w:rPr>
        <w:footnoteReference w:id="7"/>
      </w:r>
      <w:r w:rsidRPr="003478AF">
        <w:rPr>
          <w:rFonts w:eastAsia="MinionPro-Regular" w:cs="Arial"/>
          <w:szCs w:val="20"/>
        </w:rPr>
        <w:t xml:space="preserve">, europejskie i krajowe cele GOZ zostały wdrożone na poziomie regionalnym. Proces ich wdrażania rozpoczął się od </w:t>
      </w:r>
      <w:r w:rsidR="00043CBF" w:rsidRPr="003478AF">
        <w:rPr>
          <w:rFonts w:eastAsia="MinionPro-Regular" w:cs="Arial"/>
          <w:szCs w:val="20"/>
        </w:rPr>
        <w:t xml:space="preserve">opracowywania </w:t>
      </w:r>
      <w:r w:rsidRPr="003478AF">
        <w:rPr>
          <w:rFonts w:eastAsia="MinionPro-Regular" w:cs="Arial"/>
          <w:szCs w:val="20"/>
        </w:rPr>
        <w:t>regionalnej mapy drogowej</w:t>
      </w:r>
      <w:r w:rsidR="009533A5" w:rsidRPr="003478AF">
        <w:rPr>
          <w:rFonts w:eastAsia="MinionPro-Regular" w:cs="Arial"/>
          <w:szCs w:val="20"/>
        </w:rPr>
        <w:t>,</w:t>
      </w:r>
      <w:r w:rsidRPr="003478AF">
        <w:rPr>
          <w:rFonts w:eastAsia="MinionPro-Regular" w:cs="Arial"/>
          <w:szCs w:val="20"/>
        </w:rPr>
        <w:t xml:space="preserve"> w którą zaangażowani byli lokalni samorządowcy, przedstawiciele przemysłu </w:t>
      </w:r>
      <w:r w:rsidR="00021326" w:rsidRPr="003478AF">
        <w:rPr>
          <w:rFonts w:eastAsia="MinionPro-Regular" w:cs="Arial"/>
          <w:szCs w:val="20"/>
        </w:rPr>
        <w:t>i</w:t>
      </w:r>
      <w:r w:rsidR="0090414C" w:rsidRPr="003478AF">
        <w:rPr>
          <w:rFonts w:eastAsia="MinionPro-Regular" w:cs="Arial"/>
          <w:szCs w:val="20"/>
        </w:rPr>
        <w:t xml:space="preserve"> </w:t>
      </w:r>
      <w:r w:rsidRPr="003478AF">
        <w:rPr>
          <w:rFonts w:eastAsia="MinionPro-Regular" w:cs="Arial"/>
          <w:szCs w:val="20"/>
        </w:rPr>
        <w:t>środowiska naukowego</w:t>
      </w:r>
      <w:r w:rsidR="009533A5" w:rsidRPr="003478AF">
        <w:rPr>
          <w:rFonts w:eastAsia="MinionPro-Regular" w:cs="Arial"/>
          <w:szCs w:val="20"/>
        </w:rPr>
        <w:t xml:space="preserve">, a także </w:t>
      </w:r>
      <w:r w:rsidRPr="003478AF">
        <w:rPr>
          <w:rFonts w:eastAsia="MinionPro-Regular" w:cs="Arial"/>
          <w:szCs w:val="20"/>
        </w:rPr>
        <w:t>władz</w:t>
      </w:r>
      <w:r w:rsidR="009533A5" w:rsidRPr="003478AF">
        <w:rPr>
          <w:rFonts w:eastAsia="MinionPro-Regular" w:cs="Arial"/>
          <w:szCs w:val="20"/>
        </w:rPr>
        <w:t>e</w:t>
      </w:r>
      <w:r w:rsidRPr="003478AF">
        <w:rPr>
          <w:rFonts w:eastAsia="MinionPro-Regular" w:cs="Arial"/>
          <w:szCs w:val="20"/>
        </w:rPr>
        <w:t xml:space="preserve"> krajow</w:t>
      </w:r>
      <w:r w:rsidR="009533A5" w:rsidRPr="003478AF">
        <w:rPr>
          <w:rFonts w:eastAsia="MinionPro-Regular" w:cs="Arial"/>
          <w:szCs w:val="20"/>
        </w:rPr>
        <w:t>e</w:t>
      </w:r>
      <w:r w:rsidRPr="003478AF">
        <w:rPr>
          <w:rFonts w:eastAsia="MinionPro-Regular" w:cs="Arial"/>
          <w:szCs w:val="20"/>
        </w:rPr>
        <w:t>.</w:t>
      </w:r>
      <w:r w:rsidR="00E5109D" w:rsidRPr="003478AF">
        <w:rPr>
          <w:rFonts w:eastAsia="MinionPro-Regular" w:cs="Arial"/>
          <w:szCs w:val="20"/>
        </w:rPr>
        <w:t xml:space="preserve"> </w:t>
      </w:r>
      <w:r w:rsidRPr="003478AF">
        <w:rPr>
          <w:rFonts w:eastAsia="MinionPro-Regular" w:cs="Arial"/>
          <w:szCs w:val="20"/>
        </w:rPr>
        <w:t xml:space="preserve">Oznacza to, że GOZ wymaga wysiłku na poziomie makro, mezo </w:t>
      </w:r>
      <w:r w:rsidR="008324B5" w:rsidRPr="003478AF">
        <w:rPr>
          <w:rFonts w:eastAsia="MinionPro-Regular" w:cs="Arial"/>
          <w:szCs w:val="20"/>
        </w:rPr>
        <w:br/>
      </w:r>
      <w:r w:rsidRPr="003478AF">
        <w:rPr>
          <w:rFonts w:eastAsia="MinionPro-Regular" w:cs="Arial"/>
          <w:szCs w:val="20"/>
        </w:rPr>
        <w:t>i mikro w celu promowania zmian.</w:t>
      </w:r>
    </w:p>
    <w:p w14:paraId="5E3E3E54" w14:textId="764CEF5B" w:rsidR="00A85804" w:rsidRPr="003478AF" w:rsidRDefault="00A85804" w:rsidP="009533A5">
      <w:pPr>
        <w:autoSpaceDE w:val="0"/>
        <w:autoSpaceDN w:val="0"/>
        <w:adjustRightInd w:val="0"/>
        <w:rPr>
          <w:rFonts w:eastAsia="MinionPro-Regular" w:cs="Arial"/>
          <w:szCs w:val="20"/>
        </w:rPr>
      </w:pPr>
      <w:r w:rsidRPr="003478AF">
        <w:rPr>
          <w:rFonts w:eastAsia="MinionPro-Regular" w:cs="Arial"/>
          <w:szCs w:val="20"/>
        </w:rPr>
        <w:t xml:space="preserve">Na poziomie makro podejście to obejmuje politykę zmiany na poziomie krajowym, regionalnym i miejskim. Symbioza przemysłowa, ekosystemy i współpraca między firmami stanowią poziom mezo, podczas gdy poziom mikro skupia się na pojedynczych firmach </w:t>
      </w:r>
      <w:r w:rsidR="00843D1E" w:rsidRPr="003478AF">
        <w:rPr>
          <w:rFonts w:eastAsia="MinionPro-Regular" w:cs="Arial"/>
          <w:szCs w:val="20"/>
        </w:rPr>
        <w:br/>
      </w:r>
      <w:r w:rsidRPr="003478AF">
        <w:rPr>
          <w:rFonts w:eastAsia="MinionPro-Regular" w:cs="Arial"/>
          <w:szCs w:val="20"/>
        </w:rPr>
        <w:t>i konsumentach.</w:t>
      </w:r>
    </w:p>
    <w:p w14:paraId="5DA9F3BD" w14:textId="47FF2D7D" w:rsidR="00A85804" w:rsidRPr="003478AF" w:rsidRDefault="00A85804" w:rsidP="00A85804">
      <w:pPr>
        <w:autoSpaceDE w:val="0"/>
        <w:autoSpaceDN w:val="0"/>
        <w:adjustRightInd w:val="0"/>
        <w:rPr>
          <w:rFonts w:eastAsia="MinionPro-Regular" w:cs="Arial"/>
          <w:szCs w:val="20"/>
        </w:rPr>
      </w:pPr>
      <w:r w:rsidRPr="003478AF">
        <w:rPr>
          <w:rFonts w:eastAsia="MinionPro-Regular" w:cs="Arial"/>
          <w:szCs w:val="20"/>
        </w:rPr>
        <w:t xml:space="preserve">W niniejszym opracowaniu podjęto </w:t>
      </w:r>
      <w:r w:rsidR="00021326" w:rsidRPr="003478AF">
        <w:rPr>
          <w:rFonts w:eastAsia="MinionPro-Regular" w:cs="Arial"/>
          <w:szCs w:val="20"/>
        </w:rPr>
        <w:t xml:space="preserve">próbę </w:t>
      </w:r>
      <w:r w:rsidRPr="003478AF">
        <w:rPr>
          <w:rFonts w:eastAsia="MinionPro-Regular" w:cs="Arial"/>
          <w:szCs w:val="20"/>
        </w:rPr>
        <w:t>oceny poziomu regionu – województwa wielkopolskiego.</w:t>
      </w:r>
      <w:r w:rsidR="008C048F" w:rsidRPr="003478AF">
        <w:rPr>
          <w:rFonts w:eastAsia="MinionPro-Regular" w:cs="Arial"/>
          <w:szCs w:val="20"/>
        </w:rPr>
        <w:t xml:space="preserve"> W tym celu </w:t>
      </w:r>
      <w:r w:rsidR="008C048F" w:rsidRPr="003478AF">
        <w:t>wykorzystano różniące się od siebie metod</w:t>
      </w:r>
      <w:r w:rsidR="0037439E" w:rsidRPr="003478AF">
        <w:t>y</w:t>
      </w:r>
      <w:r w:rsidR="008C048F" w:rsidRPr="003478AF">
        <w:t xml:space="preserve"> i technik</w:t>
      </w:r>
      <w:r w:rsidR="0037439E" w:rsidRPr="003478AF">
        <w:t>i</w:t>
      </w:r>
      <w:r w:rsidR="008C048F" w:rsidRPr="003478AF">
        <w:t xml:space="preserve"> badawcz</w:t>
      </w:r>
      <w:r w:rsidR="0037439E" w:rsidRPr="003478AF">
        <w:t>e</w:t>
      </w:r>
      <w:r w:rsidR="008C048F" w:rsidRPr="003478AF">
        <w:t xml:space="preserve"> (desk rese</w:t>
      </w:r>
      <w:r w:rsidR="0090414C" w:rsidRPr="003478AF">
        <w:t>a</w:t>
      </w:r>
      <w:r w:rsidR="008C048F" w:rsidRPr="003478AF">
        <w:t xml:space="preserve">rch, </w:t>
      </w:r>
      <w:r w:rsidR="0037439E" w:rsidRPr="003478AF">
        <w:t xml:space="preserve">analiza przestrzenna i </w:t>
      </w:r>
      <w:r w:rsidR="008C048F" w:rsidRPr="003478AF">
        <w:t>statys</w:t>
      </w:r>
      <w:r w:rsidR="0037439E" w:rsidRPr="003478AF">
        <w:t>tyczna</w:t>
      </w:r>
      <w:r w:rsidR="008C048F" w:rsidRPr="003478AF">
        <w:t xml:space="preserve">, </w:t>
      </w:r>
      <w:r w:rsidR="0037439E" w:rsidRPr="003478AF">
        <w:t>wywiady z ekspertami GOZ oraz przedstawicielami wielkopolskich przedsiębiorstw)</w:t>
      </w:r>
      <w:r w:rsidR="0090414C" w:rsidRPr="003478AF">
        <w:t>.</w:t>
      </w:r>
      <w:r w:rsidR="0037439E" w:rsidRPr="003478AF">
        <w:t xml:space="preserve"> </w:t>
      </w:r>
    </w:p>
    <w:p w14:paraId="5BF872E6" w14:textId="2B881CAD" w:rsidR="00A85804" w:rsidRPr="003478AF" w:rsidRDefault="00A85804" w:rsidP="00A85804">
      <w:pPr>
        <w:autoSpaceDE w:val="0"/>
        <w:autoSpaceDN w:val="0"/>
        <w:adjustRightInd w:val="0"/>
        <w:rPr>
          <w:rFonts w:eastAsia="MinionPro-Regular" w:cs="Arial"/>
          <w:szCs w:val="20"/>
        </w:rPr>
      </w:pPr>
      <w:r w:rsidRPr="003478AF">
        <w:rPr>
          <w:rFonts w:eastAsia="MinionPro-Regular" w:cs="Arial"/>
          <w:szCs w:val="20"/>
        </w:rPr>
        <w:t xml:space="preserve">Przejście na gospodarkę o obiegu zamkniętym w województwie wielkopolskim zostało poprzedzone dogłębną analizą i określeniem podstawowych uwarunkowań rozwoju. </w:t>
      </w:r>
      <w:r w:rsidR="00301BC1" w:rsidRPr="003478AF">
        <w:rPr>
          <w:rFonts w:eastAsia="MinionPro-Regular" w:cs="Arial"/>
          <w:szCs w:val="20"/>
        </w:rPr>
        <w:t>Wskazano</w:t>
      </w:r>
      <w:r w:rsidRPr="003478AF">
        <w:rPr>
          <w:rFonts w:eastAsia="MinionPro-Regular" w:cs="Arial"/>
          <w:szCs w:val="20"/>
        </w:rPr>
        <w:t xml:space="preserve"> główne obszary i reprezentujące je branż</w:t>
      </w:r>
      <w:r w:rsidR="00301BC1" w:rsidRPr="003478AF">
        <w:rPr>
          <w:rFonts w:eastAsia="MinionPro-Regular" w:cs="Arial"/>
          <w:szCs w:val="20"/>
        </w:rPr>
        <w:t>e</w:t>
      </w:r>
      <w:r w:rsidRPr="003478AF">
        <w:rPr>
          <w:rFonts w:eastAsia="MinionPro-Regular" w:cs="Arial"/>
          <w:szCs w:val="20"/>
        </w:rPr>
        <w:t xml:space="preserve">, innowacje, bariery, dobre praktyki, </w:t>
      </w:r>
      <w:r w:rsidRPr="003478AF">
        <w:rPr>
          <w:rFonts w:eastAsia="MinionPro-Regular" w:cs="Arial"/>
          <w:szCs w:val="20"/>
        </w:rPr>
        <w:lastRenderedPageBreak/>
        <w:t>kluczowe łańcuchy wartości,</w:t>
      </w:r>
      <w:r w:rsidR="001D57ED" w:rsidRPr="003478AF">
        <w:rPr>
          <w:rFonts w:eastAsia="MinionPro-Regular" w:cs="Arial"/>
          <w:szCs w:val="20"/>
        </w:rPr>
        <w:t xml:space="preserve"> perspektyw</w:t>
      </w:r>
      <w:r w:rsidR="00FA2269" w:rsidRPr="003478AF">
        <w:rPr>
          <w:rFonts w:eastAsia="MinionPro-Regular" w:cs="Arial"/>
          <w:szCs w:val="20"/>
        </w:rPr>
        <w:t>y</w:t>
      </w:r>
      <w:r w:rsidR="001D57ED" w:rsidRPr="003478AF">
        <w:rPr>
          <w:rFonts w:eastAsia="MinionPro-Regular" w:cs="Arial"/>
          <w:szCs w:val="20"/>
        </w:rPr>
        <w:t xml:space="preserve"> dalszego rozwoju</w:t>
      </w:r>
      <w:r w:rsidR="0090414C" w:rsidRPr="003478AF">
        <w:rPr>
          <w:rFonts w:eastAsia="MinionPro-Regular" w:cs="Arial"/>
          <w:szCs w:val="20"/>
        </w:rPr>
        <w:t>,</w:t>
      </w:r>
      <w:r w:rsidR="00301BC1" w:rsidRPr="003478AF">
        <w:rPr>
          <w:rFonts w:eastAsia="MinionPro-Regular" w:cs="Arial"/>
          <w:szCs w:val="20"/>
        </w:rPr>
        <w:t xml:space="preserve"> a także opracowano</w:t>
      </w:r>
      <w:r w:rsidRPr="003478AF">
        <w:rPr>
          <w:rFonts w:eastAsia="MinionPro-Regular" w:cs="Arial"/>
          <w:szCs w:val="20"/>
        </w:rPr>
        <w:t xml:space="preserve"> studium przypadku</w:t>
      </w:r>
      <w:r w:rsidR="00301BC1" w:rsidRPr="003478AF">
        <w:rPr>
          <w:rFonts w:eastAsia="MinionPro-Regular" w:cs="Arial"/>
          <w:szCs w:val="20"/>
        </w:rPr>
        <w:t xml:space="preserve"> i</w:t>
      </w:r>
      <w:r w:rsidRPr="003478AF">
        <w:rPr>
          <w:rFonts w:eastAsia="MinionPro-Regular" w:cs="Arial"/>
          <w:szCs w:val="20"/>
        </w:rPr>
        <w:t xml:space="preserve"> wskaźniki oceny</w:t>
      </w:r>
      <w:r w:rsidR="001D57ED" w:rsidRPr="003478AF">
        <w:rPr>
          <w:rFonts w:eastAsia="MinionPro-Regular" w:cs="Arial"/>
          <w:szCs w:val="20"/>
        </w:rPr>
        <w:t xml:space="preserve"> stopnia rozwoju GOZ.</w:t>
      </w:r>
      <w:r w:rsidRPr="003478AF">
        <w:rPr>
          <w:rFonts w:eastAsia="MinionPro-Regular" w:cs="Arial"/>
          <w:szCs w:val="20"/>
        </w:rPr>
        <w:t xml:space="preserve"> </w:t>
      </w:r>
    </w:p>
    <w:p w14:paraId="66E85388" w14:textId="4F7AC4FC" w:rsidR="001D57ED" w:rsidRPr="003478AF" w:rsidRDefault="00A85804" w:rsidP="00A85804">
      <w:pPr>
        <w:autoSpaceDE w:val="0"/>
        <w:autoSpaceDN w:val="0"/>
        <w:adjustRightInd w:val="0"/>
        <w:rPr>
          <w:rFonts w:eastAsia="MinionPro-Regular" w:cs="Arial"/>
          <w:szCs w:val="20"/>
        </w:rPr>
      </w:pPr>
      <w:r w:rsidRPr="003478AF">
        <w:rPr>
          <w:rFonts w:eastAsia="MinionPro-Regular" w:cs="Arial"/>
          <w:szCs w:val="20"/>
        </w:rPr>
        <w:t xml:space="preserve">W rozdziale pierwszym </w:t>
      </w:r>
      <w:r w:rsidR="001D57ED" w:rsidRPr="003478AF">
        <w:rPr>
          <w:rFonts w:eastAsia="MinionPro-Regular" w:cs="Arial"/>
          <w:szCs w:val="20"/>
        </w:rPr>
        <w:t xml:space="preserve">scharakteryzowano województwo w zakresie mieszkańców, infrastruktury, sektorów gospodarki, przedsiębiorstw, energii, </w:t>
      </w:r>
      <w:r w:rsidR="00FA2269" w:rsidRPr="003478AF">
        <w:rPr>
          <w:rFonts w:eastAsia="MinionPro-Regular" w:cs="Arial"/>
          <w:szCs w:val="20"/>
        </w:rPr>
        <w:t>surowców i ochrony środowiska.</w:t>
      </w:r>
    </w:p>
    <w:p w14:paraId="655CC834" w14:textId="1734BC4D" w:rsidR="00A85804" w:rsidRPr="003478AF" w:rsidRDefault="001D57ED" w:rsidP="00A85804">
      <w:pPr>
        <w:autoSpaceDE w:val="0"/>
        <w:autoSpaceDN w:val="0"/>
        <w:adjustRightInd w:val="0"/>
        <w:rPr>
          <w:rFonts w:eastAsia="MinionPro-Regular" w:cs="Arial"/>
          <w:szCs w:val="20"/>
        </w:rPr>
      </w:pPr>
      <w:r w:rsidRPr="003478AF">
        <w:rPr>
          <w:rFonts w:eastAsia="MinionPro-Regular" w:cs="Arial"/>
          <w:szCs w:val="20"/>
        </w:rPr>
        <w:t xml:space="preserve">W rozdziale drugim </w:t>
      </w:r>
      <w:r w:rsidR="00A85804" w:rsidRPr="003478AF">
        <w:rPr>
          <w:rFonts w:eastAsia="MinionPro-Regular" w:cs="Arial"/>
          <w:szCs w:val="20"/>
        </w:rPr>
        <w:t>omówiono podstawy teoretyczne i priorytety oraz założenia najczęściej stosowanego modelu rozwoju GOZ Fundacji Ellen MacArthur i McKinsey. Prz</w:t>
      </w:r>
      <w:r w:rsidR="00E13B1C" w:rsidRPr="003478AF">
        <w:rPr>
          <w:rFonts w:eastAsia="MinionPro-Regular" w:cs="Arial"/>
          <w:szCs w:val="20"/>
        </w:rPr>
        <w:t>e</w:t>
      </w:r>
      <w:r w:rsidR="00A85804" w:rsidRPr="003478AF">
        <w:rPr>
          <w:rFonts w:eastAsia="MinionPro-Regular" w:cs="Arial"/>
          <w:szCs w:val="20"/>
        </w:rPr>
        <w:t>analizowano podstawy organizacyjno-prawn</w:t>
      </w:r>
      <w:r w:rsidR="00FA2269" w:rsidRPr="003478AF">
        <w:rPr>
          <w:rFonts w:eastAsia="MinionPro-Regular" w:cs="Arial"/>
          <w:szCs w:val="20"/>
        </w:rPr>
        <w:t>e</w:t>
      </w:r>
      <w:r w:rsidRPr="003478AF">
        <w:rPr>
          <w:rFonts w:eastAsia="MinionPro-Regular" w:cs="Arial"/>
          <w:szCs w:val="20"/>
        </w:rPr>
        <w:t xml:space="preserve"> na poziomie europejskim, krajowym </w:t>
      </w:r>
      <w:r w:rsidR="008324B5" w:rsidRPr="003478AF">
        <w:rPr>
          <w:rFonts w:eastAsia="MinionPro-Regular" w:cs="Arial"/>
          <w:szCs w:val="20"/>
        </w:rPr>
        <w:br/>
      </w:r>
      <w:r w:rsidRPr="003478AF">
        <w:rPr>
          <w:rFonts w:eastAsia="MinionPro-Regular" w:cs="Arial"/>
          <w:szCs w:val="20"/>
        </w:rPr>
        <w:t>i</w:t>
      </w:r>
      <w:r w:rsidR="00FA2269" w:rsidRPr="003478AF">
        <w:rPr>
          <w:rFonts w:eastAsia="MinionPro-Regular" w:cs="Arial"/>
          <w:szCs w:val="20"/>
        </w:rPr>
        <w:t xml:space="preserve"> regionalnym</w:t>
      </w:r>
      <w:r w:rsidR="00A85804" w:rsidRPr="003478AF">
        <w:rPr>
          <w:rFonts w:eastAsia="MinionPro-Regular" w:cs="Arial"/>
          <w:szCs w:val="20"/>
        </w:rPr>
        <w:t>.</w:t>
      </w:r>
    </w:p>
    <w:p w14:paraId="33796D40" w14:textId="723C4758" w:rsidR="00A85804" w:rsidRPr="003478AF" w:rsidRDefault="00A85804" w:rsidP="00A85804">
      <w:pPr>
        <w:autoSpaceDE w:val="0"/>
        <w:autoSpaceDN w:val="0"/>
        <w:adjustRightInd w:val="0"/>
        <w:rPr>
          <w:rFonts w:eastAsia="MinionPro-Regular" w:cs="Arial"/>
          <w:szCs w:val="20"/>
        </w:rPr>
      </w:pPr>
      <w:r w:rsidRPr="003478AF">
        <w:rPr>
          <w:rFonts w:eastAsia="MinionPro-Regular" w:cs="Arial"/>
          <w:szCs w:val="20"/>
        </w:rPr>
        <w:t xml:space="preserve">Rozdział </w:t>
      </w:r>
      <w:r w:rsidR="001D57ED" w:rsidRPr="003478AF">
        <w:rPr>
          <w:rFonts w:eastAsia="MinionPro-Regular" w:cs="Arial"/>
          <w:szCs w:val="20"/>
        </w:rPr>
        <w:t>trzeci</w:t>
      </w:r>
      <w:r w:rsidRPr="003478AF">
        <w:rPr>
          <w:rFonts w:eastAsia="MinionPro-Regular" w:cs="Arial"/>
          <w:szCs w:val="20"/>
        </w:rPr>
        <w:t xml:space="preserve"> określ</w:t>
      </w:r>
      <w:r w:rsidR="002F0190" w:rsidRPr="003478AF">
        <w:rPr>
          <w:rFonts w:eastAsia="MinionPro-Regular" w:cs="Arial"/>
          <w:szCs w:val="20"/>
        </w:rPr>
        <w:t>a</w:t>
      </w:r>
      <w:r w:rsidRPr="003478AF">
        <w:rPr>
          <w:rFonts w:eastAsia="MinionPro-Regular" w:cs="Arial"/>
          <w:szCs w:val="20"/>
        </w:rPr>
        <w:t xml:space="preserve"> najważniejsz</w:t>
      </w:r>
      <w:r w:rsidR="00FA2269" w:rsidRPr="003478AF">
        <w:rPr>
          <w:rFonts w:eastAsia="MinionPro-Regular" w:cs="Arial"/>
          <w:szCs w:val="20"/>
        </w:rPr>
        <w:t>e</w:t>
      </w:r>
      <w:r w:rsidRPr="003478AF">
        <w:rPr>
          <w:rFonts w:eastAsia="MinionPro-Regular" w:cs="Arial"/>
          <w:szCs w:val="20"/>
        </w:rPr>
        <w:t xml:space="preserve"> obszary rozwoju GOZ i wpisujące się w nie branże </w:t>
      </w:r>
      <w:r w:rsidR="001D57ED" w:rsidRPr="003478AF">
        <w:rPr>
          <w:rFonts w:eastAsia="MinionPro-Regular" w:cs="Arial"/>
          <w:szCs w:val="20"/>
        </w:rPr>
        <w:t>oraz</w:t>
      </w:r>
      <w:r w:rsidRPr="003478AF">
        <w:rPr>
          <w:rFonts w:eastAsia="MinionPro-Regular" w:cs="Arial"/>
          <w:szCs w:val="20"/>
        </w:rPr>
        <w:t xml:space="preserve"> uczestni</w:t>
      </w:r>
      <w:r w:rsidR="00021326" w:rsidRPr="003478AF">
        <w:rPr>
          <w:rFonts w:eastAsia="MinionPro-Regular" w:cs="Arial"/>
          <w:szCs w:val="20"/>
        </w:rPr>
        <w:t>ków</w:t>
      </w:r>
      <w:r w:rsidRPr="003478AF">
        <w:rPr>
          <w:rFonts w:eastAsia="MinionPro-Regular" w:cs="Arial"/>
          <w:szCs w:val="20"/>
        </w:rPr>
        <w:t>.</w:t>
      </w:r>
    </w:p>
    <w:p w14:paraId="5460FB7A" w14:textId="401F7506" w:rsidR="00A85804" w:rsidRPr="003478AF" w:rsidRDefault="00A85804" w:rsidP="00A85804">
      <w:pPr>
        <w:autoSpaceDE w:val="0"/>
        <w:autoSpaceDN w:val="0"/>
        <w:adjustRightInd w:val="0"/>
        <w:rPr>
          <w:rFonts w:eastAsia="MinionPro-Regular" w:cs="Arial"/>
          <w:szCs w:val="20"/>
        </w:rPr>
      </w:pPr>
      <w:r w:rsidRPr="003478AF">
        <w:rPr>
          <w:rFonts w:eastAsia="MinionPro-Regular" w:cs="Arial"/>
          <w:szCs w:val="20"/>
        </w:rPr>
        <w:t>W kolejny</w:t>
      </w:r>
      <w:r w:rsidR="001D57ED" w:rsidRPr="003478AF">
        <w:rPr>
          <w:rFonts w:eastAsia="MinionPro-Regular" w:cs="Arial"/>
          <w:szCs w:val="20"/>
        </w:rPr>
        <w:t>m</w:t>
      </w:r>
      <w:r w:rsidRPr="003478AF">
        <w:rPr>
          <w:rFonts w:eastAsia="MinionPro-Regular" w:cs="Arial"/>
          <w:szCs w:val="20"/>
        </w:rPr>
        <w:t xml:space="preserve"> rozdziale określ</w:t>
      </w:r>
      <w:r w:rsidR="00021326" w:rsidRPr="003478AF">
        <w:rPr>
          <w:rFonts w:eastAsia="MinionPro-Regular" w:cs="Arial"/>
          <w:szCs w:val="20"/>
        </w:rPr>
        <w:t>o</w:t>
      </w:r>
      <w:r w:rsidRPr="003478AF">
        <w:rPr>
          <w:rFonts w:eastAsia="MinionPro-Regular" w:cs="Arial"/>
          <w:szCs w:val="20"/>
        </w:rPr>
        <w:t xml:space="preserve">no rolę innowacyjności w gospodarce cyrkularnej </w:t>
      </w:r>
      <w:r w:rsidR="008324B5" w:rsidRPr="003478AF">
        <w:rPr>
          <w:rFonts w:eastAsia="MinionPro-Regular" w:cs="Arial"/>
          <w:szCs w:val="20"/>
        </w:rPr>
        <w:br/>
      </w:r>
      <w:r w:rsidR="00021326" w:rsidRPr="003478AF">
        <w:rPr>
          <w:rFonts w:eastAsia="MinionPro-Regular" w:cs="Arial"/>
          <w:szCs w:val="20"/>
        </w:rPr>
        <w:t>i</w:t>
      </w:r>
      <w:r w:rsidR="0090414C" w:rsidRPr="003478AF">
        <w:rPr>
          <w:rFonts w:eastAsia="MinionPro-Regular" w:cs="Arial"/>
          <w:szCs w:val="20"/>
        </w:rPr>
        <w:t xml:space="preserve"> </w:t>
      </w:r>
      <w:r w:rsidRPr="003478AF">
        <w:rPr>
          <w:rFonts w:eastAsia="MinionPro-Regular" w:cs="Arial"/>
          <w:szCs w:val="20"/>
        </w:rPr>
        <w:t>wskazano przykłady działań dedykowanych Wielkopolsce.</w:t>
      </w:r>
    </w:p>
    <w:p w14:paraId="279C5F3F" w14:textId="42B068B7" w:rsidR="00A85804" w:rsidRPr="003478AF" w:rsidRDefault="00A85804" w:rsidP="00175EF7">
      <w:pPr>
        <w:rPr>
          <w:rFonts w:eastAsia="MinionPro-Regular" w:cs="Arial"/>
          <w:szCs w:val="20"/>
        </w:rPr>
      </w:pPr>
      <w:bookmarkStart w:id="7" w:name="_Hlk76549114"/>
      <w:r w:rsidRPr="003478AF">
        <w:rPr>
          <w:rFonts w:eastAsia="MinionPro-Regular" w:cs="Arial"/>
          <w:szCs w:val="20"/>
        </w:rPr>
        <w:t xml:space="preserve">Rozdział </w:t>
      </w:r>
      <w:r w:rsidR="001D57ED" w:rsidRPr="003478AF">
        <w:rPr>
          <w:rFonts w:eastAsia="MinionPro-Regular" w:cs="Arial"/>
          <w:szCs w:val="20"/>
        </w:rPr>
        <w:t>piąty</w:t>
      </w:r>
      <w:r w:rsidRPr="003478AF">
        <w:rPr>
          <w:rFonts w:eastAsia="MinionPro-Regular" w:cs="Arial"/>
          <w:szCs w:val="20"/>
        </w:rPr>
        <w:t xml:space="preserve"> został poświęcony zidentyfikowaniu łańcuchów wartości. Wybrano trzy</w:t>
      </w:r>
      <w:r w:rsidR="00803BB1" w:rsidRPr="003478AF">
        <w:rPr>
          <w:rFonts w:eastAsia="MinionPro-Regular" w:cs="Arial"/>
          <w:szCs w:val="20"/>
        </w:rPr>
        <w:t xml:space="preserve"> dominujące w Wielkopolsce </w:t>
      </w:r>
      <w:r w:rsidRPr="003478AF">
        <w:rPr>
          <w:rFonts w:eastAsia="MinionPro-Regular" w:cs="Arial"/>
          <w:szCs w:val="20"/>
        </w:rPr>
        <w:t>obszary i wpisujące się w nie branże: rolnictwo (uprawy rolne, chów i hodowla zwierząt, produkcj</w:t>
      </w:r>
      <w:r w:rsidR="00021326" w:rsidRPr="003478AF">
        <w:rPr>
          <w:rFonts w:eastAsia="MinionPro-Regular" w:cs="Arial"/>
          <w:szCs w:val="20"/>
        </w:rPr>
        <w:t>a</w:t>
      </w:r>
      <w:r w:rsidRPr="003478AF">
        <w:rPr>
          <w:rFonts w:eastAsia="MinionPro-Regular" w:cs="Arial"/>
          <w:szCs w:val="20"/>
        </w:rPr>
        <w:t xml:space="preserve"> żywności), przetwórstwo przemysłowe (produkcja mebli</w:t>
      </w:r>
      <w:r w:rsidR="00803BB1" w:rsidRPr="003478AF">
        <w:rPr>
          <w:rFonts w:eastAsia="MinionPro-Regular" w:cs="Arial"/>
          <w:szCs w:val="20"/>
        </w:rPr>
        <w:t xml:space="preserve"> </w:t>
      </w:r>
      <w:r w:rsidRPr="003478AF">
        <w:rPr>
          <w:rFonts w:eastAsia="MinionPro-Regular" w:cs="Arial"/>
          <w:szCs w:val="20"/>
        </w:rPr>
        <w:t>maszyn i urządzeń</w:t>
      </w:r>
      <w:r w:rsidR="00803BB1" w:rsidRPr="003478AF">
        <w:rPr>
          <w:rFonts w:eastAsia="MinionPro-Regular" w:cs="Arial"/>
          <w:szCs w:val="20"/>
        </w:rPr>
        <w:t xml:space="preserve"> oraz AGD i RTV</w:t>
      </w:r>
      <w:r w:rsidRPr="003478AF">
        <w:rPr>
          <w:rFonts w:eastAsia="MinionPro-Regular" w:cs="Arial"/>
          <w:szCs w:val="20"/>
        </w:rPr>
        <w:t>) i energetyka</w:t>
      </w:r>
      <w:r w:rsidR="00803BB1" w:rsidRPr="003478AF">
        <w:rPr>
          <w:rFonts w:eastAsia="MinionPro-Regular" w:cs="Arial"/>
          <w:szCs w:val="20"/>
        </w:rPr>
        <w:t xml:space="preserve"> (</w:t>
      </w:r>
      <w:r w:rsidR="00803BB1" w:rsidRPr="003478AF">
        <w:t xml:space="preserve">technologie wodorowe, produkcja biogazu i energii oraz bioetanolu). </w:t>
      </w:r>
      <w:r w:rsidRPr="003478AF">
        <w:rPr>
          <w:rFonts w:eastAsia="MinionPro-Regular" w:cs="Arial"/>
          <w:szCs w:val="20"/>
        </w:rPr>
        <w:t>Dodatkowo przygotowano dwa studia przypadku dla mikroprzedsiębiorstw w całym łańcuchu wartości.</w:t>
      </w:r>
    </w:p>
    <w:bookmarkEnd w:id="7"/>
    <w:p w14:paraId="34FECB41" w14:textId="04AE0E19" w:rsidR="00A85804" w:rsidRPr="003478AF" w:rsidRDefault="00A85804" w:rsidP="00A85804">
      <w:pPr>
        <w:autoSpaceDE w:val="0"/>
        <w:autoSpaceDN w:val="0"/>
        <w:adjustRightInd w:val="0"/>
        <w:rPr>
          <w:rFonts w:eastAsia="MinionPro-Regular" w:cs="Arial"/>
          <w:szCs w:val="20"/>
        </w:rPr>
      </w:pPr>
      <w:r w:rsidRPr="003478AF">
        <w:rPr>
          <w:rFonts w:eastAsia="MinionPro-Regular" w:cs="Arial"/>
          <w:szCs w:val="20"/>
        </w:rPr>
        <w:t>Kolejne dwa rozdziały dotyczyły omówienia dobrych praktyk na podstawie wywiadów prowadzonych z przedsiębiorstwami oraz barier rozwoju gospodarki cyrkularnej.</w:t>
      </w:r>
    </w:p>
    <w:p w14:paraId="2DC84E83" w14:textId="6BDF34BA" w:rsidR="00A85804" w:rsidRPr="003478AF" w:rsidRDefault="00A85804" w:rsidP="00A85804">
      <w:pPr>
        <w:autoSpaceDE w:val="0"/>
        <w:autoSpaceDN w:val="0"/>
        <w:adjustRightInd w:val="0"/>
        <w:rPr>
          <w:rFonts w:eastAsia="MinionPro-Regular" w:cs="Arial"/>
          <w:szCs w:val="20"/>
        </w:rPr>
      </w:pPr>
      <w:r w:rsidRPr="003478AF">
        <w:rPr>
          <w:rFonts w:eastAsia="MinionPro-Regular" w:cs="Arial"/>
          <w:szCs w:val="20"/>
        </w:rPr>
        <w:t>W opracowaniu omówiono również: wskaźniki oceny stopnia rozwoju GOZ i działa</w:t>
      </w:r>
      <w:r w:rsidR="001D57ED" w:rsidRPr="003478AF">
        <w:rPr>
          <w:rFonts w:eastAsia="MinionPro-Regular" w:cs="Arial"/>
          <w:szCs w:val="20"/>
        </w:rPr>
        <w:t>nia</w:t>
      </w:r>
      <w:r w:rsidRPr="003478AF">
        <w:rPr>
          <w:rFonts w:eastAsia="MinionPro-Regular" w:cs="Arial"/>
          <w:szCs w:val="20"/>
        </w:rPr>
        <w:t xml:space="preserve"> wspierając</w:t>
      </w:r>
      <w:r w:rsidR="001D57ED" w:rsidRPr="003478AF">
        <w:rPr>
          <w:rFonts w:eastAsia="MinionPro-Regular" w:cs="Arial"/>
          <w:szCs w:val="20"/>
        </w:rPr>
        <w:t>e</w:t>
      </w:r>
      <w:r w:rsidRPr="003478AF">
        <w:rPr>
          <w:rFonts w:eastAsia="MinionPro-Regular" w:cs="Arial"/>
          <w:szCs w:val="20"/>
        </w:rPr>
        <w:t xml:space="preserve"> transformację w kierunku GOZ, a także </w:t>
      </w:r>
      <w:r w:rsidR="00D9538D" w:rsidRPr="003478AF">
        <w:rPr>
          <w:rFonts w:eastAsia="MinionPro-Regular" w:cs="Arial"/>
          <w:szCs w:val="20"/>
        </w:rPr>
        <w:t xml:space="preserve">wskazano </w:t>
      </w:r>
      <w:r w:rsidRPr="003478AF">
        <w:rPr>
          <w:rFonts w:eastAsia="MinionPro-Regular" w:cs="Arial"/>
          <w:szCs w:val="20"/>
        </w:rPr>
        <w:t>propozycje kierunków dalszych badań w poszczególnych sektorach w województwie wielkopolskim.</w:t>
      </w:r>
    </w:p>
    <w:p w14:paraId="73D90EA1" w14:textId="77777777" w:rsidR="00A85804" w:rsidRPr="003478AF" w:rsidRDefault="00A85804" w:rsidP="00A85804">
      <w:pPr>
        <w:autoSpaceDE w:val="0"/>
        <w:autoSpaceDN w:val="0"/>
        <w:adjustRightInd w:val="0"/>
        <w:rPr>
          <w:rFonts w:eastAsia="MinionPro-Regular" w:cs="Arial"/>
          <w:szCs w:val="20"/>
        </w:rPr>
      </w:pPr>
    </w:p>
    <w:p w14:paraId="2729D146" w14:textId="77777777" w:rsidR="00E8640F" w:rsidRPr="003478AF" w:rsidRDefault="00E8640F" w:rsidP="00B919B7">
      <w:bookmarkStart w:id="8" w:name="_Toc43140887"/>
    </w:p>
    <w:p w14:paraId="0A4E2614" w14:textId="77777777" w:rsidR="00E8640F" w:rsidRPr="003478AF" w:rsidRDefault="00E8640F">
      <w:pPr>
        <w:spacing w:line="240" w:lineRule="auto"/>
        <w:ind w:firstLine="0"/>
        <w:rPr>
          <w:rFonts w:eastAsia="MinionPro-Regular" w:cs="Arial"/>
          <w:b/>
          <w:color w:val="00007E"/>
          <w:sz w:val="24"/>
          <w:szCs w:val="16"/>
          <w:shd w:val="clear" w:color="auto" w:fill="FFFFFF"/>
        </w:rPr>
      </w:pPr>
      <w:r w:rsidRPr="003478AF">
        <w:br w:type="page"/>
      </w:r>
    </w:p>
    <w:bookmarkEnd w:id="4"/>
    <w:p w14:paraId="5E4FC40C" w14:textId="77777777" w:rsidR="00C977E8" w:rsidRPr="003478AF" w:rsidRDefault="00C977E8" w:rsidP="00C977E8"/>
    <w:p w14:paraId="412F476A" w14:textId="61218748" w:rsidR="002077F3" w:rsidRPr="003478AF" w:rsidRDefault="002077F3">
      <w:pPr>
        <w:pStyle w:val="Nagwek1"/>
      </w:pPr>
      <w:bookmarkStart w:id="9" w:name="_Toc82159977"/>
      <w:r w:rsidRPr="003478AF">
        <w:t>Charakterystyka województwa</w:t>
      </w:r>
      <w:r w:rsidRPr="003478AF">
        <w:rPr>
          <w:rStyle w:val="Odwoanieprzypisudolnego"/>
          <w:b w:val="0"/>
          <w:bCs/>
          <w:szCs w:val="20"/>
        </w:rPr>
        <w:footnoteReference w:id="8"/>
      </w:r>
      <w:r w:rsidRPr="003478AF">
        <w:rPr>
          <w:bCs/>
          <w:szCs w:val="20"/>
          <w:vertAlign w:val="superscript"/>
        </w:rPr>
        <w:t>,</w:t>
      </w:r>
      <w:r w:rsidRPr="003478AF">
        <w:rPr>
          <w:rStyle w:val="Odwoanieprzypisudolnego"/>
          <w:b w:val="0"/>
          <w:bCs/>
          <w:szCs w:val="20"/>
        </w:rPr>
        <w:footnoteReference w:id="9"/>
      </w:r>
      <w:bookmarkEnd w:id="9"/>
    </w:p>
    <w:p w14:paraId="4DD38F37" w14:textId="29545596" w:rsidR="002077F3" w:rsidRPr="003478AF" w:rsidRDefault="000C0BED">
      <w:pPr>
        <w:pStyle w:val="Nagwek2"/>
      </w:pPr>
      <w:bookmarkStart w:id="10" w:name="_Toc71719629"/>
      <w:bookmarkStart w:id="11" w:name="_Toc82159978"/>
      <w:r w:rsidRPr="003478AF">
        <w:t xml:space="preserve">1.1. </w:t>
      </w:r>
      <w:r w:rsidR="002077F3" w:rsidRPr="003478AF">
        <w:t>Dane ogólne</w:t>
      </w:r>
      <w:bookmarkEnd w:id="10"/>
      <w:bookmarkEnd w:id="11"/>
    </w:p>
    <w:p w14:paraId="482A056D" w14:textId="60DE5FBF" w:rsidR="002077F3" w:rsidRPr="003478AF" w:rsidRDefault="002077F3" w:rsidP="002077F3">
      <w:pPr>
        <w:rPr>
          <w:rFonts w:cs="Arial"/>
          <w:szCs w:val="20"/>
          <w:vertAlign w:val="superscript"/>
        </w:rPr>
      </w:pPr>
      <w:r w:rsidRPr="003478AF">
        <w:rPr>
          <w:rFonts w:cs="Arial"/>
          <w:szCs w:val="20"/>
        </w:rPr>
        <w:t xml:space="preserve">Wielkopolska </w:t>
      </w:r>
      <w:r w:rsidR="00D9538D" w:rsidRPr="003478AF">
        <w:rPr>
          <w:rFonts w:cs="Arial"/>
          <w:szCs w:val="20"/>
        </w:rPr>
        <w:t xml:space="preserve">to </w:t>
      </w:r>
      <w:r w:rsidRPr="003478AF">
        <w:rPr>
          <w:rFonts w:cs="Arial"/>
          <w:szCs w:val="20"/>
        </w:rPr>
        <w:t>drugi</w:t>
      </w:r>
      <w:r w:rsidR="00D9538D" w:rsidRPr="003478AF">
        <w:rPr>
          <w:rFonts w:cs="Arial"/>
          <w:szCs w:val="20"/>
        </w:rPr>
        <w:t>e</w:t>
      </w:r>
      <w:r w:rsidRPr="003478AF">
        <w:rPr>
          <w:rFonts w:cs="Arial"/>
          <w:szCs w:val="20"/>
        </w:rPr>
        <w:t xml:space="preserve"> pod względem wielkości województw</w:t>
      </w:r>
      <w:r w:rsidR="00D9538D" w:rsidRPr="003478AF">
        <w:rPr>
          <w:rFonts w:cs="Arial"/>
          <w:szCs w:val="20"/>
        </w:rPr>
        <w:t>o</w:t>
      </w:r>
      <w:r w:rsidRPr="003478AF">
        <w:rPr>
          <w:rFonts w:cs="Arial"/>
          <w:szCs w:val="20"/>
        </w:rPr>
        <w:t xml:space="preserve"> w kraju (9,56% ogółu powierzchni), zajmując</w:t>
      </w:r>
      <w:r w:rsidR="00786D3A" w:rsidRPr="003478AF">
        <w:rPr>
          <w:rFonts w:cs="Arial"/>
          <w:szCs w:val="20"/>
        </w:rPr>
        <w:t>e</w:t>
      </w:r>
      <w:r w:rsidRPr="003478AF">
        <w:rPr>
          <w:rFonts w:cs="Arial"/>
          <w:szCs w:val="20"/>
        </w:rPr>
        <w:t xml:space="preserve"> </w:t>
      </w:r>
      <w:r w:rsidR="00D9538D" w:rsidRPr="003478AF">
        <w:rPr>
          <w:rFonts w:cs="Arial"/>
          <w:szCs w:val="20"/>
        </w:rPr>
        <w:t>29 </w:t>
      </w:r>
      <w:r w:rsidRPr="003478AF">
        <w:rPr>
          <w:rFonts w:cs="Arial"/>
          <w:szCs w:val="20"/>
        </w:rPr>
        <w:t>826,51 km</w:t>
      </w:r>
      <w:r w:rsidRPr="003478AF">
        <w:rPr>
          <w:rFonts w:cs="Arial"/>
          <w:szCs w:val="20"/>
          <w:vertAlign w:val="superscript"/>
        </w:rPr>
        <w:t>2</w:t>
      </w:r>
      <w:r w:rsidR="007C484F" w:rsidRPr="003478AF">
        <w:rPr>
          <w:rFonts w:cs="Arial"/>
          <w:szCs w:val="20"/>
        </w:rPr>
        <w:t>.</w:t>
      </w:r>
      <w:r w:rsidRPr="003478AF">
        <w:rPr>
          <w:rFonts w:cs="Arial"/>
          <w:szCs w:val="20"/>
        </w:rPr>
        <w:t xml:space="preserve"> Administracyjnie region składa się</w:t>
      </w:r>
      <w:r w:rsidR="007C484F" w:rsidRPr="003478AF">
        <w:rPr>
          <w:rFonts w:cs="Arial"/>
          <w:szCs w:val="20"/>
        </w:rPr>
        <w:t xml:space="preserve"> z</w:t>
      </w:r>
      <w:r w:rsidRPr="003478AF">
        <w:rPr>
          <w:rFonts w:cs="Arial"/>
          <w:szCs w:val="20"/>
        </w:rPr>
        <w:t xml:space="preserve"> 31 powiatów oraz 4 miast na prawach powiatu</w:t>
      </w:r>
      <w:r w:rsidR="007C484F" w:rsidRPr="003478AF">
        <w:rPr>
          <w:rFonts w:cs="Arial"/>
          <w:szCs w:val="20"/>
        </w:rPr>
        <w:t>.</w:t>
      </w:r>
      <w:r w:rsidRPr="003478AF">
        <w:rPr>
          <w:rFonts w:cs="Arial"/>
          <w:szCs w:val="20"/>
        </w:rPr>
        <w:t xml:space="preserve"> W skład województwa wliczało się </w:t>
      </w:r>
      <w:r w:rsidR="00D9538D" w:rsidRPr="003478AF">
        <w:rPr>
          <w:rFonts w:cs="Arial"/>
          <w:szCs w:val="20"/>
        </w:rPr>
        <w:t xml:space="preserve">w 2020 roku </w:t>
      </w:r>
      <w:r w:rsidRPr="003478AF">
        <w:rPr>
          <w:rFonts w:cs="Arial"/>
          <w:szCs w:val="20"/>
        </w:rPr>
        <w:t xml:space="preserve">226 gmin, 113 miast i </w:t>
      </w:r>
      <w:r w:rsidR="00D9538D" w:rsidRPr="003478AF">
        <w:rPr>
          <w:rFonts w:cs="Arial"/>
          <w:szCs w:val="20"/>
        </w:rPr>
        <w:t>5 </w:t>
      </w:r>
      <w:r w:rsidRPr="003478AF">
        <w:rPr>
          <w:rFonts w:cs="Arial"/>
          <w:szCs w:val="20"/>
        </w:rPr>
        <w:t xml:space="preserve">456 miejscowości wiejskich. </w:t>
      </w:r>
    </w:p>
    <w:p w14:paraId="0F1EF547" w14:textId="5DFDC37A" w:rsidR="002077F3" w:rsidRPr="003478AF" w:rsidRDefault="002077F3" w:rsidP="002077F3">
      <w:pPr>
        <w:rPr>
          <w:rFonts w:cs="Arial"/>
          <w:szCs w:val="20"/>
        </w:rPr>
      </w:pPr>
      <w:r w:rsidRPr="003478AF">
        <w:rPr>
          <w:rFonts w:cs="Arial"/>
          <w:szCs w:val="20"/>
        </w:rPr>
        <w:t>Przekładało się to na znaczącą rolę regionu w gospodarce narodowej uwidocznioną poprzez udział produktu krajowego brutto</w:t>
      </w:r>
      <w:r w:rsidR="007C484F" w:rsidRPr="003478AF">
        <w:rPr>
          <w:rFonts w:cs="Arial"/>
          <w:szCs w:val="20"/>
        </w:rPr>
        <w:t xml:space="preserve"> (PKB)</w:t>
      </w:r>
      <w:r w:rsidR="00D9538D" w:rsidRPr="003478AF">
        <w:rPr>
          <w:rFonts w:cs="Arial"/>
          <w:szCs w:val="20"/>
        </w:rPr>
        <w:t xml:space="preserve"> regionu</w:t>
      </w:r>
      <w:r w:rsidRPr="003478AF">
        <w:rPr>
          <w:rFonts w:cs="Arial"/>
          <w:szCs w:val="20"/>
        </w:rPr>
        <w:t xml:space="preserve"> </w:t>
      </w:r>
      <w:r w:rsidR="00D9538D" w:rsidRPr="003478AF">
        <w:rPr>
          <w:rFonts w:cs="Arial"/>
          <w:szCs w:val="20"/>
        </w:rPr>
        <w:t xml:space="preserve">w ogólnej wartości PKB dla kraju, </w:t>
      </w:r>
      <w:r w:rsidRPr="003478AF">
        <w:rPr>
          <w:rFonts w:cs="Arial"/>
          <w:szCs w:val="20"/>
        </w:rPr>
        <w:t>wynosząc</w:t>
      </w:r>
      <w:r w:rsidR="00D9538D" w:rsidRPr="003478AF">
        <w:rPr>
          <w:rFonts w:cs="Arial"/>
          <w:szCs w:val="20"/>
        </w:rPr>
        <w:t>y w 2018 roku</w:t>
      </w:r>
      <w:r w:rsidRPr="003478AF">
        <w:rPr>
          <w:rFonts w:cs="Arial"/>
          <w:szCs w:val="20"/>
        </w:rPr>
        <w:t xml:space="preserve"> 9,8% (208,2 mld zł). Pozycję Wielkopolski odnośnie szacowanych wartości </w:t>
      </w:r>
      <w:r w:rsidR="007C484F" w:rsidRPr="003478AF">
        <w:rPr>
          <w:rFonts w:cs="Arial"/>
          <w:szCs w:val="20"/>
        </w:rPr>
        <w:t>PKB</w:t>
      </w:r>
      <w:r w:rsidRPr="003478AF">
        <w:rPr>
          <w:rFonts w:cs="Arial"/>
          <w:szCs w:val="20"/>
        </w:rPr>
        <w:t xml:space="preserve"> w przeliczeniu na 1 mieszkańca</w:t>
      </w:r>
      <w:r w:rsidR="007C484F" w:rsidRPr="003478AF">
        <w:rPr>
          <w:rFonts w:cs="Arial"/>
          <w:szCs w:val="20"/>
        </w:rPr>
        <w:t xml:space="preserve"> </w:t>
      </w:r>
      <w:r w:rsidRPr="003478AF">
        <w:rPr>
          <w:rFonts w:cs="Arial"/>
          <w:szCs w:val="20"/>
        </w:rPr>
        <w:t>obrazuje Ryc</w:t>
      </w:r>
      <w:r w:rsidR="00BD5E7F" w:rsidRPr="003478AF">
        <w:rPr>
          <w:rFonts w:cs="Arial"/>
          <w:szCs w:val="20"/>
        </w:rPr>
        <w:t>.</w:t>
      </w:r>
      <w:r w:rsidRPr="003478AF">
        <w:rPr>
          <w:rFonts w:cs="Arial"/>
          <w:szCs w:val="20"/>
        </w:rPr>
        <w:t xml:space="preserve"> 1.1 (2019 r</w:t>
      </w:r>
      <w:r w:rsidR="00D9538D" w:rsidRPr="003478AF">
        <w:rPr>
          <w:rFonts w:cs="Arial"/>
          <w:szCs w:val="20"/>
        </w:rPr>
        <w:t xml:space="preserve">ok). </w:t>
      </w:r>
      <w:r w:rsidRPr="003478AF">
        <w:rPr>
          <w:rFonts w:cs="Arial"/>
          <w:szCs w:val="20"/>
        </w:rPr>
        <w:t>Plasowała się ona na trzeci</w:t>
      </w:r>
      <w:r w:rsidR="00D9538D" w:rsidRPr="003478AF">
        <w:rPr>
          <w:rFonts w:cs="Arial"/>
          <w:szCs w:val="20"/>
        </w:rPr>
        <w:t xml:space="preserve">m miejscu </w:t>
      </w:r>
      <w:r w:rsidRPr="003478AF">
        <w:rPr>
          <w:rFonts w:cs="Arial"/>
          <w:szCs w:val="20"/>
        </w:rPr>
        <w:t xml:space="preserve">wśród województw. </w:t>
      </w:r>
    </w:p>
    <w:p w14:paraId="31B44DA1" w14:textId="77777777" w:rsidR="002077F3" w:rsidRPr="003478AF" w:rsidRDefault="002077F3" w:rsidP="002077F3">
      <w:pPr>
        <w:rPr>
          <w:rFonts w:cs="Arial"/>
          <w:szCs w:val="20"/>
        </w:rPr>
      </w:pPr>
    </w:p>
    <w:p w14:paraId="6D12F31A" w14:textId="65F0222C" w:rsidR="002077F3" w:rsidRPr="003478AF" w:rsidRDefault="002077F3" w:rsidP="00986D40">
      <w:pPr>
        <w:pStyle w:val="ARYCINA"/>
      </w:pPr>
      <w:r w:rsidRPr="003478AF">
        <w:t>Ryc.</w:t>
      </w:r>
      <w:r w:rsidR="005B1891" w:rsidRPr="003478AF">
        <w:t>1</w:t>
      </w:r>
      <w:r w:rsidRPr="003478AF">
        <w:t>.</w:t>
      </w:r>
      <w:r w:rsidRPr="003478AF">
        <w:rPr>
          <w:noProof/>
        </w:rPr>
        <w:fldChar w:fldCharType="begin"/>
      </w:r>
      <w:r w:rsidRPr="003478AF">
        <w:rPr>
          <w:noProof/>
        </w:rPr>
        <w:instrText xml:space="preserve"> SEQ Ryc. \* ARABIC \s 1 </w:instrText>
      </w:r>
      <w:r w:rsidRPr="003478AF">
        <w:rPr>
          <w:noProof/>
        </w:rPr>
        <w:fldChar w:fldCharType="separate"/>
      </w:r>
      <w:r w:rsidR="007B1066">
        <w:rPr>
          <w:noProof/>
        </w:rPr>
        <w:t>1</w:t>
      </w:r>
      <w:r w:rsidRPr="003478AF">
        <w:rPr>
          <w:noProof/>
        </w:rPr>
        <w:fldChar w:fldCharType="end"/>
      </w:r>
      <w:r w:rsidRPr="003478AF">
        <w:t xml:space="preserve"> PKB na 1 mieszkańca</w:t>
      </w:r>
      <w:r w:rsidR="00786D3A" w:rsidRPr="003478AF">
        <w:t xml:space="preserve"> w Polsce według województw w 2019 roku</w:t>
      </w:r>
    </w:p>
    <w:p w14:paraId="0B050F94" w14:textId="77777777" w:rsidR="002077F3" w:rsidRPr="003478AF" w:rsidRDefault="002077F3" w:rsidP="002077F3">
      <w:pPr>
        <w:keepNext/>
        <w:jc w:val="center"/>
        <w:rPr>
          <w:rFonts w:cs="Arial"/>
        </w:rPr>
      </w:pPr>
      <w:r w:rsidRPr="003478AF">
        <w:rPr>
          <w:rFonts w:cs="Arial"/>
          <w:noProof/>
          <w:szCs w:val="20"/>
          <w:lang w:eastAsia="pl-PL"/>
        </w:rPr>
        <w:drawing>
          <wp:inline distT="0" distB="0" distL="0" distR="0" wp14:anchorId="614F02A3" wp14:editId="2F251C7B">
            <wp:extent cx="3890986" cy="2571750"/>
            <wp:effectExtent l="0" t="0" r="0" b="0"/>
            <wp:docPr id="72" name="Obraz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6">
                      <a:extLst>
                        <a:ext uri="{28A0092B-C50C-407E-A947-70E740481C1C}">
                          <a14:useLocalDpi xmlns:a14="http://schemas.microsoft.com/office/drawing/2010/main" val="0"/>
                        </a:ext>
                      </a:extLst>
                    </a:blip>
                    <a:srcRect t="2542"/>
                    <a:stretch/>
                  </pic:blipFill>
                  <pic:spPr bwMode="auto">
                    <a:xfrm>
                      <a:off x="0" y="0"/>
                      <a:ext cx="3928184" cy="2596336"/>
                    </a:xfrm>
                    <a:prstGeom prst="rect">
                      <a:avLst/>
                    </a:prstGeom>
                    <a:noFill/>
                    <a:ln>
                      <a:noFill/>
                    </a:ln>
                    <a:extLst>
                      <a:ext uri="{53640926-AAD7-44D8-BBD7-CCE9431645EC}">
                        <a14:shadowObscured xmlns:a14="http://schemas.microsoft.com/office/drawing/2010/main"/>
                      </a:ext>
                    </a:extLst>
                  </pic:spPr>
                </pic:pic>
              </a:graphicData>
            </a:graphic>
          </wp:inline>
        </w:drawing>
      </w:r>
    </w:p>
    <w:p w14:paraId="5C33603A" w14:textId="5B7E4948" w:rsidR="002077F3" w:rsidRPr="003478AF" w:rsidRDefault="002077F3" w:rsidP="00986D40">
      <w:pPr>
        <w:pStyle w:val="AZRODLO"/>
      </w:pPr>
      <w:r w:rsidRPr="003478AF">
        <w:t xml:space="preserve">Źródło: </w:t>
      </w:r>
      <w:r w:rsidR="007C484F" w:rsidRPr="003478AF">
        <w:t>O</w:t>
      </w:r>
      <w:r w:rsidRPr="003478AF">
        <w:t>pracowanie własne na podstawie GUS BDL, dane szacunkowe</w:t>
      </w:r>
    </w:p>
    <w:p w14:paraId="39FF8B81" w14:textId="77777777" w:rsidR="002077F3" w:rsidRPr="003478AF" w:rsidRDefault="002077F3" w:rsidP="00175EF7">
      <w:pPr>
        <w:jc w:val="left"/>
        <w:rPr>
          <w:rFonts w:cs="Arial"/>
        </w:rPr>
      </w:pPr>
    </w:p>
    <w:p w14:paraId="1B97A610" w14:textId="209BA056" w:rsidR="002077F3" w:rsidRPr="003478AF" w:rsidRDefault="000C0BED">
      <w:pPr>
        <w:pStyle w:val="Nagwek2"/>
      </w:pPr>
      <w:bookmarkStart w:id="12" w:name="_Toc82159979"/>
      <w:r w:rsidRPr="003478AF">
        <w:t xml:space="preserve">1.2. </w:t>
      </w:r>
      <w:r w:rsidR="002077F3" w:rsidRPr="003478AF">
        <w:t>Ludność</w:t>
      </w:r>
      <w:bookmarkEnd w:id="12"/>
    </w:p>
    <w:p w14:paraId="3C426003" w14:textId="6CAD328C" w:rsidR="002B07F6" w:rsidRPr="003478AF" w:rsidRDefault="002077F3" w:rsidP="002077F3">
      <w:pPr>
        <w:rPr>
          <w:rFonts w:cs="Arial"/>
          <w:szCs w:val="20"/>
        </w:rPr>
      </w:pPr>
      <w:r w:rsidRPr="003478AF">
        <w:rPr>
          <w:rFonts w:cs="Arial"/>
          <w:szCs w:val="20"/>
        </w:rPr>
        <w:t xml:space="preserve">Województwo </w:t>
      </w:r>
      <w:r w:rsidR="00895A85" w:rsidRPr="003478AF">
        <w:rPr>
          <w:rFonts w:cs="Arial"/>
          <w:szCs w:val="20"/>
        </w:rPr>
        <w:t xml:space="preserve">wielkopolskie </w:t>
      </w:r>
      <w:r w:rsidRPr="003478AF">
        <w:rPr>
          <w:rFonts w:cs="Arial"/>
          <w:szCs w:val="20"/>
        </w:rPr>
        <w:t xml:space="preserve">zamieszkiwało </w:t>
      </w:r>
      <w:r w:rsidR="00895A85" w:rsidRPr="003478AF">
        <w:rPr>
          <w:rFonts w:cs="Arial"/>
          <w:szCs w:val="20"/>
        </w:rPr>
        <w:t>w 2020 roku 3 </w:t>
      </w:r>
      <w:r w:rsidRPr="003478AF">
        <w:rPr>
          <w:rFonts w:cs="Arial"/>
          <w:szCs w:val="20"/>
        </w:rPr>
        <w:t>49</w:t>
      </w:r>
      <w:r w:rsidR="00CB418D" w:rsidRPr="003478AF">
        <w:rPr>
          <w:rFonts w:cs="Arial"/>
          <w:szCs w:val="20"/>
        </w:rPr>
        <w:t>6</w:t>
      </w:r>
      <w:r w:rsidRPr="003478AF">
        <w:rPr>
          <w:rFonts w:cs="Arial"/>
          <w:szCs w:val="20"/>
        </w:rPr>
        <w:t>,</w:t>
      </w:r>
      <w:r w:rsidR="00CB418D" w:rsidRPr="003478AF">
        <w:rPr>
          <w:rFonts w:cs="Arial"/>
          <w:szCs w:val="20"/>
        </w:rPr>
        <w:t>5</w:t>
      </w:r>
      <w:r w:rsidRPr="003478AF">
        <w:rPr>
          <w:rFonts w:cs="Arial"/>
          <w:szCs w:val="20"/>
        </w:rPr>
        <w:t xml:space="preserve"> tys. osób, co</w:t>
      </w:r>
      <w:r w:rsidR="00895A85" w:rsidRPr="003478AF">
        <w:rPr>
          <w:rFonts w:cs="Arial"/>
          <w:szCs w:val="20"/>
        </w:rPr>
        <w:t xml:space="preserve"> stanowiło 9,1% ludności Polski</w:t>
      </w:r>
      <w:r w:rsidRPr="003478AF">
        <w:rPr>
          <w:rFonts w:cs="Arial"/>
          <w:szCs w:val="20"/>
        </w:rPr>
        <w:t>. Większość osób zamieszkiwała miasta (1</w:t>
      </w:r>
      <w:r w:rsidR="00895A85" w:rsidRPr="003478AF">
        <w:rPr>
          <w:rFonts w:cs="Arial"/>
          <w:szCs w:val="20"/>
        </w:rPr>
        <w:t> </w:t>
      </w:r>
      <w:r w:rsidRPr="003478AF">
        <w:rPr>
          <w:rFonts w:cs="Arial"/>
          <w:szCs w:val="20"/>
        </w:rPr>
        <w:t>8</w:t>
      </w:r>
      <w:r w:rsidR="00CB418D" w:rsidRPr="003478AF">
        <w:rPr>
          <w:rFonts w:cs="Arial"/>
          <w:szCs w:val="20"/>
        </w:rPr>
        <w:t>77</w:t>
      </w:r>
      <w:r w:rsidRPr="003478AF">
        <w:rPr>
          <w:rFonts w:cs="Arial"/>
          <w:szCs w:val="20"/>
        </w:rPr>
        <w:t>,</w:t>
      </w:r>
      <w:r w:rsidR="00CB418D" w:rsidRPr="003478AF">
        <w:rPr>
          <w:rFonts w:cs="Arial"/>
          <w:szCs w:val="20"/>
        </w:rPr>
        <w:t>3</w:t>
      </w:r>
      <w:r w:rsidRPr="003478AF">
        <w:rPr>
          <w:rFonts w:cs="Arial"/>
          <w:szCs w:val="20"/>
        </w:rPr>
        <w:t xml:space="preserve"> tys.) w porównaniu do obszarów wiejskich (</w:t>
      </w:r>
      <w:r w:rsidR="00895A85" w:rsidRPr="003478AF">
        <w:rPr>
          <w:rFonts w:cs="Arial"/>
          <w:szCs w:val="20"/>
        </w:rPr>
        <w:t>1 </w:t>
      </w:r>
      <w:r w:rsidRPr="003478AF">
        <w:rPr>
          <w:rFonts w:cs="Arial"/>
          <w:szCs w:val="20"/>
        </w:rPr>
        <w:t>6</w:t>
      </w:r>
      <w:r w:rsidR="00CB418D" w:rsidRPr="003478AF">
        <w:rPr>
          <w:rFonts w:cs="Arial"/>
          <w:szCs w:val="20"/>
        </w:rPr>
        <w:t>1</w:t>
      </w:r>
      <w:r w:rsidRPr="003478AF">
        <w:rPr>
          <w:rFonts w:cs="Arial"/>
          <w:szCs w:val="20"/>
        </w:rPr>
        <w:t>9,</w:t>
      </w:r>
      <w:r w:rsidR="00CB418D" w:rsidRPr="003478AF">
        <w:rPr>
          <w:rFonts w:cs="Arial"/>
          <w:szCs w:val="20"/>
        </w:rPr>
        <w:t>1</w:t>
      </w:r>
      <w:r w:rsidRPr="003478AF">
        <w:rPr>
          <w:rFonts w:cs="Arial"/>
          <w:szCs w:val="20"/>
        </w:rPr>
        <w:t xml:space="preserve"> tys.) (</w:t>
      </w:r>
      <w:r w:rsidR="00381971" w:rsidRPr="003478AF">
        <w:rPr>
          <w:rFonts w:cs="Arial"/>
          <w:szCs w:val="20"/>
        </w:rPr>
        <w:t>ryc.</w:t>
      </w:r>
      <w:r w:rsidRPr="003478AF">
        <w:rPr>
          <w:rFonts w:cs="Arial"/>
          <w:szCs w:val="20"/>
        </w:rPr>
        <w:t xml:space="preserve">1.2). Gęstość zaludnienia była niższa od średniej krajowej </w:t>
      </w:r>
      <w:r w:rsidR="00F43D54" w:rsidRPr="003478AF">
        <w:rPr>
          <w:rFonts w:cs="Arial"/>
          <w:szCs w:val="20"/>
        </w:rPr>
        <w:t>(122 os./km</w:t>
      </w:r>
      <w:r w:rsidR="00F43D54" w:rsidRPr="003478AF">
        <w:rPr>
          <w:rFonts w:cs="Arial"/>
          <w:szCs w:val="20"/>
          <w:vertAlign w:val="superscript"/>
        </w:rPr>
        <w:t>2</w:t>
      </w:r>
      <w:r w:rsidR="00F43D54" w:rsidRPr="003478AF">
        <w:rPr>
          <w:rFonts w:cs="Arial"/>
          <w:szCs w:val="20"/>
        </w:rPr>
        <w:t xml:space="preserve">) </w:t>
      </w:r>
      <w:r w:rsidRPr="003478AF">
        <w:rPr>
          <w:rFonts w:cs="Arial"/>
          <w:szCs w:val="20"/>
        </w:rPr>
        <w:t>i wynosiła 117 osób/km</w:t>
      </w:r>
      <w:r w:rsidRPr="003478AF">
        <w:rPr>
          <w:rFonts w:cs="Arial"/>
          <w:szCs w:val="20"/>
          <w:vertAlign w:val="superscript"/>
        </w:rPr>
        <w:t>2</w:t>
      </w:r>
      <w:r w:rsidRPr="003478AF">
        <w:rPr>
          <w:rFonts w:cs="Arial"/>
          <w:szCs w:val="20"/>
        </w:rPr>
        <w:t xml:space="preserve">. Przyrost naturalny </w:t>
      </w:r>
      <w:r w:rsidR="00895A85" w:rsidRPr="003478AF">
        <w:rPr>
          <w:rFonts w:cs="Arial"/>
          <w:szCs w:val="20"/>
        </w:rPr>
        <w:t xml:space="preserve">na </w:t>
      </w:r>
      <w:r w:rsidR="00786D3A" w:rsidRPr="003478AF">
        <w:rPr>
          <w:rFonts w:cs="Arial"/>
          <w:szCs w:val="20"/>
        </w:rPr>
        <w:t>1 000</w:t>
      </w:r>
      <w:r w:rsidR="00895A85" w:rsidRPr="003478AF">
        <w:rPr>
          <w:rFonts w:cs="Arial"/>
          <w:szCs w:val="20"/>
        </w:rPr>
        <w:t xml:space="preserve"> ludności </w:t>
      </w:r>
      <w:r w:rsidR="002402AB" w:rsidRPr="003478AF">
        <w:rPr>
          <w:rFonts w:cs="Arial"/>
          <w:szCs w:val="20"/>
        </w:rPr>
        <w:t>uległ zmianie z dodatniego na ujemny (0,9 w 2019 r</w:t>
      </w:r>
      <w:r w:rsidR="00895A85" w:rsidRPr="003478AF">
        <w:rPr>
          <w:rFonts w:cs="Arial"/>
          <w:szCs w:val="20"/>
        </w:rPr>
        <w:t xml:space="preserve">oku; </w:t>
      </w:r>
      <w:r w:rsidR="002402AB" w:rsidRPr="003478AF">
        <w:rPr>
          <w:rFonts w:cs="Arial"/>
          <w:szCs w:val="20"/>
        </w:rPr>
        <w:t>-1,2 w 2020 r</w:t>
      </w:r>
      <w:r w:rsidR="00895A85" w:rsidRPr="003478AF">
        <w:rPr>
          <w:rFonts w:cs="Arial"/>
          <w:szCs w:val="20"/>
        </w:rPr>
        <w:t>oku</w:t>
      </w:r>
      <w:r w:rsidRPr="003478AF">
        <w:rPr>
          <w:rFonts w:cs="Arial"/>
          <w:szCs w:val="20"/>
        </w:rPr>
        <w:t>)</w:t>
      </w:r>
      <w:r w:rsidR="002402AB" w:rsidRPr="003478AF">
        <w:rPr>
          <w:rFonts w:cs="Arial"/>
          <w:szCs w:val="20"/>
        </w:rPr>
        <w:t>,</w:t>
      </w:r>
      <w:r w:rsidRPr="003478AF">
        <w:rPr>
          <w:rFonts w:cs="Arial"/>
          <w:szCs w:val="20"/>
        </w:rPr>
        <w:t xml:space="preserve"> podczas gdy wartość dla Polski </w:t>
      </w:r>
      <w:r w:rsidR="002402AB" w:rsidRPr="003478AF">
        <w:rPr>
          <w:rFonts w:cs="Arial"/>
          <w:szCs w:val="20"/>
        </w:rPr>
        <w:t>pozostała ujemna</w:t>
      </w:r>
      <w:r w:rsidRPr="003478AF">
        <w:rPr>
          <w:rFonts w:cs="Arial"/>
          <w:szCs w:val="20"/>
        </w:rPr>
        <w:t xml:space="preserve"> (-</w:t>
      </w:r>
      <w:r w:rsidR="002402AB" w:rsidRPr="003478AF">
        <w:rPr>
          <w:rFonts w:cs="Arial"/>
          <w:szCs w:val="20"/>
        </w:rPr>
        <w:t>3</w:t>
      </w:r>
      <w:r w:rsidRPr="003478AF">
        <w:rPr>
          <w:rFonts w:cs="Arial"/>
          <w:szCs w:val="20"/>
        </w:rPr>
        <w:t>,</w:t>
      </w:r>
      <w:r w:rsidR="002402AB" w:rsidRPr="003478AF">
        <w:rPr>
          <w:rFonts w:cs="Arial"/>
          <w:szCs w:val="20"/>
        </w:rPr>
        <w:t>2 w 2020 r</w:t>
      </w:r>
      <w:r w:rsidR="00895A85" w:rsidRPr="003478AF">
        <w:rPr>
          <w:rFonts w:cs="Arial"/>
          <w:szCs w:val="20"/>
        </w:rPr>
        <w:t>oku).</w:t>
      </w:r>
    </w:p>
    <w:p w14:paraId="2867A25B" w14:textId="22D69B1A" w:rsidR="002077F3" w:rsidRPr="003478AF" w:rsidRDefault="002077F3" w:rsidP="00BA78EA">
      <w:pPr>
        <w:rPr>
          <w:rFonts w:cs="Arial"/>
          <w:szCs w:val="20"/>
        </w:rPr>
      </w:pPr>
      <w:r w:rsidRPr="003478AF">
        <w:rPr>
          <w:rFonts w:cs="Arial"/>
          <w:szCs w:val="20"/>
        </w:rPr>
        <w:t xml:space="preserve">Wśród ludności aktywnej zawodowo w 2019 roku znajdowało się </w:t>
      </w:r>
      <w:r w:rsidR="002B07F6" w:rsidRPr="003478AF">
        <w:rPr>
          <w:rFonts w:cs="Arial"/>
          <w:szCs w:val="20"/>
        </w:rPr>
        <w:t>1 </w:t>
      </w:r>
      <w:r w:rsidRPr="003478AF">
        <w:rPr>
          <w:rFonts w:cs="Arial"/>
          <w:szCs w:val="20"/>
        </w:rPr>
        <w:t xml:space="preserve">583 tys. pracujących osób oraz 46,3 tys. zarejestrowanych bezrobotnych. Stopa bezrobocia </w:t>
      </w:r>
      <w:r w:rsidR="002B07F6" w:rsidRPr="003478AF">
        <w:rPr>
          <w:rFonts w:cs="Arial"/>
          <w:szCs w:val="20"/>
        </w:rPr>
        <w:t xml:space="preserve">rejestrowanego </w:t>
      </w:r>
      <w:r w:rsidRPr="003478AF">
        <w:rPr>
          <w:rFonts w:cs="Arial"/>
          <w:szCs w:val="20"/>
        </w:rPr>
        <w:t xml:space="preserve">była </w:t>
      </w:r>
      <w:r w:rsidRPr="003478AF">
        <w:rPr>
          <w:rFonts w:cs="Arial"/>
          <w:szCs w:val="20"/>
        </w:rPr>
        <w:lastRenderedPageBreak/>
        <w:t xml:space="preserve">niższa od wartości dla Polski (3,3%) i mieściła się w ostatniej trójce województw </w:t>
      </w:r>
      <w:r w:rsidR="007D50F3" w:rsidRPr="003478AF">
        <w:rPr>
          <w:rFonts w:cs="Arial"/>
          <w:szCs w:val="20"/>
        </w:rPr>
        <w:br/>
      </w:r>
      <w:r w:rsidRPr="003478AF">
        <w:rPr>
          <w:rFonts w:cs="Arial"/>
          <w:szCs w:val="20"/>
        </w:rPr>
        <w:t>(z woj</w:t>
      </w:r>
      <w:r w:rsidR="00EA492B" w:rsidRPr="003478AF">
        <w:rPr>
          <w:rFonts w:cs="Arial"/>
          <w:szCs w:val="20"/>
        </w:rPr>
        <w:t>ewództwem</w:t>
      </w:r>
      <w:r w:rsidRPr="003478AF">
        <w:rPr>
          <w:rFonts w:cs="Arial"/>
          <w:szCs w:val="20"/>
        </w:rPr>
        <w:t xml:space="preserve"> śląskim i lubuskim) z wartością 2,6%. Przeciętne miesięczne wynagrodzenie brutto w 2019 roku było niższe od </w:t>
      </w:r>
      <w:r w:rsidR="002B07F6" w:rsidRPr="003478AF">
        <w:rPr>
          <w:rFonts w:cs="Arial"/>
          <w:szCs w:val="20"/>
        </w:rPr>
        <w:t xml:space="preserve">średniej </w:t>
      </w:r>
      <w:r w:rsidRPr="003478AF">
        <w:rPr>
          <w:rFonts w:cs="Arial"/>
          <w:szCs w:val="20"/>
        </w:rPr>
        <w:t>krajowe</w:t>
      </w:r>
      <w:r w:rsidR="002B07F6" w:rsidRPr="003478AF">
        <w:rPr>
          <w:rFonts w:cs="Arial"/>
          <w:szCs w:val="20"/>
        </w:rPr>
        <w:t>j</w:t>
      </w:r>
      <w:r w:rsidRPr="003478AF">
        <w:rPr>
          <w:rFonts w:cs="Arial"/>
          <w:szCs w:val="20"/>
        </w:rPr>
        <w:t xml:space="preserve"> (4 920,09 zł) i wynosiło 4 499,63 zł.</w:t>
      </w:r>
    </w:p>
    <w:p w14:paraId="2ACC4B6F" w14:textId="792F6AEF" w:rsidR="002077F3" w:rsidRPr="003478AF" w:rsidRDefault="002077F3" w:rsidP="002077F3">
      <w:pPr>
        <w:rPr>
          <w:rFonts w:cs="Arial"/>
          <w:szCs w:val="20"/>
        </w:rPr>
      </w:pPr>
      <w:r w:rsidRPr="003478AF">
        <w:rPr>
          <w:rFonts w:cs="Arial"/>
          <w:szCs w:val="20"/>
        </w:rPr>
        <w:t>W</w:t>
      </w:r>
      <w:r w:rsidR="00EA492B" w:rsidRPr="003478AF">
        <w:rPr>
          <w:rFonts w:cs="Arial"/>
          <w:szCs w:val="20"/>
        </w:rPr>
        <w:t xml:space="preserve"> 2020 roku w</w:t>
      </w:r>
      <w:r w:rsidRPr="003478AF">
        <w:rPr>
          <w:rFonts w:cs="Arial"/>
          <w:szCs w:val="20"/>
        </w:rPr>
        <w:t xml:space="preserve"> Wielkopolsce</w:t>
      </w:r>
      <w:r w:rsidR="00EA492B" w:rsidRPr="003478AF">
        <w:rPr>
          <w:rFonts w:cs="Arial"/>
          <w:szCs w:val="20"/>
        </w:rPr>
        <w:t xml:space="preserve"> </w:t>
      </w:r>
      <w:r w:rsidRPr="003478AF">
        <w:rPr>
          <w:rFonts w:cs="Arial"/>
          <w:szCs w:val="20"/>
        </w:rPr>
        <w:t>27,7% ludności w wieku 15-64 lat posiadało wykształcenie zasadnicze zawodowe, co stanowiło najwyższ</w:t>
      </w:r>
      <w:r w:rsidR="00786D3A" w:rsidRPr="003478AF">
        <w:rPr>
          <w:rFonts w:cs="Arial"/>
          <w:szCs w:val="20"/>
        </w:rPr>
        <w:t>ą wartość</w:t>
      </w:r>
      <w:r w:rsidRPr="003478AF">
        <w:rPr>
          <w:rFonts w:cs="Arial"/>
          <w:szCs w:val="20"/>
        </w:rPr>
        <w:t xml:space="preserve"> wskaźnik</w:t>
      </w:r>
      <w:r w:rsidR="00786D3A" w:rsidRPr="003478AF">
        <w:rPr>
          <w:rFonts w:cs="Arial"/>
          <w:szCs w:val="20"/>
        </w:rPr>
        <w:t>a</w:t>
      </w:r>
      <w:r w:rsidRPr="003478AF">
        <w:rPr>
          <w:rFonts w:cs="Arial"/>
          <w:szCs w:val="20"/>
        </w:rPr>
        <w:t xml:space="preserve"> w Polsce. Odsetek </w:t>
      </w:r>
      <w:r w:rsidR="00F43D54" w:rsidRPr="003478AF">
        <w:rPr>
          <w:rFonts w:cs="Arial"/>
          <w:szCs w:val="20"/>
        </w:rPr>
        <w:t xml:space="preserve">osób </w:t>
      </w:r>
      <w:r w:rsidR="007D50F3" w:rsidRPr="003478AF">
        <w:rPr>
          <w:rFonts w:cs="Arial"/>
          <w:szCs w:val="20"/>
        </w:rPr>
        <w:br/>
      </w:r>
      <w:r w:rsidRPr="003478AF">
        <w:rPr>
          <w:rFonts w:cs="Arial"/>
          <w:szCs w:val="20"/>
        </w:rPr>
        <w:t xml:space="preserve">z wykształceniem wyższym wynosił 25,8%, zaliczając </w:t>
      </w:r>
      <w:r w:rsidR="00F43D54" w:rsidRPr="003478AF">
        <w:rPr>
          <w:rFonts w:cs="Arial"/>
          <w:szCs w:val="20"/>
        </w:rPr>
        <w:t>region</w:t>
      </w:r>
      <w:r w:rsidRPr="003478AF">
        <w:rPr>
          <w:rFonts w:cs="Arial"/>
          <w:szCs w:val="20"/>
        </w:rPr>
        <w:t xml:space="preserve"> do grupy o najniższ</w:t>
      </w:r>
      <w:r w:rsidR="00F43D54" w:rsidRPr="003478AF">
        <w:rPr>
          <w:rFonts w:cs="Arial"/>
          <w:szCs w:val="20"/>
        </w:rPr>
        <w:t>ej</w:t>
      </w:r>
      <w:r w:rsidRPr="003478AF">
        <w:rPr>
          <w:rFonts w:cs="Arial"/>
          <w:szCs w:val="20"/>
        </w:rPr>
        <w:t xml:space="preserve"> </w:t>
      </w:r>
      <w:r w:rsidR="00F43D54" w:rsidRPr="003478AF">
        <w:rPr>
          <w:rFonts w:cs="Arial"/>
          <w:szCs w:val="20"/>
        </w:rPr>
        <w:t>jego wartości</w:t>
      </w:r>
      <w:r w:rsidRPr="003478AF">
        <w:rPr>
          <w:rFonts w:cs="Arial"/>
          <w:szCs w:val="20"/>
        </w:rPr>
        <w:t>. Niewiele mniejszy udział miała grupa mieszkańców z wykształceniem policealnym oraz średnim zawodowym (24,2%). Ludność z wykształceniem średnim ogólnokształcącym oraz gimnazjalnym (lub niższym) stanowiła odpowiednio 10% i 12,3%.</w:t>
      </w:r>
    </w:p>
    <w:p w14:paraId="37F14C30" w14:textId="77777777" w:rsidR="002077F3" w:rsidRPr="003478AF" w:rsidRDefault="002077F3" w:rsidP="002077F3">
      <w:pPr>
        <w:rPr>
          <w:rFonts w:cs="Arial"/>
          <w:szCs w:val="20"/>
        </w:rPr>
      </w:pPr>
    </w:p>
    <w:p w14:paraId="3F04AF12" w14:textId="189CC9EA" w:rsidR="002077F3" w:rsidRPr="003478AF" w:rsidRDefault="002077F3" w:rsidP="00986D40">
      <w:pPr>
        <w:pStyle w:val="ARYCINA"/>
      </w:pPr>
      <w:r w:rsidRPr="003478AF">
        <w:t xml:space="preserve">Ryc. </w:t>
      </w:r>
      <w:r w:rsidR="009F17FB" w:rsidRPr="003478AF">
        <w:t>1</w:t>
      </w:r>
      <w:r w:rsidRPr="003478AF">
        <w:t>.</w:t>
      </w:r>
      <w:r w:rsidRPr="003478AF">
        <w:rPr>
          <w:noProof/>
        </w:rPr>
        <w:fldChar w:fldCharType="begin"/>
      </w:r>
      <w:r w:rsidRPr="003478AF">
        <w:rPr>
          <w:noProof/>
        </w:rPr>
        <w:instrText xml:space="preserve"> SEQ Ryc. \* ARABIC \s 1 </w:instrText>
      </w:r>
      <w:r w:rsidRPr="003478AF">
        <w:rPr>
          <w:noProof/>
        </w:rPr>
        <w:fldChar w:fldCharType="separate"/>
      </w:r>
      <w:r w:rsidR="007B1066">
        <w:rPr>
          <w:noProof/>
        </w:rPr>
        <w:t>2</w:t>
      </w:r>
      <w:r w:rsidRPr="003478AF">
        <w:rPr>
          <w:noProof/>
        </w:rPr>
        <w:fldChar w:fldCharType="end"/>
      </w:r>
      <w:r w:rsidRPr="003478AF">
        <w:t xml:space="preserve"> Dane ludnościowe dla województwa wielkopolskiego</w:t>
      </w:r>
    </w:p>
    <w:p w14:paraId="31BD1304" w14:textId="77777777" w:rsidR="002077F3" w:rsidRPr="003478AF" w:rsidRDefault="002077F3" w:rsidP="002077F3">
      <w:pPr>
        <w:jc w:val="center"/>
        <w:rPr>
          <w:rFonts w:cs="Arial"/>
          <w:szCs w:val="20"/>
        </w:rPr>
      </w:pPr>
      <w:r w:rsidRPr="003478AF">
        <w:rPr>
          <w:rFonts w:cs="Arial"/>
          <w:noProof/>
          <w:lang w:eastAsia="pl-PL"/>
        </w:rPr>
        <w:drawing>
          <wp:inline distT="0" distB="0" distL="0" distR="0" wp14:anchorId="3DC2586D" wp14:editId="63C71AD9">
            <wp:extent cx="3709359" cy="1648494"/>
            <wp:effectExtent l="0" t="0" r="5715" b="8890"/>
            <wp:docPr id="73" name="Obraz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3729585" cy="1657483"/>
                    </a:xfrm>
                    <a:prstGeom prst="rect">
                      <a:avLst/>
                    </a:prstGeom>
                  </pic:spPr>
                </pic:pic>
              </a:graphicData>
            </a:graphic>
          </wp:inline>
        </w:drawing>
      </w:r>
    </w:p>
    <w:p w14:paraId="3D8F5340" w14:textId="5B1D27BB" w:rsidR="002077F3" w:rsidRPr="003478AF" w:rsidRDefault="002077F3" w:rsidP="00986D40">
      <w:pPr>
        <w:pStyle w:val="AZRODLO"/>
      </w:pPr>
      <w:r w:rsidRPr="003478AF">
        <w:t xml:space="preserve">Źródło: </w:t>
      </w:r>
      <w:r w:rsidR="00EA492B" w:rsidRPr="003478AF">
        <w:t>O</w:t>
      </w:r>
      <w:r w:rsidRPr="003478AF">
        <w:t>pracowanie własne na podstawie GUS BDL wg ostatniej dostępnej danej</w:t>
      </w:r>
    </w:p>
    <w:p w14:paraId="3E798D13" w14:textId="77777777" w:rsidR="002077F3" w:rsidRPr="003478AF" w:rsidRDefault="002077F3" w:rsidP="00DD7F53"/>
    <w:p w14:paraId="5825EF09" w14:textId="1F65D905" w:rsidR="002077F3" w:rsidRPr="003478AF" w:rsidRDefault="000C0BED">
      <w:pPr>
        <w:pStyle w:val="Nagwek2"/>
      </w:pPr>
      <w:bookmarkStart w:id="13" w:name="_Toc82159980"/>
      <w:r w:rsidRPr="003478AF">
        <w:t xml:space="preserve">1.3. </w:t>
      </w:r>
      <w:r w:rsidR="002077F3" w:rsidRPr="003478AF">
        <w:t>Infrastruktura</w:t>
      </w:r>
      <w:bookmarkEnd w:id="13"/>
    </w:p>
    <w:p w14:paraId="17821E3F" w14:textId="627C942A" w:rsidR="002077F3" w:rsidRPr="003478AF" w:rsidRDefault="002077F3" w:rsidP="002077F3">
      <w:pPr>
        <w:rPr>
          <w:rFonts w:cs="Arial"/>
          <w:szCs w:val="20"/>
        </w:rPr>
      </w:pPr>
      <w:r w:rsidRPr="003478AF">
        <w:rPr>
          <w:rFonts w:cs="Arial"/>
          <w:szCs w:val="20"/>
        </w:rPr>
        <w:t>Liczba mieszkań przypadająca na 1</w:t>
      </w:r>
      <w:r w:rsidR="00786D3A" w:rsidRPr="003478AF">
        <w:rPr>
          <w:rFonts w:cs="Arial"/>
          <w:szCs w:val="20"/>
        </w:rPr>
        <w:t> 000</w:t>
      </w:r>
      <w:r w:rsidRPr="003478AF">
        <w:rPr>
          <w:rFonts w:cs="Arial"/>
          <w:szCs w:val="20"/>
        </w:rPr>
        <w:t xml:space="preserve"> </w:t>
      </w:r>
      <w:r w:rsidR="00786D3A" w:rsidRPr="003478AF">
        <w:rPr>
          <w:rFonts w:cs="Arial"/>
          <w:szCs w:val="20"/>
        </w:rPr>
        <w:t xml:space="preserve">ludności </w:t>
      </w:r>
      <w:r w:rsidR="00F43D54" w:rsidRPr="003478AF">
        <w:rPr>
          <w:rFonts w:cs="Arial"/>
          <w:szCs w:val="20"/>
        </w:rPr>
        <w:t xml:space="preserve">w 2019 roku </w:t>
      </w:r>
      <w:r w:rsidRPr="003478AF">
        <w:rPr>
          <w:rFonts w:cs="Arial"/>
          <w:szCs w:val="20"/>
        </w:rPr>
        <w:t>wynosiła</w:t>
      </w:r>
      <w:r w:rsidR="00B7457E" w:rsidRPr="003478AF">
        <w:rPr>
          <w:rFonts w:cs="Arial"/>
          <w:szCs w:val="20"/>
        </w:rPr>
        <w:t xml:space="preserve"> w Wielkopolsce</w:t>
      </w:r>
      <w:r w:rsidRPr="003478AF">
        <w:rPr>
          <w:rFonts w:cs="Arial"/>
          <w:szCs w:val="20"/>
        </w:rPr>
        <w:t xml:space="preserve"> 357 obiektów</w:t>
      </w:r>
      <w:r w:rsidR="00EA492B" w:rsidRPr="003478AF">
        <w:rPr>
          <w:rFonts w:cs="Arial"/>
          <w:szCs w:val="20"/>
        </w:rPr>
        <w:t xml:space="preserve"> </w:t>
      </w:r>
      <w:r w:rsidRPr="003478AF">
        <w:rPr>
          <w:rFonts w:cs="Arial"/>
          <w:szCs w:val="20"/>
        </w:rPr>
        <w:t>i była niższa od średniej krajowej, natomiast z roku na rok obserwowany</w:t>
      </w:r>
      <w:r w:rsidR="00F43D54" w:rsidRPr="003478AF">
        <w:rPr>
          <w:rFonts w:cs="Arial"/>
          <w:szCs w:val="20"/>
        </w:rPr>
        <w:t xml:space="preserve"> był</w:t>
      </w:r>
      <w:r w:rsidRPr="003478AF">
        <w:rPr>
          <w:rFonts w:cs="Arial"/>
          <w:szCs w:val="20"/>
        </w:rPr>
        <w:t xml:space="preserve"> stały </w:t>
      </w:r>
      <w:r w:rsidR="00EA492B" w:rsidRPr="003478AF">
        <w:rPr>
          <w:rFonts w:cs="Arial"/>
          <w:szCs w:val="20"/>
        </w:rPr>
        <w:t xml:space="preserve">ich </w:t>
      </w:r>
      <w:r w:rsidRPr="003478AF">
        <w:rPr>
          <w:rFonts w:cs="Arial"/>
          <w:szCs w:val="20"/>
        </w:rPr>
        <w:t>wzrost. W 2019 roku do użytku oddano 22,2 tys. mieszkań, co stanowiło 10,7% obiektów zbudowanych w Polsce. Baza noclegowa wielkopolskiej turystyki stanowiła 5,2%</w:t>
      </w:r>
      <w:r w:rsidR="00F43D54" w:rsidRPr="003478AF">
        <w:rPr>
          <w:rFonts w:cs="Arial"/>
          <w:szCs w:val="20"/>
        </w:rPr>
        <w:t xml:space="preserve"> miejsc</w:t>
      </w:r>
      <w:r w:rsidRPr="003478AF">
        <w:rPr>
          <w:rFonts w:cs="Arial"/>
          <w:szCs w:val="20"/>
        </w:rPr>
        <w:t xml:space="preserve"> </w:t>
      </w:r>
      <w:r w:rsidR="008324B5" w:rsidRPr="003478AF">
        <w:rPr>
          <w:rFonts w:cs="Arial"/>
          <w:szCs w:val="20"/>
        </w:rPr>
        <w:br/>
      </w:r>
      <w:r w:rsidR="00F43D54" w:rsidRPr="003478AF">
        <w:rPr>
          <w:rFonts w:cs="Arial"/>
          <w:szCs w:val="20"/>
        </w:rPr>
        <w:t xml:space="preserve">w </w:t>
      </w:r>
      <w:r w:rsidRPr="003478AF">
        <w:rPr>
          <w:rFonts w:cs="Arial"/>
          <w:szCs w:val="20"/>
        </w:rPr>
        <w:t>kraj</w:t>
      </w:r>
      <w:r w:rsidR="00F43D54" w:rsidRPr="003478AF">
        <w:rPr>
          <w:rFonts w:cs="Arial"/>
          <w:szCs w:val="20"/>
        </w:rPr>
        <w:t>u</w:t>
      </w:r>
      <w:r w:rsidRPr="003478AF">
        <w:rPr>
          <w:rFonts w:cs="Arial"/>
          <w:szCs w:val="20"/>
        </w:rPr>
        <w:t xml:space="preserve"> (42,9 tys. w 2019 r</w:t>
      </w:r>
      <w:r w:rsidR="00EA492B" w:rsidRPr="003478AF">
        <w:rPr>
          <w:rFonts w:cs="Arial"/>
          <w:szCs w:val="20"/>
        </w:rPr>
        <w:t>oku</w:t>
      </w:r>
      <w:r w:rsidRPr="003478AF">
        <w:rPr>
          <w:rFonts w:cs="Arial"/>
          <w:szCs w:val="20"/>
        </w:rPr>
        <w:t>).</w:t>
      </w:r>
    </w:p>
    <w:p w14:paraId="3C4E3BDD" w14:textId="5A2BCD68" w:rsidR="002077F3" w:rsidRPr="003478AF" w:rsidRDefault="00EA492B" w:rsidP="002077F3">
      <w:pPr>
        <w:rPr>
          <w:rFonts w:cs="Arial"/>
          <w:szCs w:val="20"/>
        </w:rPr>
      </w:pPr>
      <w:r w:rsidRPr="003478AF">
        <w:rPr>
          <w:rFonts w:cs="Arial"/>
          <w:szCs w:val="20"/>
        </w:rPr>
        <w:t>W 2019 roku d</w:t>
      </w:r>
      <w:r w:rsidR="002077F3" w:rsidRPr="003478AF">
        <w:rPr>
          <w:rFonts w:cs="Arial"/>
          <w:szCs w:val="20"/>
        </w:rPr>
        <w:t xml:space="preserve">o dyspozycji mieszkańców </w:t>
      </w:r>
      <w:r w:rsidR="00B7457E" w:rsidRPr="003478AF">
        <w:rPr>
          <w:rFonts w:cs="Arial"/>
          <w:szCs w:val="20"/>
        </w:rPr>
        <w:t xml:space="preserve">województwa wielkopolskiego </w:t>
      </w:r>
      <w:r w:rsidR="002077F3" w:rsidRPr="003478AF">
        <w:rPr>
          <w:rFonts w:cs="Arial"/>
          <w:szCs w:val="20"/>
        </w:rPr>
        <w:t>było 32,9 tys. km sieci wodociągowej i 15,1 tys. km sieci kanalizacyjnej. Liczba oczyszczalni komunalnych wynosiła 334, co stanowiło 10,2% ogółu oczyszczalni krajowych. W kwestii gospodarowania odpadami można było wyróżnić 187 punktów selektywnego zbierania odpadów komunalnych.</w:t>
      </w:r>
    </w:p>
    <w:p w14:paraId="071E263A" w14:textId="200F11BA" w:rsidR="007D50F3" w:rsidRPr="003478AF" w:rsidRDefault="002077F3" w:rsidP="002077F3">
      <w:pPr>
        <w:rPr>
          <w:rFonts w:cs="Arial"/>
          <w:szCs w:val="20"/>
        </w:rPr>
      </w:pPr>
      <w:r w:rsidRPr="003478AF">
        <w:rPr>
          <w:rFonts w:cs="Arial"/>
          <w:szCs w:val="20"/>
        </w:rPr>
        <w:t xml:space="preserve">Wielkopolska to obszar położony na skrzyżowaniu istotnych europejskich powiązań komunikacyjnych. </w:t>
      </w:r>
      <w:r w:rsidR="003B3EE0" w:rsidRPr="003478AF">
        <w:rPr>
          <w:rFonts w:cs="Arial"/>
          <w:szCs w:val="20"/>
        </w:rPr>
        <w:t>W 2019 roku p</w:t>
      </w:r>
      <w:r w:rsidRPr="003478AF">
        <w:rPr>
          <w:rFonts w:cs="Arial"/>
          <w:szCs w:val="20"/>
        </w:rPr>
        <w:t xml:space="preserve">rzez obszar województwa przebiegało 9,8% (30,2 tys. km) dróg publicznych kraju (o twardej nawierzchni; miejskie i zamiejskie). Liczba pojazdów osobowych w województwie </w:t>
      </w:r>
      <w:r w:rsidR="00F43D54" w:rsidRPr="003478AF">
        <w:rPr>
          <w:rFonts w:cs="Arial"/>
          <w:szCs w:val="20"/>
        </w:rPr>
        <w:t xml:space="preserve">(2,43 mln) </w:t>
      </w:r>
      <w:r w:rsidRPr="003478AF">
        <w:rPr>
          <w:rFonts w:cs="Arial"/>
          <w:szCs w:val="20"/>
        </w:rPr>
        <w:t xml:space="preserve">stanowiła 10% wszystkich zarejestrowanych w Polsce. W </w:t>
      </w:r>
      <w:r w:rsidR="003B3EE0" w:rsidRPr="003478AF">
        <w:rPr>
          <w:rFonts w:cs="Arial"/>
          <w:szCs w:val="20"/>
        </w:rPr>
        <w:t>regionie</w:t>
      </w:r>
      <w:r w:rsidRPr="003478AF">
        <w:rPr>
          <w:rFonts w:cs="Arial"/>
          <w:szCs w:val="20"/>
        </w:rPr>
        <w:t xml:space="preserve"> na </w:t>
      </w:r>
      <w:r w:rsidR="00786D3A" w:rsidRPr="003478AF">
        <w:rPr>
          <w:rFonts w:cs="Arial"/>
          <w:szCs w:val="20"/>
        </w:rPr>
        <w:t>1 000</w:t>
      </w:r>
      <w:r w:rsidRPr="003478AF">
        <w:rPr>
          <w:rFonts w:cs="Arial"/>
          <w:szCs w:val="20"/>
        </w:rPr>
        <w:t xml:space="preserve"> mieszkańców przypada</w:t>
      </w:r>
      <w:r w:rsidR="00080CF0" w:rsidRPr="003478AF">
        <w:rPr>
          <w:rFonts w:cs="Arial"/>
          <w:szCs w:val="20"/>
        </w:rPr>
        <w:t>ło</w:t>
      </w:r>
      <w:r w:rsidRPr="003478AF">
        <w:rPr>
          <w:rFonts w:cs="Arial"/>
          <w:szCs w:val="20"/>
        </w:rPr>
        <w:t xml:space="preserve"> 695 samochodów osobowych, przy średniej krajowej 635 sztuk. Ponadto eksploatowanych było 1</w:t>
      </w:r>
      <w:r w:rsidR="00B7457E" w:rsidRPr="003478AF">
        <w:rPr>
          <w:rFonts w:cs="Arial"/>
          <w:szCs w:val="20"/>
        </w:rPr>
        <w:t> </w:t>
      </w:r>
      <w:r w:rsidRPr="003478AF">
        <w:rPr>
          <w:rFonts w:cs="Arial"/>
          <w:szCs w:val="20"/>
        </w:rPr>
        <w:t>889 km linii kolejowych</w:t>
      </w:r>
      <w:r w:rsidR="003B3EE0" w:rsidRPr="003478AF">
        <w:rPr>
          <w:rFonts w:cs="Arial"/>
          <w:szCs w:val="20"/>
        </w:rPr>
        <w:t>,</w:t>
      </w:r>
      <w:r w:rsidRPr="003478AF">
        <w:rPr>
          <w:rFonts w:cs="Arial"/>
          <w:szCs w:val="20"/>
        </w:rPr>
        <w:t xml:space="preserve"> co stanowiło 9,7% używanych linii kolejowych w kraju.</w:t>
      </w:r>
    </w:p>
    <w:p w14:paraId="7D27BDF2" w14:textId="77777777" w:rsidR="007D50F3" w:rsidRPr="003478AF" w:rsidRDefault="007D50F3">
      <w:pPr>
        <w:spacing w:line="240" w:lineRule="auto"/>
        <w:ind w:firstLine="0"/>
        <w:jc w:val="left"/>
        <w:rPr>
          <w:rFonts w:cs="Arial"/>
          <w:szCs w:val="20"/>
        </w:rPr>
      </w:pPr>
      <w:r w:rsidRPr="003478AF">
        <w:rPr>
          <w:rFonts w:cs="Arial"/>
          <w:szCs w:val="20"/>
        </w:rPr>
        <w:br w:type="page"/>
      </w:r>
    </w:p>
    <w:p w14:paraId="52FFE4F1" w14:textId="6589DBF3" w:rsidR="002077F3" w:rsidRPr="003478AF" w:rsidRDefault="000C0BED">
      <w:pPr>
        <w:pStyle w:val="Nagwek2"/>
      </w:pPr>
      <w:bookmarkStart w:id="14" w:name="_Toc82159981"/>
      <w:r w:rsidRPr="003478AF">
        <w:lastRenderedPageBreak/>
        <w:t xml:space="preserve">1.4. </w:t>
      </w:r>
      <w:r w:rsidR="002077F3" w:rsidRPr="003478AF">
        <w:t>Infrastruktura edukacyjna</w:t>
      </w:r>
      <w:bookmarkEnd w:id="14"/>
    </w:p>
    <w:p w14:paraId="71D0B2D9" w14:textId="2AC9AC24" w:rsidR="009957C8" w:rsidRPr="003478AF" w:rsidRDefault="009957C8" w:rsidP="002077F3">
      <w:pPr>
        <w:rPr>
          <w:rFonts w:eastAsia="Times New Roman" w:cs="Arial"/>
          <w:szCs w:val="20"/>
          <w:lang w:eastAsia="pl-PL"/>
        </w:rPr>
      </w:pPr>
      <w:r w:rsidRPr="003478AF">
        <w:rPr>
          <w:rFonts w:eastAsia="Times New Roman" w:cs="Arial"/>
          <w:szCs w:val="20"/>
          <w:lang w:eastAsia="pl-PL"/>
        </w:rPr>
        <w:t xml:space="preserve">Wielkopolskę cechuje wysoki potencjał edukacyjny ze względu na </w:t>
      </w:r>
      <w:r w:rsidR="00825DE7" w:rsidRPr="003478AF">
        <w:rPr>
          <w:rFonts w:eastAsia="Times New Roman" w:cs="Arial"/>
          <w:szCs w:val="20"/>
          <w:lang w:eastAsia="pl-PL"/>
        </w:rPr>
        <w:t xml:space="preserve">liczbę </w:t>
      </w:r>
      <w:r w:rsidRPr="003478AF">
        <w:rPr>
          <w:rFonts w:eastAsia="Times New Roman" w:cs="Arial"/>
          <w:szCs w:val="20"/>
          <w:lang w:eastAsia="pl-PL"/>
        </w:rPr>
        <w:t>i zróżnicowanie jednostek kształcących, obejmujących szkolnictwo podstawowe, ponadpodstawowe i wyższe. W roku szkolnym 2019/2020 w regionie funkcjonowało 2 176 placówek powyższych szczebli kształcenia.</w:t>
      </w:r>
    </w:p>
    <w:p w14:paraId="6403512D" w14:textId="7100FFDC" w:rsidR="002077F3" w:rsidRPr="003478AF" w:rsidRDefault="009957C8" w:rsidP="002077F3">
      <w:pPr>
        <w:rPr>
          <w:rFonts w:eastAsia="Times New Roman" w:cs="Arial"/>
          <w:szCs w:val="20"/>
          <w:lang w:eastAsia="pl-PL"/>
        </w:rPr>
      </w:pPr>
      <w:r w:rsidRPr="003478AF">
        <w:rPr>
          <w:rFonts w:eastAsia="Times New Roman" w:cs="Arial"/>
          <w:szCs w:val="20"/>
          <w:lang w:eastAsia="pl-PL"/>
        </w:rPr>
        <w:t>W województwie znajdowały się 32 uczelnie wyższe. Głównym centrum akademickim jest miasto Poznań. Liczba szkół ponadpodstawowych w regionie zmniejszyła się. Wyróżnić można było 127 szkół dla dorosłych, 137 szkół policealnych i 159 techników. Jedynie licea ogólnokształcące wykazywały tendencję wzrostową z liczbą 190 placówek oraz szkoły branżowe (162 jednostki). Pozostałą grupę stanowiły szkoły specjalnie przysposabiające do pracy (49 placówek) oraz artystyczne ogólnokształcące (6 szkół). Liczba szkół podstawowych wynosiła 1</w:t>
      </w:r>
      <w:r w:rsidR="00B7457E" w:rsidRPr="003478AF">
        <w:rPr>
          <w:rFonts w:eastAsia="Times New Roman" w:cs="Arial"/>
          <w:szCs w:val="20"/>
          <w:lang w:eastAsia="pl-PL"/>
        </w:rPr>
        <w:t> </w:t>
      </w:r>
      <w:r w:rsidRPr="003478AF">
        <w:rPr>
          <w:rFonts w:eastAsia="Times New Roman" w:cs="Arial"/>
          <w:szCs w:val="20"/>
          <w:lang w:eastAsia="pl-PL"/>
        </w:rPr>
        <w:t xml:space="preserve">314 placówki, z czego większość umiejscowiona była na obszarach wiejskich (812 jednostek). </w:t>
      </w:r>
    </w:p>
    <w:p w14:paraId="4E64A0BE" w14:textId="77777777" w:rsidR="007D50F3" w:rsidRPr="003478AF" w:rsidRDefault="007D50F3" w:rsidP="002077F3">
      <w:pPr>
        <w:rPr>
          <w:rFonts w:cs="Arial"/>
          <w:szCs w:val="20"/>
        </w:rPr>
      </w:pPr>
    </w:p>
    <w:p w14:paraId="6E4E1BF6" w14:textId="6EF94090" w:rsidR="002077F3" w:rsidRPr="003478AF" w:rsidRDefault="000C0BED">
      <w:pPr>
        <w:pStyle w:val="Nagwek2"/>
      </w:pPr>
      <w:bookmarkStart w:id="15" w:name="_Toc82159982"/>
      <w:r w:rsidRPr="003478AF">
        <w:t xml:space="preserve">1.5. </w:t>
      </w:r>
      <w:r w:rsidR="002077F3" w:rsidRPr="003478AF">
        <w:t>Sektory gospodarki</w:t>
      </w:r>
      <w:bookmarkEnd w:id="15"/>
    </w:p>
    <w:p w14:paraId="4593ACCB" w14:textId="7D961656" w:rsidR="002077F3" w:rsidRPr="003478AF" w:rsidRDefault="002077F3" w:rsidP="002077F3">
      <w:pPr>
        <w:rPr>
          <w:rFonts w:cs="Arial"/>
          <w:szCs w:val="20"/>
        </w:rPr>
      </w:pPr>
      <w:r w:rsidRPr="003478AF">
        <w:rPr>
          <w:rFonts w:cs="Arial"/>
          <w:szCs w:val="20"/>
        </w:rPr>
        <w:t>W 2020 roku większość funkcjonujących na obszarze województwa wielkopolskiego podmiotów gospodarczych</w:t>
      </w:r>
      <w:r w:rsidR="00B7457E" w:rsidRPr="003478AF">
        <w:rPr>
          <w:rFonts w:cs="Arial"/>
          <w:szCs w:val="20"/>
        </w:rPr>
        <w:t>,</w:t>
      </w:r>
      <w:r w:rsidRPr="003478AF">
        <w:rPr>
          <w:rFonts w:cs="Arial"/>
          <w:szCs w:val="20"/>
        </w:rPr>
        <w:t xml:space="preserve"> </w:t>
      </w:r>
      <w:r w:rsidR="00B7457E" w:rsidRPr="003478AF">
        <w:rPr>
          <w:rFonts w:cs="Arial"/>
          <w:szCs w:val="20"/>
        </w:rPr>
        <w:t xml:space="preserve">podobnie jak w latach poprzednich, </w:t>
      </w:r>
      <w:r w:rsidRPr="003478AF">
        <w:rPr>
          <w:rFonts w:cs="Arial"/>
          <w:szCs w:val="20"/>
        </w:rPr>
        <w:t>reprezentowało sektor u</w:t>
      </w:r>
      <w:r w:rsidR="00B7457E" w:rsidRPr="003478AF">
        <w:rPr>
          <w:rFonts w:cs="Arial"/>
          <w:szCs w:val="20"/>
        </w:rPr>
        <w:t>sług (73,3%; 338 096 podmiotów)</w:t>
      </w:r>
      <w:r w:rsidRPr="003478AF">
        <w:rPr>
          <w:rFonts w:cs="Arial"/>
          <w:szCs w:val="20"/>
        </w:rPr>
        <w:t xml:space="preserve">. Pozostała część </w:t>
      </w:r>
      <w:r w:rsidR="003B3EE0" w:rsidRPr="003478AF">
        <w:rPr>
          <w:rFonts w:cs="Arial"/>
          <w:szCs w:val="20"/>
        </w:rPr>
        <w:t>przedsiębiorstw</w:t>
      </w:r>
      <w:r w:rsidRPr="003478AF">
        <w:rPr>
          <w:rFonts w:cs="Arial"/>
          <w:szCs w:val="20"/>
        </w:rPr>
        <w:t xml:space="preserve"> związana była z sektorem przemysłu i budownictwa (24,4%; 112 606 podmiotów) oraz z sektorem rolnictwa, leśnictwa, łowiectwa i rybactwa (2,3%; 10 523 podmioty</w:t>
      </w:r>
      <w:r w:rsidR="003B3EE0" w:rsidRPr="003478AF">
        <w:rPr>
          <w:rFonts w:cs="Arial"/>
          <w:szCs w:val="20"/>
        </w:rPr>
        <w:t xml:space="preserve">, </w:t>
      </w:r>
      <w:r w:rsidR="00381971" w:rsidRPr="003478AF">
        <w:rPr>
          <w:rFonts w:cs="Arial"/>
          <w:szCs w:val="20"/>
        </w:rPr>
        <w:t>ryc.</w:t>
      </w:r>
      <w:r w:rsidRPr="003478AF">
        <w:rPr>
          <w:rFonts w:cs="Arial"/>
          <w:szCs w:val="20"/>
        </w:rPr>
        <w:t xml:space="preserve">1.3). Podobnie jak w kraju, w </w:t>
      </w:r>
      <w:r w:rsidR="00B241A8" w:rsidRPr="003478AF">
        <w:rPr>
          <w:rFonts w:cs="Arial"/>
          <w:szCs w:val="20"/>
        </w:rPr>
        <w:t xml:space="preserve">regionie </w:t>
      </w:r>
      <w:r w:rsidRPr="003478AF">
        <w:rPr>
          <w:rFonts w:cs="Arial"/>
          <w:szCs w:val="20"/>
        </w:rPr>
        <w:t>zaobserwowano stopniowy spadek udziału sektora rolnictwa, leśnictwa, łowiectwa i rybactwa, głównie na rzecz wzrostu udziału sektora usług. Wielkopolska nadal charakteryzowała się niższym niż średnia krajow</w:t>
      </w:r>
      <w:r w:rsidR="00B7457E" w:rsidRPr="003478AF">
        <w:rPr>
          <w:rFonts w:cs="Arial"/>
          <w:szCs w:val="20"/>
        </w:rPr>
        <w:t>a</w:t>
      </w:r>
      <w:r w:rsidRPr="003478AF">
        <w:rPr>
          <w:rFonts w:cs="Arial"/>
          <w:szCs w:val="20"/>
        </w:rPr>
        <w:t xml:space="preserve"> udziałem sektora usług (Polska – 76,1%), natomiast wyższymi udziałami sektorów przemysłu i budownictwa (średnio w kraju – 22,4%) oraz rolnictwa, leśnictwa, łowiectwa i rybactwa (Polska – 1,5%).</w:t>
      </w:r>
    </w:p>
    <w:p w14:paraId="4D58CE79" w14:textId="77777777" w:rsidR="002077F3" w:rsidRPr="003478AF" w:rsidRDefault="002077F3" w:rsidP="002077F3">
      <w:pPr>
        <w:rPr>
          <w:rFonts w:cs="Arial"/>
          <w:szCs w:val="20"/>
        </w:rPr>
      </w:pPr>
    </w:p>
    <w:p w14:paraId="62F5D2EB" w14:textId="45E8E356" w:rsidR="002077F3" w:rsidRPr="003478AF" w:rsidRDefault="002077F3" w:rsidP="00986D40">
      <w:pPr>
        <w:pStyle w:val="ARYCINA"/>
      </w:pPr>
      <w:r w:rsidRPr="003478AF">
        <w:t>Ryc.</w:t>
      </w:r>
      <w:r w:rsidR="009F17FB" w:rsidRPr="003478AF">
        <w:t xml:space="preserve"> </w:t>
      </w:r>
      <w:r w:rsidR="009F17FB" w:rsidRPr="003478AF">
        <w:rPr>
          <w:noProof/>
        </w:rPr>
        <w:t>1</w:t>
      </w:r>
      <w:r w:rsidRPr="003478AF">
        <w:t>.</w:t>
      </w:r>
      <w:r w:rsidRPr="003478AF">
        <w:rPr>
          <w:noProof/>
        </w:rPr>
        <w:fldChar w:fldCharType="begin"/>
      </w:r>
      <w:r w:rsidRPr="003478AF">
        <w:rPr>
          <w:noProof/>
        </w:rPr>
        <w:instrText xml:space="preserve"> SEQ Ryc. \* ARABIC \s 1 </w:instrText>
      </w:r>
      <w:r w:rsidRPr="003478AF">
        <w:rPr>
          <w:noProof/>
        </w:rPr>
        <w:fldChar w:fldCharType="separate"/>
      </w:r>
      <w:r w:rsidR="007B1066">
        <w:rPr>
          <w:noProof/>
        </w:rPr>
        <w:t>3</w:t>
      </w:r>
      <w:r w:rsidRPr="003478AF">
        <w:rPr>
          <w:noProof/>
        </w:rPr>
        <w:fldChar w:fldCharType="end"/>
      </w:r>
      <w:r w:rsidRPr="003478AF">
        <w:t xml:space="preserve"> Struktura podmiotów gospodarczych według sektorów gospodarki </w:t>
      </w:r>
      <w:r w:rsidR="00F03959" w:rsidRPr="003478AF">
        <w:br/>
      </w:r>
      <w:r w:rsidRPr="003478AF">
        <w:t xml:space="preserve">w </w:t>
      </w:r>
      <w:r w:rsidR="00825DE7" w:rsidRPr="003478AF">
        <w:t>województwie w</w:t>
      </w:r>
      <w:r w:rsidRPr="003478AF">
        <w:t>ielkopols</w:t>
      </w:r>
      <w:r w:rsidR="00825DE7" w:rsidRPr="003478AF">
        <w:t>kim w 2020 roku</w:t>
      </w:r>
    </w:p>
    <w:p w14:paraId="0BA96ED8" w14:textId="77777777" w:rsidR="002077F3" w:rsidRPr="003478AF" w:rsidRDefault="002077F3" w:rsidP="00824E64">
      <w:pPr>
        <w:jc w:val="center"/>
        <w:rPr>
          <w:rFonts w:cs="Arial"/>
        </w:rPr>
      </w:pPr>
      <w:r w:rsidRPr="003478AF">
        <w:rPr>
          <w:rFonts w:cs="Arial"/>
          <w:noProof/>
          <w:lang w:eastAsia="pl-PL"/>
        </w:rPr>
        <w:drawing>
          <wp:inline distT="0" distB="0" distL="0" distR="0" wp14:anchorId="685DDB15" wp14:editId="5D9178A7">
            <wp:extent cx="3360420" cy="1975000"/>
            <wp:effectExtent l="0" t="0" r="0" b="0"/>
            <wp:docPr id="74" name="Obraz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8">
                      <a:extLst>
                        <a:ext uri="{28A0092B-C50C-407E-A947-70E740481C1C}">
                          <a14:useLocalDpi xmlns:a14="http://schemas.microsoft.com/office/drawing/2010/main" val="0"/>
                        </a:ext>
                      </a:extLst>
                    </a:blip>
                    <a:srcRect l="22580" t="9558" r="7789" b="24922"/>
                    <a:stretch/>
                  </pic:blipFill>
                  <pic:spPr bwMode="auto">
                    <a:xfrm>
                      <a:off x="0" y="0"/>
                      <a:ext cx="3361676" cy="1975738"/>
                    </a:xfrm>
                    <a:prstGeom prst="rect">
                      <a:avLst/>
                    </a:prstGeom>
                    <a:noFill/>
                    <a:ln>
                      <a:noFill/>
                    </a:ln>
                    <a:extLst>
                      <a:ext uri="{53640926-AAD7-44D8-BBD7-CCE9431645EC}">
                        <a14:shadowObscured xmlns:a14="http://schemas.microsoft.com/office/drawing/2010/main"/>
                      </a:ext>
                    </a:extLst>
                  </pic:spPr>
                </pic:pic>
              </a:graphicData>
            </a:graphic>
          </wp:inline>
        </w:drawing>
      </w:r>
    </w:p>
    <w:p w14:paraId="7D7E679F" w14:textId="6CB5F165" w:rsidR="002077F3" w:rsidRPr="003478AF" w:rsidRDefault="002077F3" w:rsidP="00986D40">
      <w:pPr>
        <w:pStyle w:val="AZRODLO"/>
      </w:pPr>
      <w:r w:rsidRPr="003478AF">
        <w:t xml:space="preserve">Źródło: </w:t>
      </w:r>
      <w:r w:rsidR="003B3EE0" w:rsidRPr="003478AF">
        <w:t>O</w:t>
      </w:r>
      <w:r w:rsidRPr="003478AF">
        <w:t>pracowanie własne na podstawie GUS BDL</w:t>
      </w:r>
    </w:p>
    <w:p w14:paraId="755A48DA" w14:textId="77777777" w:rsidR="002077F3" w:rsidRPr="003478AF" w:rsidRDefault="002077F3" w:rsidP="00BA78EA">
      <w:pPr>
        <w:ind w:firstLine="0"/>
        <w:rPr>
          <w:rFonts w:cs="Arial"/>
          <w:b/>
          <w:bCs/>
          <w:szCs w:val="20"/>
        </w:rPr>
      </w:pPr>
    </w:p>
    <w:p w14:paraId="06FFB360" w14:textId="77777777" w:rsidR="007D50F3" w:rsidRPr="003478AF" w:rsidRDefault="007D50F3">
      <w:pPr>
        <w:spacing w:line="240" w:lineRule="auto"/>
        <w:ind w:firstLine="0"/>
        <w:jc w:val="left"/>
        <w:rPr>
          <w:rFonts w:cs="Arial"/>
          <w:szCs w:val="20"/>
        </w:rPr>
      </w:pPr>
      <w:r w:rsidRPr="003478AF">
        <w:rPr>
          <w:rFonts w:cs="Arial"/>
          <w:szCs w:val="20"/>
        </w:rPr>
        <w:br w:type="page"/>
      </w:r>
    </w:p>
    <w:p w14:paraId="23A9CA69" w14:textId="31466ACE" w:rsidR="002077F3" w:rsidRPr="003478AF" w:rsidRDefault="002077F3" w:rsidP="002077F3">
      <w:pPr>
        <w:rPr>
          <w:rFonts w:cs="Arial"/>
          <w:szCs w:val="20"/>
        </w:rPr>
      </w:pPr>
      <w:r w:rsidRPr="003478AF">
        <w:rPr>
          <w:rFonts w:cs="Arial"/>
          <w:szCs w:val="20"/>
        </w:rPr>
        <w:lastRenderedPageBreak/>
        <w:t xml:space="preserve">Wielkopolska to jeden z najważniejszych w Polsce regionów rolniczych </w:t>
      </w:r>
      <w:r w:rsidR="00BA2801" w:rsidRPr="003478AF">
        <w:rPr>
          <w:rFonts w:cs="Arial"/>
          <w:szCs w:val="20"/>
        </w:rPr>
        <w:t>–</w:t>
      </w:r>
      <w:r w:rsidR="00F27B15" w:rsidRPr="003478AF">
        <w:rPr>
          <w:rFonts w:cs="Arial"/>
          <w:szCs w:val="20"/>
        </w:rPr>
        <w:t xml:space="preserve"> </w:t>
      </w:r>
      <w:r w:rsidR="00BA2801" w:rsidRPr="003478AF">
        <w:rPr>
          <w:rFonts w:cs="Arial"/>
          <w:szCs w:val="20"/>
        </w:rPr>
        <w:t xml:space="preserve">w 2020 roku </w:t>
      </w:r>
      <w:r w:rsidR="00F27B15" w:rsidRPr="003478AF">
        <w:rPr>
          <w:rFonts w:cs="Arial"/>
          <w:szCs w:val="20"/>
        </w:rPr>
        <w:t>65</w:t>
      </w:r>
      <w:r w:rsidRPr="003478AF">
        <w:rPr>
          <w:rFonts w:cs="Arial"/>
          <w:szCs w:val="20"/>
        </w:rPr>
        <w:t>,7%</w:t>
      </w:r>
      <w:r w:rsidR="00B7457E" w:rsidRPr="003478AF">
        <w:rPr>
          <w:rFonts w:cs="Arial"/>
          <w:szCs w:val="20"/>
        </w:rPr>
        <w:t xml:space="preserve"> jej</w:t>
      </w:r>
      <w:r w:rsidRPr="003478AF">
        <w:rPr>
          <w:rFonts w:cs="Arial"/>
          <w:szCs w:val="20"/>
        </w:rPr>
        <w:t xml:space="preserve"> powierzchni zajmowały użytki rolne</w:t>
      </w:r>
      <w:r w:rsidR="00F27B15" w:rsidRPr="003478AF">
        <w:rPr>
          <w:rFonts w:cs="Arial"/>
          <w:szCs w:val="20"/>
        </w:rPr>
        <w:t xml:space="preserve"> (1</w:t>
      </w:r>
      <w:r w:rsidRPr="003478AF">
        <w:rPr>
          <w:rFonts w:cs="Arial"/>
          <w:szCs w:val="20"/>
        </w:rPr>
        <w:t>0,2% użytków rolnych kraju</w:t>
      </w:r>
      <w:r w:rsidR="00F27B15" w:rsidRPr="003478AF">
        <w:rPr>
          <w:rFonts w:cs="Arial"/>
          <w:szCs w:val="20"/>
        </w:rPr>
        <w:t>)</w:t>
      </w:r>
      <w:r w:rsidRPr="003478AF">
        <w:rPr>
          <w:rFonts w:cs="Arial"/>
          <w:szCs w:val="20"/>
        </w:rPr>
        <w:t xml:space="preserve">. W rolnictwie preferowana była uprawa zbóż, a kierunkiem rozwojowym poszerzanie obszaru upraw intensywnych. Przykładowo zbiory zboża wynosiły </w:t>
      </w:r>
      <w:r w:rsidR="00457E87" w:rsidRPr="003478AF">
        <w:rPr>
          <w:rFonts w:cs="Arial"/>
          <w:szCs w:val="20"/>
        </w:rPr>
        <w:t xml:space="preserve">w 2019 roku </w:t>
      </w:r>
      <w:r w:rsidRPr="003478AF">
        <w:rPr>
          <w:rFonts w:cs="Arial"/>
          <w:szCs w:val="20"/>
        </w:rPr>
        <w:t>3</w:t>
      </w:r>
      <w:r w:rsidR="00C179B0" w:rsidRPr="003478AF">
        <w:rPr>
          <w:rFonts w:cs="Arial"/>
          <w:szCs w:val="20"/>
        </w:rPr>
        <w:t> </w:t>
      </w:r>
      <w:r w:rsidRPr="003478AF">
        <w:rPr>
          <w:rFonts w:cs="Arial"/>
          <w:szCs w:val="20"/>
        </w:rPr>
        <w:t xml:space="preserve">843,8 tys. ton, co stanowiło 13,3% zbiorów </w:t>
      </w:r>
      <w:r w:rsidR="00C179B0" w:rsidRPr="003478AF">
        <w:rPr>
          <w:rFonts w:cs="Arial"/>
          <w:szCs w:val="20"/>
        </w:rPr>
        <w:t xml:space="preserve">w </w:t>
      </w:r>
      <w:r w:rsidRPr="003478AF">
        <w:rPr>
          <w:rFonts w:cs="Arial"/>
          <w:szCs w:val="20"/>
        </w:rPr>
        <w:t xml:space="preserve">kraju. Istotnym elementem była także uprawa warzyw, której poziom był wyższy niż przeciętny </w:t>
      </w:r>
      <w:r w:rsidR="00B24E1C" w:rsidRPr="003478AF">
        <w:rPr>
          <w:rFonts w:cs="Arial"/>
          <w:szCs w:val="20"/>
        </w:rPr>
        <w:t>w</w:t>
      </w:r>
      <w:r w:rsidR="00C179B0" w:rsidRPr="003478AF">
        <w:rPr>
          <w:rFonts w:cs="Arial"/>
          <w:szCs w:val="20"/>
        </w:rPr>
        <w:t xml:space="preserve"> </w:t>
      </w:r>
      <w:r w:rsidRPr="003478AF">
        <w:rPr>
          <w:rFonts w:cs="Arial"/>
          <w:szCs w:val="20"/>
        </w:rPr>
        <w:t>kraju</w:t>
      </w:r>
      <w:r w:rsidRPr="003478AF">
        <w:rPr>
          <w:rStyle w:val="Odwoanieprzypisudolnego"/>
          <w:rFonts w:cs="Arial"/>
          <w:szCs w:val="20"/>
        </w:rPr>
        <w:footnoteReference w:id="10"/>
      </w:r>
      <w:r w:rsidRPr="003478AF">
        <w:rPr>
          <w:rFonts w:cs="Arial"/>
          <w:szCs w:val="20"/>
        </w:rPr>
        <w:t xml:space="preserve">. Szczególna koncentracja tego rodzaju upraw miała miejsce </w:t>
      </w:r>
      <w:r w:rsidR="008324B5" w:rsidRPr="003478AF">
        <w:rPr>
          <w:rFonts w:cs="Arial"/>
          <w:szCs w:val="20"/>
        </w:rPr>
        <w:br/>
      </w:r>
      <w:r w:rsidRPr="003478AF">
        <w:rPr>
          <w:rFonts w:cs="Arial"/>
          <w:szCs w:val="20"/>
        </w:rPr>
        <w:t xml:space="preserve">w okolicach Poznania </w:t>
      </w:r>
      <w:r w:rsidR="00B24E1C" w:rsidRPr="003478AF">
        <w:rPr>
          <w:rFonts w:cs="Arial"/>
          <w:szCs w:val="20"/>
        </w:rPr>
        <w:t>i</w:t>
      </w:r>
      <w:r w:rsidR="00C179B0" w:rsidRPr="003478AF">
        <w:rPr>
          <w:rFonts w:cs="Arial"/>
          <w:szCs w:val="20"/>
        </w:rPr>
        <w:t xml:space="preserve"> </w:t>
      </w:r>
      <w:r w:rsidRPr="003478AF">
        <w:rPr>
          <w:rFonts w:cs="Arial"/>
          <w:szCs w:val="20"/>
        </w:rPr>
        <w:t>Kalisza, gdzie znaczna ich ilość uprawiana jest pod osłonami, a także w subregionie leszczyńskim. Zbiory warzyw gruntowych w 2019 roku stanowiły 11,6% zbiorów krajowych, natomiast ziemniaków 12,1%.</w:t>
      </w:r>
    </w:p>
    <w:p w14:paraId="57EC9935" w14:textId="77777777" w:rsidR="009C441C" w:rsidRPr="003478AF" w:rsidRDefault="009C441C" w:rsidP="006D69D8"/>
    <w:p w14:paraId="43C6D152" w14:textId="6105AAEE" w:rsidR="002077F3" w:rsidRPr="003478AF" w:rsidRDefault="000C0BED">
      <w:pPr>
        <w:pStyle w:val="Nagwek2"/>
      </w:pPr>
      <w:bookmarkStart w:id="16" w:name="_Toc82159983"/>
      <w:r w:rsidRPr="003478AF">
        <w:t xml:space="preserve">1.6. </w:t>
      </w:r>
      <w:r w:rsidR="002077F3" w:rsidRPr="003478AF">
        <w:t>Podmioty gospodarki</w:t>
      </w:r>
      <w:bookmarkEnd w:id="16"/>
    </w:p>
    <w:p w14:paraId="3D5912F4" w14:textId="01E3E904" w:rsidR="002077F3" w:rsidRPr="003478AF" w:rsidRDefault="002077F3" w:rsidP="002077F3">
      <w:pPr>
        <w:rPr>
          <w:rFonts w:cs="Arial"/>
          <w:szCs w:val="20"/>
        </w:rPr>
      </w:pPr>
      <w:r w:rsidRPr="003478AF">
        <w:rPr>
          <w:rFonts w:cs="Arial"/>
          <w:szCs w:val="20"/>
        </w:rPr>
        <w:t xml:space="preserve">Liczba nowo zarejestrowanych podmiotów gospodarki narodowej </w:t>
      </w:r>
      <w:r w:rsidR="00AA6F54" w:rsidRPr="003478AF">
        <w:rPr>
          <w:rFonts w:cs="Arial"/>
          <w:szCs w:val="20"/>
        </w:rPr>
        <w:t xml:space="preserve">w 2020 roku </w:t>
      </w:r>
      <w:r w:rsidR="00457E87" w:rsidRPr="003478AF">
        <w:rPr>
          <w:rFonts w:cs="Arial"/>
          <w:szCs w:val="20"/>
        </w:rPr>
        <w:br/>
      </w:r>
      <w:r w:rsidRPr="003478AF">
        <w:rPr>
          <w:rFonts w:cs="Arial"/>
          <w:szCs w:val="20"/>
        </w:rPr>
        <w:t>w Wielkopolsce wynosiła 32</w:t>
      </w:r>
      <w:r w:rsidR="00C179B0" w:rsidRPr="003478AF">
        <w:rPr>
          <w:rFonts w:cs="Arial"/>
          <w:szCs w:val="20"/>
        </w:rPr>
        <w:t> </w:t>
      </w:r>
      <w:r w:rsidRPr="003478AF">
        <w:rPr>
          <w:rFonts w:cs="Arial"/>
          <w:szCs w:val="20"/>
        </w:rPr>
        <w:t xml:space="preserve">250, co stanowiło drugi najwyższy wynik w skali kraju </w:t>
      </w:r>
      <w:r w:rsidR="00AA6F54" w:rsidRPr="003478AF">
        <w:rPr>
          <w:rFonts w:cs="Arial"/>
          <w:szCs w:val="20"/>
        </w:rPr>
        <w:t>(za woj</w:t>
      </w:r>
      <w:r w:rsidR="00C179B0" w:rsidRPr="003478AF">
        <w:rPr>
          <w:rFonts w:cs="Arial"/>
          <w:szCs w:val="20"/>
        </w:rPr>
        <w:t>ewództwem</w:t>
      </w:r>
      <w:r w:rsidR="00AA6F54" w:rsidRPr="003478AF">
        <w:rPr>
          <w:rFonts w:cs="Arial"/>
          <w:szCs w:val="20"/>
        </w:rPr>
        <w:t xml:space="preserve"> mazowieckim – 61 837)</w:t>
      </w:r>
      <w:r w:rsidRPr="003478AF">
        <w:rPr>
          <w:rFonts w:cs="Arial"/>
          <w:szCs w:val="20"/>
        </w:rPr>
        <w:t xml:space="preserve">, pomimo tendencji spadkowej zaobserwowanej </w:t>
      </w:r>
      <w:r w:rsidR="008324B5" w:rsidRPr="003478AF">
        <w:rPr>
          <w:rFonts w:cs="Arial"/>
          <w:szCs w:val="20"/>
        </w:rPr>
        <w:br/>
      </w:r>
      <w:r w:rsidRPr="003478AF">
        <w:rPr>
          <w:rFonts w:cs="Arial"/>
          <w:szCs w:val="20"/>
        </w:rPr>
        <w:t>w całym kraju. W</w:t>
      </w:r>
      <w:r w:rsidR="00AA6F54" w:rsidRPr="003478AF">
        <w:rPr>
          <w:rFonts w:cs="Arial"/>
          <w:szCs w:val="20"/>
        </w:rPr>
        <w:t>edług</w:t>
      </w:r>
      <w:r w:rsidRPr="003478AF">
        <w:rPr>
          <w:rFonts w:cs="Arial"/>
          <w:szCs w:val="20"/>
        </w:rPr>
        <w:t xml:space="preserve"> rejestr</w:t>
      </w:r>
      <w:r w:rsidR="00AA6F54" w:rsidRPr="003478AF">
        <w:rPr>
          <w:rFonts w:cs="Arial"/>
          <w:szCs w:val="20"/>
        </w:rPr>
        <w:t>u</w:t>
      </w:r>
      <w:r w:rsidRPr="003478AF">
        <w:rPr>
          <w:rFonts w:cs="Arial"/>
          <w:szCs w:val="20"/>
        </w:rPr>
        <w:t xml:space="preserve"> REGON </w:t>
      </w:r>
      <w:r w:rsidR="00AA6F54" w:rsidRPr="003478AF">
        <w:rPr>
          <w:rFonts w:cs="Arial"/>
          <w:szCs w:val="20"/>
        </w:rPr>
        <w:t xml:space="preserve">na terenie regionu </w:t>
      </w:r>
      <w:r w:rsidRPr="003478AF">
        <w:rPr>
          <w:rFonts w:cs="Arial"/>
          <w:szCs w:val="20"/>
        </w:rPr>
        <w:t xml:space="preserve">znajdowało się </w:t>
      </w:r>
      <w:r w:rsidR="00AA6F54" w:rsidRPr="003478AF">
        <w:rPr>
          <w:rFonts w:cs="Arial"/>
          <w:szCs w:val="20"/>
        </w:rPr>
        <w:t xml:space="preserve">łącznie </w:t>
      </w:r>
      <w:r w:rsidR="00457E87" w:rsidRPr="003478AF">
        <w:rPr>
          <w:rFonts w:cs="Arial"/>
          <w:szCs w:val="20"/>
        </w:rPr>
        <w:t>461 </w:t>
      </w:r>
      <w:r w:rsidRPr="003478AF">
        <w:rPr>
          <w:rFonts w:cs="Arial"/>
          <w:szCs w:val="20"/>
        </w:rPr>
        <w:t xml:space="preserve">225 podmiotów. Średnio sześć podmiotów na 10 tys. mieszkańców </w:t>
      </w:r>
      <w:r w:rsidR="00AA6F54" w:rsidRPr="003478AF">
        <w:rPr>
          <w:rFonts w:cs="Arial"/>
          <w:szCs w:val="20"/>
        </w:rPr>
        <w:t xml:space="preserve">charakteryzowało się </w:t>
      </w:r>
      <w:r w:rsidRPr="003478AF">
        <w:rPr>
          <w:rFonts w:cs="Arial"/>
          <w:szCs w:val="20"/>
        </w:rPr>
        <w:t>udział</w:t>
      </w:r>
      <w:r w:rsidR="00AA6F54" w:rsidRPr="003478AF">
        <w:rPr>
          <w:rFonts w:cs="Arial"/>
          <w:szCs w:val="20"/>
        </w:rPr>
        <w:t>em</w:t>
      </w:r>
      <w:r w:rsidRPr="003478AF">
        <w:rPr>
          <w:rFonts w:cs="Arial"/>
          <w:szCs w:val="20"/>
        </w:rPr>
        <w:t xml:space="preserve"> kapitału zagranicznego (</w:t>
      </w:r>
      <w:r w:rsidRPr="003478AF">
        <w:rPr>
          <w:rFonts w:cs="Arial"/>
          <w:color w:val="333333"/>
          <w:szCs w:val="20"/>
        </w:rPr>
        <w:t>2</w:t>
      </w:r>
      <w:r w:rsidR="00AA6F54" w:rsidRPr="003478AF">
        <w:rPr>
          <w:rFonts w:cs="Arial"/>
          <w:color w:val="333333"/>
          <w:szCs w:val="20"/>
        </w:rPr>
        <w:t> </w:t>
      </w:r>
      <w:r w:rsidRPr="003478AF">
        <w:rPr>
          <w:rFonts w:cs="Arial"/>
          <w:color w:val="333333"/>
          <w:szCs w:val="20"/>
        </w:rPr>
        <w:t>123 podmiotów w 2019 roku</w:t>
      </w:r>
      <w:r w:rsidRPr="003478AF">
        <w:rPr>
          <w:rFonts w:cs="Arial"/>
          <w:szCs w:val="20"/>
        </w:rPr>
        <w:t xml:space="preserve">). </w:t>
      </w:r>
      <w:r w:rsidR="00AA6F54" w:rsidRPr="003478AF">
        <w:rPr>
          <w:rFonts w:cs="Arial"/>
          <w:szCs w:val="20"/>
        </w:rPr>
        <w:t>P</w:t>
      </w:r>
      <w:r w:rsidRPr="003478AF">
        <w:rPr>
          <w:rFonts w:cs="Arial"/>
          <w:szCs w:val="20"/>
        </w:rPr>
        <w:t>od względem liczby pracujących przeważały mikroprzedsiębiorstwa (443,57 tys. podmiotów), podobnie jak na terenie całego kraju (</w:t>
      </w:r>
      <w:r w:rsidR="00381971" w:rsidRPr="003478AF">
        <w:rPr>
          <w:rFonts w:cs="Arial"/>
          <w:szCs w:val="20"/>
        </w:rPr>
        <w:t>ryc.</w:t>
      </w:r>
      <w:r w:rsidRPr="003478AF">
        <w:rPr>
          <w:rFonts w:cs="Arial"/>
          <w:szCs w:val="20"/>
        </w:rPr>
        <w:t xml:space="preserve"> 1.4). Drugą </w:t>
      </w:r>
      <w:r w:rsidR="00AA6F54" w:rsidRPr="003478AF">
        <w:rPr>
          <w:rFonts w:cs="Arial"/>
          <w:szCs w:val="20"/>
        </w:rPr>
        <w:t xml:space="preserve">w kolejności </w:t>
      </w:r>
      <w:r w:rsidRPr="003478AF">
        <w:rPr>
          <w:rFonts w:cs="Arial"/>
          <w:szCs w:val="20"/>
        </w:rPr>
        <w:t>grupą były przedsiębiorstwa o liczbie 10-49 pracowników (</w:t>
      </w:r>
      <w:r w:rsidR="00D90BA7" w:rsidRPr="003478AF">
        <w:rPr>
          <w:rFonts w:cs="Arial"/>
          <w:szCs w:val="20"/>
        </w:rPr>
        <w:t>14 </w:t>
      </w:r>
      <w:r w:rsidRPr="003478AF">
        <w:rPr>
          <w:rFonts w:cs="Arial"/>
          <w:szCs w:val="20"/>
        </w:rPr>
        <w:t>463 podmiot</w:t>
      </w:r>
      <w:r w:rsidR="00D90BA7" w:rsidRPr="003478AF">
        <w:rPr>
          <w:rFonts w:cs="Arial"/>
          <w:szCs w:val="20"/>
        </w:rPr>
        <w:t>y</w:t>
      </w:r>
      <w:r w:rsidRPr="003478AF">
        <w:rPr>
          <w:rFonts w:cs="Arial"/>
          <w:szCs w:val="20"/>
        </w:rPr>
        <w:t xml:space="preserve">). Firmy średnie i duże stanowiły niewielki </w:t>
      </w:r>
      <w:r w:rsidR="00B833ED" w:rsidRPr="003478AF">
        <w:rPr>
          <w:rFonts w:cs="Arial"/>
          <w:szCs w:val="20"/>
        </w:rPr>
        <w:t xml:space="preserve">odsetek </w:t>
      </w:r>
      <w:r w:rsidRPr="003478AF">
        <w:rPr>
          <w:rFonts w:cs="Arial"/>
          <w:szCs w:val="20"/>
        </w:rPr>
        <w:t xml:space="preserve">ogółu podmiotów, </w:t>
      </w:r>
      <w:r w:rsidR="00F27128" w:rsidRPr="003478AF">
        <w:rPr>
          <w:rFonts w:cs="Arial"/>
          <w:szCs w:val="20"/>
        </w:rPr>
        <w:t xml:space="preserve">było to </w:t>
      </w:r>
      <w:r w:rsidRPr="003478AF">
        <w:rPr>
          <w:rFonts w:cs="Arial"/>
          <w:szCs w:val="20"/>
        </w:rPr>
        <w:t>odpowiednio 2</w:t>
      </w:r>
      <w:r w:rsidR="00AA6F54" w:rsidRPr="003478AF">
        <w:rPr>
          <w:rFonts w:cs="Arial"/>
          <w:szCs w:val="20"/>
        </w:rPr>
        <w:t> </w:t>
      </w:r>
      <w:r w:rsidRPr="003478AF">
        <w:rPr>
          <w:rFonts w:cs="Arial"/>
          <w:szCs w:val="20"/>
        </w:rPr>
        <w:t>773 i 419 podmiotów.</w:t>
      </w:r>
    </w:p>
    <w:p w14:paraId="1D38DE27" w14:textId="77777777" w:rsidR="002077F3" w:rsidRPr="003478AF" w:rsidRDefault="002077F3" w:rsidP="002077F3">
      <w:pPr>
        <w:rPr>
          <w:rFonts w:cs="Arial"/>
          <w:szCs w:val="20"/>
        </w:rPr>
      </w:pPr>
    </w:p>
    <w:p w14:paraId="29AF4AE5" w14:textId="1732AA94" w:rsidR="002077F3" w:rsidRPr="003478AF" w:rsidRDefault="002077F3" w:rsidP="00986D40">
      <w:pPr>
        <w:pStyle w:val="ARYCINA"/>
      </w:pPr>
      <w:r w:rsidRPr="003478AF">
        <w:t>Ryc.</w:t>
      </w:r>
      <w:r w:rsidR="009F17FB" w:rsidRPr="003478AF">
        <w:rPr>
          <w:noProof/>
        </w:rPr>
        <w:t xml:space="preserve"> 1</w:t>
      </w:r>
      <w:r w:rsidRPr="003478AF">
        <w:t>.</w:t>
      </w:r>
      <w:r w:rsidRPr="003478AF">
        <w:rPr>
          <w:noProof/>
        </w:rPr>
        <w:fldChar w:fldCharType="begin"/>
      </w:r>
      <w:r w:rsidRPr="003478AF">
        <w:rPr>
          <w:noProof/>
        </w:rPr>
        <w:instrText xml:space="preserve"> SEQ Ryc. \* ARABIC \s 1 </w:instrText>
      </w:r>
      <w:r w:rsidRPr="003478AF">
        <w:rPr>
          <w:noProof/>
        </w:rPr>
        <w:fldChar w:fldCharType="separate"/>
      </w:r>
      <w:r w:rsidR="007B1066">
        <w:rPr>
          <w:noProof/>
        </w:rPr>
        <w:t>4</w:t>
      </w:r>
      <w:r w:rsidRPr="003478AF">
        <w:rPr>
          <w:noProof/>
        </w:rPr>
        <w:fldChar w:fldCharType="end"/>
      </w:r>
      <w:r w:rsidRPr="003478AF">
        <w:t xml:space="preserve"> Struktura podmiotów gospodarczych według liczby pracujących</w:t>
      </w:r>
      <w:r w:rsidR="0038370F" w:rsidRPr="003478AF">
        <w:t xml:space="preserve"> </w:t>
      </w:r>
      <w:r w:rsidR="008E6936" w:rsidRPr="003478AF">
        <w:br/>
      </w:r>
      <w:r w:rsidR="0038370F" w:rsidRPr="003478AF">
        <w:t>w województwie wielkopolskim w 2020 roku</w:t>
      </w:r>
    </w:p>
    <w:p w14:paraId="44D90D08" w14:textId="77777777" w:rsidR="002077F3" w:rsidRPr="003478AF" w:rsidRDefault="002077F3" w:rsidP="002077F3">
      <w:pPr>
        <w:jc w:val="center"/>
        <w:rPr>
          <w:rFonts w:cs="Arial"/>
          <w:szCs w:val="20"/>
        </w:rPr>
      </w:pPr>
      <w:r w:rsidRPr="003478AF">
        <w:rPr>
          <w:rFonts w:cs="Arial"/>
          <w:noProof/>
          <w:szCs w:val="20"/>
          <w:lang w:eastAsia="pl-PL"/>
        </w:rPr>
        <w:drawing>
          <wp:inline distT="0" distB="0" distL="0" distR="0" wp14:anchorId="771BDEB8" wp14:editId="033C3B26">
            <wp:extent cx="2761307" cy="2151233"/>
            <wp:effectExtent l="0" t="0" r="0" b="1905"/>
            <wp:docPr id="75" name="Obraz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19">
                      <a:extLst>
                        <a:ext uri="{28A0092B-C50C-407E-A947-70E740481C1C}">
                          <a14:useLocalDpi xmlns:a14="http://schemas.microsoft.com/office/drawing/2010/main" val="0"/>
                        </a:ext>
                      </a:extLst>
                    </a:blip>
                    <a:srcRect l="25628" t="8031" r="17430" b="23688"/>
                    <a:stretch/>
                  </pic:blipFill>
                  <pic:spPr bwMode="auto">
                    <a:xfrm>
                      <a:off x="0" y="0"/>
                      <a:ext cx="2799301" cy="2180833"/>
                    </a:xfrm>
                    <a:prstGeom prst="rect">
                      <a:avLst/>
                    </a:prstGeom>
                    <a:noFill/>
                    <a:ln>
                      <a:noFill/>
                    </a:ln>
                    <a:extLst>
                      <a:ext uri="{53640926-AAD7-44D8-BBD7-CCE9431645EC}">
                        <a14:shadowObscured xmlns:a14="http://schemas.microsoft.com/office/drawing/2010/main"/>
                      </a:ext>
                    </a:extLst>
                  </pic:spPr>
                </pic:pic>
              </a:graphicData>
            </a:graphic>
          </wp:inline>
        </w:drawing>
      </w:r>
    </w:p>
    <w:p w14:paraId="55D5BD94" w14:textId="7E614742" w:rsidR="002077F3" w:rsidRPr="003478AF" w:rsidRDefault="002077F3" w:rsidP="00986D40">
      <w:pPr>
        <w:pStyle w:val="AZRODLO"/>
      </w:pPr>
      <w:r w:rsidRPr="003478AF">
        <w:t xml:space="preserve">Źródło: </w:t>
      </w:r>
      <w:r w:rsidR="0047044E" w:rsidRPr="003478AF">
        <w:t>O</w:t>
      </w:r>
      <w:r w:rsidRPr="003478AF">
        <w:t>pracowanie własne na podstawie GUS BDL</w:t>
      </w:r>
    </w:p>
    <w:p w14:paraId="03D6B029" w14:textId="77777777" w:rsidR="002077F3" w:rsidRPr="003478AF" w:rsidRDefault="002077F3" w:rsidP="00986D40">
      <w:pPr>
        <w:pStyle w:val="AZRODLO"/>
      </w:pPr>
    </w:p>
    <w:p w14:paraId="2EA87782" w14:textId="77777777" w:rsidR="007D50F3" w:rsidRPr="003478AF" w:rsidRDefault="007D50F3">
      <w:pPr>
        <w:spacing w:line="240" w:lineRule="auto"/>
        <w:ind w:firstLine="0"/>
        <w:jc w:val="left"/>
        <w:rPr>
          <w:rFonts w:cs="Arial"/>
          <w:szCs w:val="20"/>
        </w:rPr>
      </w:pPr>
      <w:r w:rsidRPr="003478AF">
        <w:rPr>
          <w:rFonts w:cs="Arial"/>
          <w:szCs w:val="20"/>
        </w:rPr>
        <w:br w:type="page"/>
      </w:r>
    </w:p>
    <w:p w14:paraId="5E30BCC1" w14:textId="0749A0BF" w:rsidR="002077F3" w:rsidRPr="003478AF" w:rsidRDefault="002077F3" w:rsidP="002077F3">
      <w:pPr>
        <w:rPr>
          <w:rFonts w:cs="Arial"/>
          <w:szCs w:val="20"/>
        </w:rPr>
      </w:pPr>
      <w:r w:rsidRPr="003478AF">
        <w:rPr>
          <w:rFonts w:cs="Arial"/>
          <w:szCs w:val="20"/>
        </w:rPr>
        <w:lastRenderedPageBreak/>
        <w:t>W 2020 r</w:t>
      </w:r>
      <w:r w:rsidR="00341B03" w:rsidRPr="003478AF">
        <w:rPr>
          <w:rFonts w:cs="Arial"/>
          <w:szCs w:val="20"/>
        </w:rPr>
        <w:t>oku</w:t>
      </w:r>
      <w:r w:rsidRPr="003478AF">
        <w:rPr>
          <w:rFonts w:cs="Arial"/>
          <w:szCs w:val="20"/>
        </w:rPr>
        <w:t xml:space="preserve"> w strukturze podmiotów gospodarczych dominował sektor prywatny (444 341, 98%)</w:t>
      </w:r>
      <w:r w:rsidR="008F2ABD" w:rsidRPr="003478AF">
        <w:rPr>
          <w:rFonts w:cs="Arial"/>
          <w:szCs w:val="20"/>
        </w:rPr>
        <w:t>, z kolei s</w:t>
      </w:r>
      <w:r w:rsidRPr="003478AF">
        <w:rPr>
          <w:rFonts w:cs="Arial"/>
          <w:szCs w:val="20"/>
        </w:rPr>
        <w:t>ektor publiczny stanowił zaledwie 2% (</w:t>
      </w:r>
      <w:r w:rsidR="003945F8" w:rsidRPr="003478AF">
        <w:rPr>
          <w:rFonts w:cs="Arial"/>
          <w:szCs w:val="20"/>
        </w:rPr>
        <w:t>8 </w:t>
      </w:r>
      <w:r w:rsidRPr="003478AF">
        <w:rPr>
          <w:rFonts w:cs="Arial"/>
          <w:szCs w:val="20"/>
        </w:rPr>
        <w:t>797 podmiotów). W 2019 roku na 10 tys. podmiotów gospodarki narodowej przypadało 719,2 instytucji otoczenia biznesu</w:t>
      </w:r>
      <w:r w:rsidR="00341B03" w:rsidRPr="003478AF">
        <w:rPr>
          <w:rFonts w:cs="Arial"/>
          <w:szCs w:val="20"/>
        </w:rPr>
        <w:t>,</w:t>
      </w:r>
      <w:r w:rsidRPr="003478AF">
        <w:rPr>
          <w:rFonts w:cs="Arial"/>
          <w:szCs w:val="20"/>
        </w:rPr>
        <w:t xml:space="preserve"> </w:t>
      </w:r>
      <w:r w:rsidR="003945F8" w:rsidRPr="003478AF">
        <w:rPr>
          <w:rFonts w:cs="Arial"/>
          <w:szCs w:val="20"/>
        </w:rPr>
        <w:t>co plasowało Wielkopolskę na</w:t>
      </w:r>
      <w:r w:rsidR="00813F06" w:rsidRPr="003478AF">
        <w:rPr>
          <w:rFonts w:cs="Arial"/>
          <w:szCs w:val="20"/>
        </w:rPr>
        <w:t xml:space="preserve"> </w:t>
      </w:r>
      <w:r w:rsidRPr="003478AF">
        <w:rPr>
          <w:rFonts w:cs="Arial"/>
          <w:szCs w:val="20"/>
        </w:rPr>
        <w:t>dziesiąt</w:t>
      </w:r>
      <w:r w:rsidR="003945F8" w:rsidRPr="003478AF">
        <w:rPr>
          <w:rFonts w:cs="Arial"/>
          <w:szCs w:val="20"/>
        </w:rPr>
        <w:t>ej</w:t>
      </w:r>
      <w:r w:rsidRPr="003478AF">
        <w:rPr>
          <w:rFonts w:cs="Arial"/>
          <w:szCs w:val="20"/>
        </w:rPr>
        <w:t xml:space="preserve"> pozycj</w:t>
      </w:r>
      <w:r w:rsidR="003945F8" w:rsidRPr="003478AF">
        <w:rPr>
          <w:rFonts w:cs="Arial"/>
          <w:szCs w:val="20"/>
        </w:rPr>
        <w:t>i</w:t>
      </w:r>
      <w:r w:rsidRPr="003478AF">
        <w:rPr>
          <w:rFonts w:cs="Arial"/>
          <w:szCs w:val="20"/>
        </w:rPr>
        <w:t xml:space="preserve"> w kraju.</w:t>
      </w:r>
    </w:p>
    <w:p w14:paraId="65AFA618" w14:textId="77777777" w:rsidR="00341B03" w:rsidRPr="003478AF" w:rsidRDefault="00341B03" w:rsidP="002077F3">
      <w:pPr>
        <w:rPr>
          <w:rFonts w:cs="Arial"/>
          <w:szCs w:val="20"/>
        </w:rPr>
      </w:pPr>
    </w:p>
    <w:p w14:paraId="64C3CE06" w14:textId="360C5B05" w:rsidR="002077F3" w:rsidRPr="003478AF" w:rsidRDefault="002077F3" w:rsidP="00986D40">
      <w:pPr>
        <w:pStyle w:val="ARYCINA"/>
      </w:pPr>
      <w:r w:rsidRPr="003478AF">
        <w:t xml:space="preserve">Ryc. </w:t>
      </w:r>
      <w:r w:rsidR="009F17FB" w:rsidRPr="003478AF">
        <w:t>1</w:t>
      </w:r>
      <w:r w:rsidRPr="003478AF">
        <w:t>.</w:t>
      </w:r>
      <w:r w:rsidRPr="003478AF">
        <w:rPr>
          <w:noProof/>
        </w:rPr>
        <w:fldChar w:fldCharType="begin"/>
      </w:r>
      <w:r w:rsidRPr="003478AF">
        <w:rPr>
          <w:noProof/>
        </w:rPr>
        <w:instrText xml:space="preserve"> SEQ Ryc. \* ARABIC \s 1 </w:instrText>
      </w:r>
      <w:r w:rsidRPr="003478AF">
        <w:rPr>
          <w:noProof/>
        </w:rPr>
        <w:fldChar w:fldCharType="separate"/>
      </w:r>
      <w:r w:rsidR="007B1066">
        <w:rPr>
          <w:noProof/>
        </w:rPr>
        <w:t>5</w:t>
      </w:r>
      <w:r w:rsidRPr="003478AF">
        <w:rPr>
          <w:noProof/>
        </w:rPr>
        <w:fldChar w:fldCharType="end"/>
      </w:r>
      <w:r w:rsidRPr="003478AF">
        <w:t xml:space="preserve"> Liczba podmiotów gospodarczych według sekcji PKD</w:t>
      </w:r>
      <w:r w:rsidRPr="003478AF">
        <w:rPr>
          <w:rStyle w:val="Odwoanieprzypisudolnego"/>
        </w:rPr>
        <w:footnoteReference w:id="11"/>
      </w:r>
      <w:r w:rsidR="0038370F" w:rsidRPr="003478AF">
        <w:t xml:space="preserve"> </w:t>
      </w:r>
      <w:r w:rsidR="008E6936" w:rsidRPr="003478AF">
        <w:br/>
      </w:r>
      <w:r w:rsidR="0038370F" w:rsidRPr="003478AF">
        <w:t>w województwie wielkopolskim w 2020 roku</w:t>
      </w:r>
    </w:p>
    <w:p w14:paraId="06A92459" w14:textId="77777777" w:rsidR="002077F3" w:rsidRPr="003478AF" w:rsidRDefault="002077F3" w:rsidP="00E6136F">
      <w:pPr>
        <w:jc w:val="center"/>
        <w:rPr>
          <w:rFonts w:cs="Arial"/>
          <w:szCs w:val="20"/>
        </w:rPr>
      </w:pPr>
      <w:r w:rsidRPr="003478AF">
        <w:rPr>
          <w:rFonts w:cs="Arial"/>
          <w:noProof/>
          <w:lang w:eastAsia="pl-PL"/>
        </w:rPr>
        <w:drawing>
          <wp:inline distT="0" distB="0" distL="0" distR="0" wp14:anchorId="21E413B2" wp14:editId="45D45154">
            <wp:extent cx="4594860" cy="3329940"/>
            <wp:effectExtent l="0" t="0" r="0" b="0"/>
            <wp:docPr id="1" name="Wykres 1">
              <a:extLst xmlns:a="http://schemas.openxmlformats.org/drawingml/2006/main">
                <a:ext uri="{FF2B5EF4-FFF2-40B4-BE49-F238E27FC236}">
                  <a16:creationId xmlns:a16="http://schemas.microsoft.com/office/drawing/2014/main" id="{2F6C890B-6207-433F-BCA0-47D98357864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14:paraId="5D52B674" w14:textId="0314984F" w:rsidR="002077F3" w:rsidRPr="003478AF" w:rsidRDefault="002077F3" w:rsidP="00986D40">
      <w:pPr>
        <w:pStyle w:val="AZRODLO"/>
      </w:pPr>
      <w:r w:rsidRPr="003478AF">
        <w:t>Źródło: opracowanie własne na podstawie GUS BDL</w:t>
      </w:r>
    </w:p>
    <w:p w14:paraId="492E7195" w14:textId="77777777" w:rsidR="002077F3" w:rsidRPr="003478AF" w:rsidRDefault="002077F3" w:rsidP="007D50F3"/>
    <w:p w14:paraId="18677710" w14:textId="1F6EF707" w:rsidR="007D50F3" w:rsidRPr="003478AF" w:rsidRDefault="007D50F3" w:rsidP="007D50F3">
      <w:pPr>
        <w:rPr>
          <w:rFonts w:cs="Arial"/>
          <w:szCs w:val="20"/>
        </w:rPr>
      </w:pPr>
      <w:r w:rsidRPr="003478AF">
        <w:rPr>
          <w:rFonts w:cs="Arial"/>
          <w:szCs w:val="20"/>
        </w:rPr>
        <w:t xml:space="preserve">Na wyróżnienie w regionie zasługuje branża spożywcza. Województwo jako jeden </w:t>
      </w:r>
      <w:r w:rsidR="008324B5" w:rsidRPr="003478AF">
        <w:rPr>
          <w:rFonts w:cs="Arial"/>
          <w:szCs w:val="20"/>
        </w:rPr>
        <w:br/>
      </w:r>
      <w:r w:rsidRPr="003478AF">
        <w:rPr>
          <w:rFonts w:cs="Arial"/>
          <w:szCs w:val="20"/>
        </w:rPr>
        <w:t xml:space="preserve">z liderów w produkcji żywności w kraju charakteryzuje się dużą liczbą podmiotów w tym sektorze. W 2020 roku funkcjonowały 3 784 podmioty branżowe (łącznie działy 10 i 11 sekcji C), w wyniku czego Wielkopolska pod względem ogólnej liczby podmiotów produkujących żywność i napoje zajmowała trzecie miejsce w kraju (za województwami śląskim </w:t>
      </w:r>
      <w:r w:rsidR="008324B5" w:rsidRPr="003478AF">
        <w:rPr>
          <w:rFonts w:cs="Arial"/>
          <w:szCs w:val="20"/>
        </w:rPr>
        <w:br/>
      </w:r>
      <w:r w:rsidRPr="003478AF">
        <w:rPr>
          <w:rFonts w:cs="Arial"/>
          <w:szCs w:val="20"/>
        </w:rPr>
        <w:t xml:space="preserve">i mazowieckim). Rolnictwo i związany z nim przemysł przetwórczy rozwinęły się najintensywniej w południowej i południowo-wschodniej części regionu. Podmioty </w:t>
      </w:r>
      <w:r w:rsidRPr="003478AF">
        <w:rPr>
          <w:rFonts w:cs="Arial"/>
          <w:szCs w:val="20"/>
        </w:rPr>
        <w:lastRenderedPageBreak/>
        <w:t>specjalizujące się w produkcji żywności w większości lokowały się w subregionie kaliskim. Ponadto w sektorze przetwórstwa przemysłowego (sekcja C) wyróżniała się branża odzieżowa (2 834 podmioty), produkcja mebli (4 895 podmiotów), produkcja wyrobów z drewna oraz korka (3 816 podmiotów) oraz dział naprawy, konserwacji i instalowania maszyn i urządzeń (5 361 podmiotów) (ryc. 1.5).</w:t>
      </w:r>
    </w:p>
    <w:p w14:paraId="15C83B1F" w14:textId="73495909" w:rsidR="002077F3" w:rsidRPr="003478AF" w:rsidRDefault="00A54066" w:rsidP="002077F3">
      <w:pPr>
        <w:rPr>
          <w:rFonts w:cs="Arial"/>
          <w:szCs w:val="20"/>
        </w:rPr>
      </w:pPr>
      <w:r w:rsidRPr="003478AF">
        <w:rPr>
          <w:rFonts w:cs="Arial"/>
          <w:szCs w:val="20"/>
        </w:rPr>
        <w:t>Dodatkowo</w:t>
      </w:r>
      <w:r w:rsidR="002077F3" w:rsidRPr="003478AF">
        <w:rPr>
          <w:rFonts w:cs="Arial"/>
          <w:szCs w:val="20"/>
        </w:rPr>
        <w:t xml:space="preserve"> istotny udział rynku widoczny był dla sekcji G (22%), z czego 51% podmiotów w tej grupie działała w handlu detalicznym. Sekcja F znajdowała się na drugiej pozycji pod względem </w:t>
      </w:r>
      <w:r w:rsidR="00B24E1C" w:rsidRPr="003478AF">
        <w:rPr>
          <w:rFonts w:cs="Arial"/>
          <w:szCs w:val="20"/>
        </w:rPr>
        <w:t>liczb</w:t>
      </w:r>
      <w:r w:rsidR="001E2310" w:rsidRPr="003478AF">
        <w:rPr>
          <w:rFonts w:cs="Arial"/>
          <w:szCs w:val="20"/>
        </w:rPr>
        <w:t>y</w:t>
      </w:r>
      <w:r w:rsidR="00B97AF5" w:rsidRPr="003478AF">
        <w:rPr>
          <w:rFonts w:cs="Arial"/>
          <w:szCs w:val="20"/>
        </w:rPr>
        <w:t xml:space="preserve"> podmiotów gospodarczych</w:t>
      </w:r>
      <w:r w:rsidR="00B24E1C" w:rsidRPr="003478AF">
        <w:rPr>
          <w:rFonts w:cs="Arial"/>
          <w:szCs w:val="20"/>
        </w:rPr>
        <w:t xml:space="preserve"> </w:t>
      </w:r>
      <w:r w:rsidR="002077F3" w:rsidRPr="003478AF">
        <w:rPr>
          <w:rFonts w:cs="Arial"/>
          <w:szCs w:val="20"/>
        </w:rPr>
        <w:t xml:space="preserve">(15%), </w:t>
      </w:r>
      <w:r w:rsidR="008F2ABD" w:rsidRPr="003478AF">
        <w:rPr>
          <w:rFonts w:cs="Arial"/>
          <w:szCs w:val="20"/>
        </w:rPr>
        <w:t>a szczególne znaczenie posiadał</w:t>
      </w:r>
      <w:r w:rsidR="002077F3" w:rsidRPr="003478AF">
        <w:rPr>
          <w:rFonts w:cs="Arial"/>
          <w:szCs w:val="20"/>
        </w:rPr>
        <w:t xml:space="preserve"> </w:t>
      </w:r>
      <w:r w:rsidR="008F2ABD" w:rsidRPr="003478AF">
        <w:rPr>
          <w:rFonts w:cs="Arial"/>
          <w:szCs w:val="20"/>
        </w:rPr>
        <w:t xml:space="preserve">dział </w:t>
      </w:r>
      <w:r w:rsidRPr="003478AF">
        <w:rPr>
          <w:rFonts w:cs="Arial"/>
          <w:szCs w:val="20"/>
        </w:rPr>
        <w:t>r</w:t>
      </w:r>
      <w:r w:rsidR="002077F3" w:rsidRPr="003478AF">
        <w:rPr>
          <w:rFonts w:cs="Arial"/>
          <w:szCs w:val="20"/>
        </w:rPr>
        <w:t>oboty budowlane</w:t>
      </w:r>
      <w:r w:rsidR="009F4966" w:rsidRPr="003478AF">
        <w:rPr>
          <w:rFonts w:cs="Arial"/>
          <w:szCs w:val="20"/>
        </w:rPr>
        <w:t xml:space="preserve"> specjalistyczne</w:t>
      </w:r>
      <w:r w:rsidR="002077F3" w:rsidRPr="003478AF">
        <w:rPr>
          <w:rFonts w:cs="Arial"/>
          <w:szCs w:val="20"/>
        </w:rPr>
        <w:t>.</w:t>
      </w:r>
    </w:p>
    <w:p w14:paraId="1621406F" w14:textId="77777777" w:rsidR="00A54066" w:rsidRPr="003478AF" w:rsidRDefault="00A54066" w:rsidP="002077F3">
      <w:pPr>
        <w:rPr>
          <w:rFonts w:cs="Arial"/>
          <w:szCs w:val="20"/>
        </w:rPr>
      </w:pPr>
    </w:p>
    <w:p w14:paraId="3D90CD82" w14:textId="435BB2BF" w:rsidR="002077F3" w:rsidRPr="003478AF" w:rsidRDefault="000C0BED">
      <w:pPr>
        <w:pStyle w:val="Nagwek2"/>
      </w:pPr>
      <w:bookmarkStart w:id="17" w:name="_Toc82159984"/>
      <w:r w:rsidRPr="003478AF">
        <w:t xml:space="preserve">1.7. </w:t>
      </w:r>
      <w:r w:rsidR="002077F3" w:rsidRPr="003478AF">
        <w:t>Energia</w:t>
      </w:r>
      <w:bookmarkEnd w:id="17"/>
    </w:p>
    <w:p w14:paraId="7728C55F" w14:textId="7F078056" w:rsidR="002077F3" w:rsidRPr="003478AF" w:rsidRDefault="00217794" w:rsidP="002077F3">
      <w:pPr>
        <w:rPr>
          <w:rFonts w:cs="Arial"/>
          <w:szCs w:val="20"/>
        </w:rPr>
      </w:pPr>
      <w:r w:rsidRPr="003478AF">
        <w:rPr>
          <w:rFonts w:cs="Arial"/>
          <w:szCs w:val="20"/>
        </w:rPr>
        <w:t>W 2019 roku z</w:t>
      </w:r>
      <w:r w:rsidR="002077F3" w:rsidRPr="003478AF">
        <w:rPr>
          <w:rFonts w:cs="Arial"/>
          <w:szCs w:val="20"/>
        </w:rPr>
        <w:t>użycie energii elektrycznej ogółem wynosiło</w:t>
      </w:r>
      <w:r w:rsidR="001639C8" w:rsidRPr="003478AF">
        <w:rPr>
          <w:rFonts w:cs="Arial"/>
          <w:szCs w:val="20"/>
        </w:rPr>
        <w:t xml:space="preserve"> w </w:t>
      </w:r>
      <w:r w:rsidR="00BC4898" w:rsidRPr="003478AF">
        <w:rPr>
          <w:rFonts w:cs="Arial"/>
          <w:szCs w:val="20"/>
        </w:rPr>
        <w:t>Wielkopolsce</w:t>
      </w:r>
      <w:r w:rsidR="002077F3" w:rsidRPr="003478AF">
        <w:rPr>
          <w:rFonts w:cs="Arial"/>
          <w:szCs w:val="20"/>
        </w:rPr>
        <w:t xml:space="preserve"> 12 899 GWh</w:t>
      </w:r>
      <w:r w:rsidRPr="003478AF">
        <w:rPr>
          <w:rFonts w:cs="Arial"/>
          <w:szCs w:val="20"/>
        </w:rPr>
        <w:t>.</w:t>
      </w:r>
      <w:r w:rsidR="002077F3" w:rsidRPr="003478AF">
        <w:rPr>
          <w:rFonts w:cs="Arial"/>
          <w:szCs w:val="20"/>
        </w:rPr>
        <w:t xml:space="preserve"> </w:t>
      </w:r>
      <w:r w:rsidRPr="003478AF">
        <w:rPr>
          <w:rFonts w:cs="Arial"/>
          <w:szCs w:val="20"/>
        </w:rPr>
        <w:t>N</w:t>
      </w:r>
      <w:r w:rsidR="002077F3" w:rsidRPr="003478AF">
        <w:rPr>
          <w:rFonts w:cs="Arial"/>
          <w:szCs w:val="20"/>
        </w:rPr>
        <w:t>ajbardziej energochłonnym sektorem ekonomicznym był przemysł (</w:t>
      </w:r>
      <w:r w:rsidR="009827B7" w:rsidRPr="003478AF">
        <w:rPr>
          <w:rFonts w:cs="Arial"/>
          <w:szCs w:val="20"/>
        </w:rPr>
        <w:t>57 </w:t>
      </w:r>
      <w:r w:rsidR="002077F3" w:rsidRPr="003478AF">
        <w:rPr>
          <w:rFonts w:cs="Arial"/>
          <w:szCs w:val="20"/>
        </w:rPr>
        <w:t xml:space="preserve">192 GWh, </w:t>
      </w:r>
      <w:r w:rsidR="00381971" w:rsidRPr="003478AF">
        <w:rPr>
          <w:rFonts w:cs="Arial"/>
          <w:szCs w:val="20"/>
        </w:rPr>
        <w:t>ryc.</w:t>
      </w:r>
      <w:r w:rsidR="002077F3" w:rsidRPr="003478AF">
        <w:rPr>
          <w:rFonts w:cs="Arial"/>
          <w:szCs w:val="20"/>
        </w:rPr>
        <w:t xml:space="preserve"> 1.6). </w:t>
      </w:r>
    </w:p>
    <w:p w14:paraId="37AB14AB" w14:textId="77777777" w:rsidR="00843D1E" w:rsidRPr="003478AF" w:rsidRDefault="00843D1E" w:rsidP="002077F3">
      <w:pPr>
        <w:rPr>
          <w:rFonts w:cs="Arial"/>
          <w:szCs w:val="20"/>
        </w:rPr>
      </w:pPr>
    </w:p>
    <w:p w14:paraId="7228C2D9" w14:textId="52335CB9" w:rsidR="002077F3" w:rsidRPr="003478AF" w:rsidRDefault="002077F3" w:rsidP="00986D40">
      <w:pPr>
        <w:pStyle w:val="ARYCINA"/>
      </w:pPr>
      <w:r w:rsidRPr="003478AF">
        <w:t xml:space="preserve">Ryc. </w:t>
      </w:r>
      <w:r w:rsidR="009F17FB" w:rsidRPr="003478AF">
        <w:t>1</w:t>
      </w:r>
      <w:r w:rsidRPr="003478AF">
        <w:t>.</w:t>
      </w:r>
      <w:r w:rsidRPr="003478AF">
        <w:rPr>
          <w:noProof/>
        </w:rPr>
        <w:fldChar w:fldCharType="begin"/>
      </w:r>
      <w:r w:rsidRPr="003478AF">
        <w:rPr>
          <w:noProof/>
        </w:rPr>
        <w:instrText xml:space="preserve"> SEQ Ryc. \* ARABIC \s 1 </w:instrText>
      </w:r>
      <w:r w:rsidRPr="003478AF">
        <w:rPr>
          <w:noProof/>
        </w:rPr>
        <w:fldChar w:fldCharType="separate"/>
      </w:r>
      <w:r w:rsidR="007B1066">
        <w:rPr>
          <w:noProof/>
        </w:rPr>
        <w:t>6</w:t>
      </w:r>
      <w:r w:rsidRPr="003478AF">
        <w:rPr>
          <w:noProof/>
        </w:rPr>
        <w:fldChar w:fldCharType="end"/>
      </w:r>
      <w:r w:rsidRPr="003478AF">
        <w:t xml:space="preserve"> Charakterystyka zużycia energii elektrycznej </w:t>
      </w:r>
      <w:r w:rsidR="0038370F" w:rsidRPr="003478AF">
        <w:t>w województwie wielkopolskim w 2019 roku</w:t>
      </w:r>
    </w:p>
    <w:p w14:paraId="20C7EA0F" w14:textId="77777777" w:rsidR="002077F3" w:rsidRPr="003478AF" w:rsidRDefault="002077F3" w:rsidP="002077F3">
      <w:pPr>
        <w:jc w:val="center"/>
        <w:rPr>
          <w:rFonts w:cs="Arial"/>
          <w:szCs w:val="20"/>
        </w:rPr>
      </w:pPr>
      <w:r w:rsidRPr="003478AF">
        <w:rPr>
          <w:rFonts w:cs="Arial"/>
          <w:noProof/>
          <w:szCs w:val="20"/>
          <w:lang w:eastAsia="pl-PL"/>
        </w:rPr>
        <w:drawing>
          <wp:inline distT="0" distB="0" distL="0" distR="0" wp14:anchorId="526EFF68" wp14:editId="07490C55">
            <wp:extent cx="3689350" cy="2191093"/>
            <wp:effectExtent l="0" t="0" r="6350" b="0"/>
            <wp:docPr id="77" name="Obraz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21">
                      <a:extLst>
                        <a:ext uri="{28A0092B-C50C-407E-A947-70E740481C1C}">
                          <a14:useLocalDpi xmlns:a14="http://schemas.microsoft.com/office/drawing/2010/main" val="0"/>
                        </a:ext>
                      </a:extLst>
                    </a:blip>
                    <a:srcRect t="9929" r="18734" b="23968"/>
                    <a:stretch/>
                  </pic:blipFill>
                  <pic:spPr bwMode="auto">
                    <a:xfrm>
                      <a:off x="0" y="0"/>
                      <a:ext cx="3701145" cy="2198098"/>
                    </a:xfrm>
                    <a:prstGeom prst="rect">
                      <a:avLst/>
                    </a:prstGeom>
                    <a:noFill/>
                    <a:ln>
                      <a:noFill/>
                    </a:ln>
                    <a:extLst>
                      <a:ext uri="{53640926-AAD7-44D8-BBD7-CCE9431645EC}">
                        <a14:shadowObscured xmlns:a14="http://schemas.microsoft.com/office/drawing/2010/main"/>
                      </a:ext>
                    </a:extLst>
                  </pic:spPr>
                </pic:pic>
              </a:graphicData>
            </a:graphic>
          </wp:inline>
        </w:drawing>
      </w:r>
    </w:p>
    <w:p w14:paraId="306AF23B" w14:textId="061FD2E2" w:rsidR="002077F3" w:rsidRPr="003478AF" w:rsidRDefault="002077F3" w:rsidP="00986D40">
      <w:pPr>
        <w:pStyle w:val="AZRODLO"/>
      </w:pPr>
      <w:r w:rsidRPr="003478AF">
        <w:t xml:space="preserve">Źródło: </w:t>
      </w:r>
      <w:r w:rsidR="00A54066" w:rsidRPr="003478AF">
        <w:t>O</w:t>
      </w:r>
      <w:r w:rsidRPr="003478AF">
        <w:t>pracowanie własne na podstawie GUS BDL</w:t>
      </w:r>
    </w:p>
    <w:p w14:paraId="11DB7E6E" w14:textId="77777777" w:rsidR="002077F3" w:rsidRPr="003478AF" w:rsidRDefault="002077F3" w:rsidP="00986D40">
      <w:pPr>
        <w:pStyle w:val="AZRODLO"/>
      </w:pPr>
    </w:p>
    <w:p w14:paraId="2C8DEFE5" w14:textId="133BAB56" w:rsidR="002077F3" w:rsidRPr="003478AF" w:rsidRDefault="002077F3" w:rsidP="002077F3">
      <w:pPr>
        <w:rPr>
          <w:rFonts w:cs="Arial"/>
          <w:szCs w:val="20"/>
        </w:rPr>
      </w:pPr>
      <w:r w:rsidRPr="003478AF">
        <w:rPr>
          <w:rFonts w:cs="Arial"/>
          <w:szCs w:val="20"/>
        </w:rPr>
        <w:t>Zużycie energii elektrycznej</w:t>
      </w:r>
      <w:r w:rsidR="006E788F" w:rsidRPr="003478AF">
        <w:rPr>
          <w:rFonts w:cs="Arial"/>
          <w:szCs w:val="20"/>
        </w:rPr>
        <w:t xml:space="preserve"> w gospodarstwach domowych</w:t>
      </w:r>
      <w:r w:rsidRPr="003478AF">
        <w:rPr>
          <w:rFonts w:cs="Arial"/>
          <w:szCs w:val="20"/>
        </w:rPr>
        <w:t xml:space="preserve"> na 1 mieszkańca wynosiło 823,9 kWh i było wyższe od </w:t>
      </w:r>
      <w:r w:rsidR="00476E8E" w:rsidRPr="003478AF">
        <w:rPr>
          <w:rFonts w:cs="Arial"/>
          <w:szCs w:val="20"/>
        </w:rPr>
        <w:t xml:space="preserve">średniej </w:t>
      </w:r>
      <w:r w:rsidRPr="003478AF">
        <w:rPr>
          <w:rFonts w:cs="Arial"/>
          <w:szCs w:val="20"/>
        </w:rPr>
        <w:t>wartości dla kraju (797,5 kWh)</w:t>
      </w:r>
      <w:r w:rsidR="00476E8E" w:rsidRPr="003478AF">
        <w:rPr>
          <w:rFonts w:cs="Arial"/>
          <w:szCs w:val="20"/>
        </w:rPr>
        <w:t>. Pod tym względem region plasował</w:t>
      </w:r>
      <w:r w:rsidRPr="003478AF">
        <w:rPr>
          <w:rFonts w:cs="Arial"/>
          <w:szCs w:val="20"/>
        </w:rPr>
        <w:t xml:space="preserve"> się </w:t>
      </w:r>
      <w:r w:rsidR="00FA0E60" w:rsidRPr="003478AF">
        <w:rPr>
          <w:rFonts w:cs="Arial"/>
          <w:szCs w:val="20"/>
        </w:rPr>
        <w:t xml:space="preserve">w </w:t>
      </w:r>
      <w:r w:rsidRPr="003478AF">
        <w:rPr>
          <w:rFonts w:cs="Arial"/>
          <w:szCs w:val="20"/>
        </w:rPr>
        <w:t>pierwszej piąt</w:t>
      </w:r>
      <w:r w:rsidR="00FA0E60" w:rsidRPr="003478AF">
        <w:rPr>
          <w:rFonts w:cs="Arial"/>
          <w:szCs w:val="20"/>
        </w:rPr>
        <w:t>ce</w:t>
      </w:r>
      <w:r w:rsidRPr="003478AF">
        <w:rPr>
          <w:rFonts w:cs="Arial"/>
          <w:szCs w:val="20"/>
        </w:rPr>
        <w:t xml:space="preserve"> województw o najwyższym wykorzystaniu energetycznym </w:t>
      </w:r>
      <w:r w:rsidR="008324B5" w:rsidRPr="003478AF">
        <w:rPr>
          <w:rFonts w:cs="Arial"/>
          <w:szCs w:val="20"/>
        </w:rPr>
        <w:br/>
      </w:r>
      <w:r w:rsidRPr="003478AF">
        <w:rPr>
          <w:rFonts w:cs="Arial"/>
          <w:szCs w:val="20"/>
        </w:rPr>
        <w:t>w gospodarstwach domowych (</w:t>
      </w:r>
      <w:r w:rsidR="00381971" w:rsidRPr="003478AF">
        <w:rPr>
          <w:rFonts w:cs="Arial"/>
          <w:szCs w:val="20"/>
        </w:rPr>
        <w:t>ryc.</w:t>
      </w:r>
      <w:r w:rsidRPr="003478AF">
        <w:rPr>
          <w:rFonts w:cs="Arial"/>
          <w:szCs w:val="20"/>
        </w:rPr>
        <w:t xml:space="preserve"> 1.7). </w:t>
      </w:r>
    </w:p>
    <w:p w14:paraId="34F46142" w14:textId="7328C586" w:rsidR="007D50F3" w:rsidRPr="003478AF" w:rsidRDefault="007D50F3" w:rsidP="007D50F3">
      <w:pPr>
        <w:rPr>
          <w:rFonts w:cs="Arial"/>
          <w:szCs w:val="20"/>
        </w:rPr>
      </w:pPr>
      <w:r w:rsidRPr="003478AF">
        <w:rPr>
          <w:rFonts w:cs="Arial"/>
          <w:szCs w:val="20"/>
        </w:rPr>
        <w:t xml:space="preserve">Energia elektryczna w województwie wielkopolskim produkowana była głównie przez elektrownie konwencjonalne zawodowe (ryc. 1.8), z produkcją wynoszącą 7 408,9 GWh </w:t>
      </w:r>
      <w:r w:rsidR="008324B5" w:rsidRPr="003478AF">
        <w:rPr>
          <w:rFonts w:cs="Arial"/>
          <w:szCs w:val="20"/>
        </w:rPr>
        <w:br/>
      </w:r>
      <w:r w:rsidRPr="003478AF">
        <w:rPr>
          <w:rFonts w:cs="Arial"/>
          <w:szCs w:val="20"/>
        </w:rPr>
        <w:t>w 2019 roku. Udział energii odnawialnej w produkcji energii elektrycznej ogółem, wynoszący 25,3%, był wyższy od średniej krajowej (15,5%), jednak równocześnie ponad trzykrotnie niższy od najwyższej wartości w Polsce (województwo warmińsko-mazurskie – 85,7%). Stosunek produkcji energii elektrycznej do jej zużycia opiewał na 74,2%.</w:t>
      </w:r>
    </w:p>
    <w:p w14:paraId="1E43F161" w14:textId="77777777" w:rsidR="007D50F3" w:rsidRPr="003478AF" w:rsidRDefault="007D50F3" w:rsidP="007D50F3">
      <w:pPr>
        <w:rPr>
          <w:rFonts w:cs="Arial"/>
          <w:szCs w:val="20"/>
        </w:rPr>
      </w:pPr>
      <w:r w:rsidRPr="003478AF">
        <w:rPr>
          <w:rFonts w:cs="Arial"/>
          <w:szCs w:val="20"/>
        </w:rPr>
        <w:t xml:space="preserve">Głównym obiektem zasilającym województwo w energię elektryczną jest Zespół Elektrowni Pątnów–Adamów–Konin S.A. (ZE PAK) – drugi pod względem wielkości krajowy producent energii elektrycznej otrzymywanej z węgla brunatnego i czwarty wytwórca energii </w:t>
      </w:r>
      <w:r w:rsidRPr="003478AF">
        <w:rPr>
          <w:rFonts w:cs="Arial"/>
          <w:szCs w:val="20"/>
        </w:rPr>
        <w:lastRenderedPageBreak/>
        <w:t>elektrycznej w Polsce</w:t>
      </w:r>
      <w:r w:rsidRPr="003478AF">
        <w:rPr>
          <w:rStyle w:val="Odwoanieprzypisudolnego"/>
          <w:rFonts w:cs="Arial"/>
          <w:szCs w:val="20"/>
        </w:rPr>
        <w:footnoteReference w:id="12"/>
      </w:r>
      <w:r w:rsidRPr="003478AF">
        <w:rPr>
          <w:rFonts w:cs="Arial"/>
          <w:szCs w:val="20"/>
        </w:rPr>
        <w:t>. Przewiduje się, że elektrownie PAK do 2030 roku zamiast węgla brunatnego będą wykorzystywały wyłącznie odnawialne źródła energii (OZE) oraz wodór do produkcji energii elektrycznej.</w:t>
      </w:r>
    </w:p>
    <w:p w14:paraId="5C38E4EE" w14:textId="77777777" w:rsidR="002077F3" w:rsidRPr="003478AF" w:rsidRDefault="002077F3" w:rsidP="002077F3">
      <w:pPr>
        <w:rPr>
          <w:rFonts w:cs="Arial"/>
          <w:szCs w:val="20"/>
        </w:rPr>
      </w:pPr>
    </w:p>
    <w:p w14:paraId="0DB355E8" w14:textId="3B1FB81B" w:rsidR="002077F3" w:rsidRPr="003478AF" w:rsidRDefault="002077F3" w:rsidP="00986D40">
      <w:pPr>
        <w:pStyle w:val="ARYCINA"/>
      </w:pPr>
      <w:r w:rsidRPr="003478AF">
        <w:t xml:space="preserve">Ryc. </w:t>
      </w:r>
      <w:r w:rsidR="009F17FB" w:rsidRPr="003478AF">
        <w:t>1</w:t>
      </w:r>
      <w:r w:rsidRPr="003478AF">
        <w:t>.</w:t>
      </w:r>
      <w:r w:rsidRPr="003478AF">
        <w:rPr>
          <w:noProof/>
        </w:rPr>
        <w:fldChar w:fldCharType="begin"/>
      </w:r>
      <w:r w:rsidRPr="003478AF">
        <w:rPr>
          <w:noProof/>
        </w:rPr>
        <w:instrText xml:space="preserve"> SEQ Ryc. \* ARABIC \s 1 </w:instrText>
      </w:r>
      <w:r w:rsidRPr="003478AF">
        <w:rPr>
          <w:noProof/>
        </w:rPr>
        <w:fldChar w:fldCharType="separate"/>
      </w:r>
      <w:r w:rsidR="007B1066">
        <w:rPr>
          <w:noProof/>
        </w:rPr>
        <w:t>7</w:t>
      </w:r>
      <w:r w:rsidRPr="003478AF">
        <w:rPr>
          <w:noProof/>
        </w:rPr>
        <w:fldChar w:fldCharType="end"/>
      </w:r>
      <w:r w:rsidRPr="003478AF">
        <w:t xml:space="preserve"> Zużycie energii elektrycznej w gospodarstwach domowych na 1 mieszkańca</w:t>
      </w:r>
      <w:r w:rsidR="0038370F" w:rsidRPr="003478AF">
        <w:t xml:space="preserve"> </w:t>
      </w:r>
      <w:r w:rsidR="008E6936" w:rsidRPr="003478AF">
        <w:br/>
      </w:r>
      <w:r w:rsidR="0038370F" w:rsidRPr="003478AF">
        <w:t>w Polsce według województw w 2019 roku</w:t>
      </w:r>
    </w:p>
    <w:p w14:paraId="33F357C9" w14:textId="77777777" w:rsidR="002077F3" w:rsidRPr="003478AF" w:rsidRDefault="002077F3" w:rsidP="002077F3">
      <w:pPr>
        <w:jc w:val="center"/>
        <w:rPr>
          <w:rFonts w:cs="Arial"/>
          <w:szCs w:val="20"/>
        </w:rPr>
      </w:pPr>
      <w:r w:rsidRPr="003478AF">
        <w:rPr>
          <w:rFonts w:cs="Arial"/>
          <w:noProof/>
          <w:szCs w:val="20"/>
          <w:lang w:eastAsia="pl-PL"/>
        </w:rPr>
        <w:drawing>
          <wp:inline distT="0" distB="0" distL="0" distR="0" wp14:anchorId="186ABA4D" wp14:editId="5179CFE6">
            <wp:extent cx="3723702" cy="2325370"/>
            <wp:effectExtent l="0" t="0" r="0" b="0"/>
            <wp:docPr id="78" name="Obraz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22">
                      <a:extLst>
                        <a:ext uri="{28A0092B-C50C-407E-A947-70E740481C1C}">
                          <a14:useLocalDpi xmlns:a14="http://schemas.microsoft.com/office/drawing/2010/main" val="0"/>
                        </a:ext>
                      </a:extLst>
                    </a:blip>
                    <a:srcRect t="7921"/>
                    <a:stretch/>
                  </pic:blipFill>
                  <pic:spPr bwMode="auto">
                    <a:xfrm>
                      <a:off x="0" y="0"/>
                      <a:ext cx="3738397" cy="2334547"/>
                    </a:xfrm>
                    <a:prstGeom prst="rect">
                      <a:avLst/>
                    </a:prstGeom>
                    <a:noFill/>
                    <a:ln>
                      <a:noFill/>
                    </a:ln>
                    <a:extLst>
                      <a:ext uri="{53640926-AAD7-44D8-BBD7-CCE9431645EC}">
                        <a14:shadowObscured xmlns:a14="http://schemas.microsoft.com/office/drawing/2010/main"/>
                      </a:ext>
                    </a:extLst>
                  </pic:spPr>
                </pic:pic>
              </a:graphicData>
            </a:graphic>
          </wp:inline>
        </w:drawing>
      </w:r>
    </w:p>
    <w:p w14:paraId="197B7DD5" w14:textId="586161D1" w:rsidR="002077F3" w:rsidRPr="003478AF" w:rsidRDefault="002077F3" w:rsidP="00986D40">
      <w:pPr>
        <w:pStyle w:val="AZRODLO"/>
      </w:pPr>
      <w:r w:rsidRPr="003478AF">
        <w:t xml:space="preserve">Źródło: </w:t>
      </w:r>
      <w:r w:rsidR="00A54066" w:rsidRPr="003478AF">
        <w:t>O</w:t>
      </w:r>
      <w:r w:rsidRPr="003478AF">
        <w:t>pracowanie własne na podstawie GUS BDL</w:t>
      </w:r>
    </w:p>
    <w:p w14:paraId="137E32D3" w14:textId="77777777" w:rsidR="002077F3" w:rsidRPr="003478AF" w:rsidRDefault="002077F3" w:rsidP="002077F3">
      <w:pPr>
        <w:rPr>
          <w:rFonts w:cs="Arial"/>
          <w:szCs w:val="20"/>
        </w:rPr>
      </w:pPr>
    </w:p>
    <w:p w14:paraId="6B70912E" w14:textId="4F72F1B4" w:rsidR="002077F3" w:rsidRPr="003478AF" w:rsidRDefault="002077F3" w:rsidP="00986D40">
      <w:pPr>
        <w:pStyle w:val="ARYCINA"/>
      </w:pPr>
      <w:r w:rsidRPr="003478AF">
        <w:t xml:space="preserve">Ryc. </w:t>
      </w:r>
      <w:r w:rsidR="009F17FB" w:rsidRPr="003478AF">
        <w:t>1</w:t>
      </w:r>
      <w:r w:rsidRPr="003478AF">
        <w:t>.</w:t>
      </w:r>
      <w:r w:rsidRPr="003478AF">
        <w:rPr>
          <w:noProof/>
        </w:rPr>
        <w:fldChar w:fldCharType="begin"/>
      </w:r>
      <w:r w:rsidRPr="003478AF">
        <w:rPr>
          <w:noProof/>
        </w:rPr>
        <w:instrText xml:space="preserve"> SEQ Ryc. \* ARABIC \s 1 </w:instrText>
      </w:r>
      <w:r w:rsidRPr="003478AF">
        <w:rPr>
          <w:noProof/>
        </w:rPr>
        <w:fldChar w:fldCharType="separate"/>
      </w:r>
      <w:r w:rsidR="007B1066">
        <w:rPr>
          <w:noProof/>
        </w:rPr>
        <w:t>8</w:t>
      </w:r>
      <w:r w:rsidRPr="003478AF">
        <w:rPr>
          <w:noProof/>
        </w:rPr>
        <w:fldChar w:fldCharType="end"/>
      </w:r>
      <w:r w:rsidRPr="003478AF">
        <w:t xml:space="preserve"> Produkcja energii elektrycznej </w:t>
      </w:r>
      <w:r w:rsidR="0038370F" w:rsidRPr="003478AF">
        <w:t>w województwie wielkopolskim w 2019 roku</w:t>
      </w:r>
      <w:r w:rsidR="0038370F" w:rsidRPr="003478AF" w:rsidDel="0038370F">
        <w:t xml:space="preserve"> </w:t>
      </w:r>
    </w:p>
    <w:p w14:paraId="587E8B52" w14:textId="77777777" w:rsidR="002077F3" w:rsidRPr="003478AF" w:rsidRDefault="002077F3" w:rsidP="002077F3">
      <w:pPr>
        <w:jc w:val="center"/>
        <w:rPr>
          <w:rFonts w:cs="Arial"/>
          <w:b/>
          <w:bCs/>
          <w:szCs w:val="20"/>
        </w:rPr>
      </w:pPr>
      <w:r w:rsidRPr="003478AF">
        <w:rPr>
          <w:rFonts w:cs="Arial"/>
          <w:b/>
          <w:bCs/>
          <w:noProof/>
          <w:szCs w:val="20"/>
          <w:lang w:eastAsia="pl-PL"/>
        </w:rPr>
        <w:drawing>
          <wp:inline distT="0" distB="0" distL="0" distR="0" wp14:anchorId="49297FAC" wp14:editId="5813D082">
            <wp:extent cx="4152900" cy="2371725"/>
            <wp:effectExtent l="0" t="0" r="0" b="0"/>
            <wp:docPr id="79" name="Obraz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23">
                      <a:extLst>
                        <a:ext uri="{28A0092B-C50C-407E-A947-70E740481C1C}">
                          <a14:useLocalDpi xmlns:a14="http://schemas.microsoft.com/office/drawing/2010/main" val="0"/>
                        </a:ext>
                      </a:extLst>
                    </a:blip>
                    <a:srcRect r="12672" b="29528"/>
                    <a:stretch/>
                  </pic:blipFill>
                  <pic:spPr bwMode="auto">
                    <a:xfrm>
                      <a:off x="0" y="0"/>
                      <a:ext cx="4164882" cy="2378568"/>
                    </a:xfrm>
                    <a:prstGeom prst="rect">
                      <a:avLst/>
                    </a:prstGeom>
                    <a:noFill/>
                    <a:ln>
                      <a:noFill/>
                    </a:ln>
                    <a:extLst>
                      <a:ext uri="{53640926-AAD7-44D8-BBD7-CCE9431645EC}">
                        <a14:shadowObscured xmlns:a14="http://schemas.microsoft.com/office/drawing/2010/main"/>
                      </a:ext>
                    </a:extLst>
                  </pic:spPr>
                </pic:pic>
              </a:graphicData>
            </a:graphic>
          </wp:inline>
        </w:drawing>
      </w:r>
    </w:p>
    <w:p w14:paraId="09B39B24" w14:textId="172B5890" w:rsidR="002077F3" w:rsidRPr="003478AF" w:rsidRDefault="002077F3" w:rsidP="00986D40">
      <w:pPr>
        <w:pStyle w:val="AZRODLO"/>
      </w:pPr>
      <w:r w:rsidRPr="003478AF">
        <w:t xml:space="preserve">Źródło: </w:t>
      </w:r>
      <w:r w:rsidR="00A54066" w:rsidRPr="003478AF">
        <w:t>O</w:t>
      </w:r>
      <w:r w:rsidRPr="003478AF">
        <w:t>pracowanie własne na podstawie GUS BDL</w:t>
      </w:r>
    </w:p>
    <w:p w14:paraId="26734737" w14:textId="1F62D3A3" w:rsidR="007D50F3" w:rsidRPr="003478AF" w:rsidRDefault="007D50F3">
      <w:pPr>
        <w:spacing w:line="240" w:lineRule="auto"/>
        <w:ind w:firstLine="0"/>
        <w:jc w:val="left"/>
        <w:rPr>
          <w:rFonts w:eastAsia="Arial" w:cs="Arial"/>
          <w:bCs/>
          <w:sz w:val="16"/>
          <w:szCs w:val="16"/>
        </w:rPr>
      </w:pPr>
      <w:r w:rsidRPr="003478AF">
        <w:br w:type="page"/>
      </w:r>
    </w:p>
    <w:p w14:paraId="4A535918" w14:textId="102ED973" w:rsidR="002077F3" w:rsidRPr="003478AF" w:rsidRDefault="000C0BED">
      <w:pPr>
        <w:pStyle w:val="Nagwek2"/>
      </w:pPr>
      <w:bookmarkStart w:id="18" w:name="_Toc82159985"/>
      <w:r w:rsidRPr="003478AF">
        <w:lastRenderedPageBreak/>
        <w:t xml:space="preserve">1.8. </w:t>
      </w:r>
      <w:r w:rsidR="002077F3" w:rsidRPr="003478AF">
        <w:t>Surowce</w:t>
      </w:r>
      <w:bookmarkEnd w:id="18"/>
    </w:p>
    <w:p w14:paraId="7A8DBD37" w14:textId="7E2EAA39" w:rsidR="002077F3" w:rsidRPr="003478AF" w:rsidRDefault="002077F3" w:rsidP="002077F3">
      <w:pPr>
        <w:rPr>
          <w:rFonts w:cs="Arial"/>
          <w:szCs w:val="20"/>
        </w:rPr>
      </w:pPr>
      <w:r w:rsidRPr="003478AF">
        <w:rPr>
          <w:rFonts w:cs="Arial"/>
          <w:szCs w:val="20"/>
        </w:rPr>
        <w:t xml:space="preserve">Głównymi surowcami energetycznymi dotychczas eksploatowanymi </w:t>
      </w:r>
      <w:r w:rsidR="00CE1227" w:rsidRPr="003478AF">
        <w:rPr>
          <w:rFonts w:cs="Arial"/>
          <w:szCs w:val="20"/>
        </w:rPr>
        <w:t xml:space="preserve">w województwie wielkopolskim </w:t>
      </w:r>
      <w:r w:rsidRPr="003478AF">
        <w:rPr>
          <w:rFonts w:cs="Arial"/>
          <w:szCs w:val="20"/>
        </w:rPr>
        <w:t xml:space="preserve">były węgiel brunatny i gaz ziemny. Wydobycie </w:t>
      </w:r>
      <w:r w:rsidR="00CE1227" w:rsidRPr="003478AF">
        <w:rPr>
          <w:rFonts w:cs="Arial"/>
          <w:szCs w:val="20"/>
        </w:rPr>
        <w:t xml:space="preserve">węgla </w:t>
      </w:r>
      <w:r w:rsidRPr="003478AF">
        <w:rPr>
          <w:rFonts w:cs="Arial"/>
          <w:szCs w:val="20"/>
        </w:rPr>
        <w:t>w 2019 roku w złożach konińskich (na potrzeby ZE PAK) wynosiło: Tomisławice 2</w:t>
      </w:r>
      <w:r w:rsidR="00CE1227" w:rsidRPr="003478AF">
        <w:rPr>
          <w:rFonts w:cs="Arial"/>
          <w:szCs w:val="20"/>
        </w:rPr>
        <w:t> </w:t>
      </w:r>
      <w:r w:rsidRPr="003478AF">
        <w:rPr>
          <w:rFonts w:cs="Arial"/>
          <w:szCs w:val="20"/>
        </w:rPr>
        <w:t>329 tys. t (4,41%</w:t>
      </w:r>
      <w:r w:rsidR="009D3C4E" w:rsidRPr="003478AF">
        <w:rPr>
          <w:rFonts w:cs="Arial"/>
          <w:szCs w:val="20"/>
        </w:rPr>
        <w:t xml:space="preserve"> wydobycia krajowego</w:t>
      </w:r>
      <w:r w:rsidRPr="003478AF">
        <w:rPr>
          <w:rFonts w:cs="Arial"/>
          <w:szCs w:val="20"/>
        </w:rPr>
        <w:t>), Pątnów IV 2</w:t>
      </w:r>
      <w:r w:rsidR="00CE1227" w:rsidRPr="003478AF">
        <w:rPr>
          <w:rFonts w:cs="Arial"/>
          <w:szCs w:val="20"/>
        </w:rPr>
        <w:t> </w:t>
      </w:r>
      <w:r w:rsidRPr="003478AF">
        <w:rPr>
          <w:rFonts w:cs="Arial"/>
          <w:szCs w:val="20"/>
        </w:rPr>
        <w:t>214 tys. t (4,19%), Drzewce 1</w:t>
      </w:r>
      <w:r w:rsidR="00CE1227" w:rsidRPr="003478AF">
        <w:rPr>
          <w:rFonts w:cs="Arial"/>
          <w:szCs w:val="20"/>
        </w:rPr>
        <w:t> </w:t>
      </w:r>
      <w:r w:rsidRPr="003478AF">
        <w:rPr>
          <w:rFonts w:cs="Arial"/>
          <w:szCs w:val="20"/>
        </w:rPr>
        <w:t>313 tys. t (2,48%), Adamów 895 tys. t (1,69</w:t>
      </w:r>
      <w:r w:rsidR="00975FF5" w:rsidRPr="003478AF">
        <w:rPr>
          <w:rFonts w:cs="Arial"/>
          <w:szCs w:val="20"/>
        </w:rPr>
        <w:t>%</w:t>
      </w:r>
      <w:r w:rsidRPr="003478AF">
        <w:rPr>
          <w:rFonts w:cs="Arial"/>
          <w:szCs w:val="20"/>
        </w:rPr>
        <w:t>)</w:t>
      </w:r>
      <w:r w:rsidRPr="003478AF">
        <w:rPr>
          <w:rStyle w:val="Odwoanieprzypisudolnego"/>
          <w:rFonts w:cs="Arial"/>
          <w:szCs w:val="20"/>
        </w:rPr>
        <w:footnoteReference w:id="13"/>
      </w:r>
      <w:r w:rsidRPr="003478AF">
        <w:rPr>
          <w:rFonts w:cs="Arial"/>
          <w:szCs w:val="20"/>
        </w:rPr>
        <w:t>. Gaz ziemny występuje w strefie kościańsko-grodziskiej i w okolicach Ostrowa Wielkopolskiego. Spośród surowców istotne znaczenie miały kruszywa piaszczysto-żwirowe. Województwo wielkopolskie znajdowało się na drugim miejscu pod względem największej udokumentowanej liczby ich złóż w Polsce (za woj</w:t>
      </w:r>
      <w:r w:rsidR="00C179B0" w:rsidRPr="003478AF">
        <w:rPr>
          <w:rFonts w:cs="Arial"/>
          <w:szCs w:val="20"/>
        </w:rPr>
        <w:t>ewództwem</w:t>
      </w:r>
      <w:r w:rsidRPr="003478AF">
        <w:rPr>
          <w:rFonts w:cs="Arial"/>
          <w:szCs w:val="20"/>
        </w:rPr>
        <w:t xml:space="preserve"> mazowieckim) </w:t>
      </w:r>
      <w:r w:rsidR="009D3C4E" w:rsidRPr="003478AF">
        <w:rPr>
          <w:rFonts w:cs="Arial"/>
          <w:szCs w:val="20"/>
        </w:rPr>
        <w:t>–</w:t>
      </w:r>
      <w:r w:rsidRPr="003478AF">
        <w:rPr>
          <w:rFonts w:cs="Arial"/>
          <w:szCs w:val="20"/>
        </w:rPr>
        <w:t xml:space="preserve"> 1</w:t>
      </w:r>
      <w:r w:rsidR="00D47930" w:rsidRPr="003478AF">
        <w:rPr>
          <w:rFonts w:cs="Arial"/>
          <w:szCs w:val="20"/>
        </w:rPr>
        <w:t> </w:t>
      </w:r>
      <w:r w:rsidRPr="003478AF">
        <w:rPr>
          <w:rFonts w:cs="Arial"/>
          <w:szCs w:val="20"/>
        </w:rPr>
        <w:t xml:space="preserve">232 złóż, </w:t>
      </w:r>
      <w:r w:rsidR="001234C0" w:rsidRPr="003478AF">
        <w:rPr>
          <w:rFonts w:cs="Arial"/>
          <w:szCs w:val="20"/>
        </w:rPr>
        <w:t>przy czym</w:t>
      </w:r>
      <w:r w:rsidRPr="003478AF">
        <w:rPr>
          <w:rFonts w:cs="Arial"/>
          <w:szCs w:val="20"/>
        </w:rPr>
        <w:t xml:space="preserve"> eksploatowanych było 29% </w:t>
      </w:r>
      <w:r w:rsidR="009D3C4E" w:rsidRPr="003478AF">
        <w:rPr>
          <w:rFonts w:cs="Arial"/>
          <w:szCs w:val="20"/>
        </w:rPr>
        <w:t xml:space="preserve">złóż </w:t>
      </w:r>
      <w:r w:rsidRPr="003478AF">
        <w:rPr>
          <w:rFonts w:cs="Arial"/>
          <w:szCs w:val="20"/>
        </w:rPr>
        <w:t>(358). Ponadto z</w:t>
      </w:r>
      <w:r w:rsidR="00B241A8" w:rsidRPr="003478AF">
        <w:rPr>
          <w:rFonts w:cs="Arial"/>
          <w:szCs w:val="20"/>
        </w:rPr>
        <w:t xml:space="preserve">e </w:t>
      </w:r>
      <w:r w:rsidRPr="003478AF">
        <w:rPr>
          <w:rFonts w:cs="Arial"/>
          <w:szCs w:val="20"/>
        </w:rPr>
        <w:t>złoża soli Kłodawa 1 wydobyto 578 tys. t soli kruszonej (ok</w:t>
      </w:r>
      <w:r w:rsidR="00975FF5" w:rsidRPr="003478AF">
        <w:rPr>
          <w:rFonts w:cs="Arial"/>
          <w:szCs w:val="20"/>
        </w:rPr>
        <w:t>oło</w:t>
      </w:r>
      <w:r w:rsidRPr="003478AF">
        <w:rPr>
          <w:rFonts w:cs="Arial"/>
          <w:szCs w:val="20"/>
        </w:rPr>
        <w:t xml:space="preserve"> 14,2% krajowego wydobycia soli; wzrost wydobycia o 4,7% </w:t>
      </w:r>
      <w:r w:rsidR="008324B5" w:rsidRPr="003478AF">
        <w:rPr>
          <w:rFonts w:cs="Arial"/>
          <w:szCs w:val="20"/>
        </w:rPr>
        <w:br/>
      </w:r>
      <w:r w:rsidRPr="003478AF">
        <w:rPr>
          <w:rFonts w:cs="Arial"/>
          <w:szCs w:val="20"/>
        </w:rPr>
        <w:t>w stosunku do 2018 r</w:t>
      </w:r>
      <w:r w:rsidR="0004539F" w:rsidRPr="003478AF">
        <w:rPr>
          <w:rFonts w:cs="Arial"/>
          <w:szCs w:val="20"/>
        </w:rPr>
        <w:t>oku</w:t>
      </w:r>
      <w:r w:rsidRPr="003478AF">
        <w:rPr>
          <w:rFonts w:cs="Arial"/>
          <w:szCs w:val="20"/>
        </w:rPr>
        <w:t>).</w:t>
      </w:r>
    </w:p>
    <w:p w14:paraId="3E0F9D8A" w14:textId="77777777" w:rsidR="007D50F3" w:rsidRPr="003478AF" w:rsidRDefault="007D50F3" w:rsidP="002077F3">
      <w:pPr>
        <w:rPr>
          <w:rFonts w:cs="Arial"/>
          <w:szCs w:val="20"/>
        </w:rPr>
      </w:pPr>
    </w:p>
    <w:p w14:paraId="2AA0DC78" w14:textId="0D46FD72" w:rsidR="002077F3" w:rsidRPr="003478AF" w:rsidRDefault="000C0BED">
      <w:pPr>
        <w:pStyle w:val="Nagwek2"/>
      </w:pPr>
      <w:bookmarkStart w:id="19" w:name="_Toc82159986"/>
      <w:r w:rsidRPr="003478AF">
        <w:t xml:space="preserve">1.9. </w:t>
      </w:r>
      <w:r w:rsidR="002077F3" w:rsidRPr="003478AF">
        <w:t>Ochrona środowiska</w:t>
      </w:r>
      <w:bookmarkEnd w:id="19"/>
    </w:p>
    <w:p w14:paraId="7836BA3D" w14:textId="7FCF02CA" w:rsidR="002077F3" w:rsidRPr="003478AF" w:rsidRDefault="002077F3" w:rsidP="002077F3">
      <w:pPr>
        <w:rPr>
          <w:rFonts w:cs="Arial"/>
          <w:szCs w:val="20"/>
        </w:rPr>
      </w:pPr>
      <w:r w:rsidRPr="003478AF">
        <w:rPr>
          <w:rFonts w:cs="Arial"/>
          <w:szCs w:val="20"/>
        </w:rPr>
        <w:t>Wpływ eksploatacji wymienionych powyżej surowców nasilał istotnie degradacj</w:t>
      </w:r>
      <w:r w:rsidR="00DD098C" w:rsidRPr="003478AF">
        <w:rPr>
          <w:rFonts w:cs="Arial"/>
          <w:szCs w:val="20"/>
        </w:rPr>
        <w:t>ę</w:t>
      </w:r>
      <w:r w:rsidRPr="003478AF">
        <w:rPr>
          <w:rFonts w:cs="Arial"/>
          <w:szCs w:val="20"/>
        </w:rPr>
        <w:t xml:space="preserve"> terenów województwa</w:t>
      </w:r>
      <w:r w:rsidR="00DB2165" w:rsidRPr="003478AF">
        <w:rPr>
          <w:rFonts w:cs="Arial"/>
          <w:szCs w:val="20"/>
        </w:rPr>
        <w:t xml:space="preserve"> wielkopolskiego</w:t>
      </w:r>
      <w:r w:rsidRPr="003478AF">
        <w:rPr>
          <w:rFonts w:cs="Arial"/>
          <w:szCs w:val="20"/>
        </w:rPr>
        <w:t xml:space="preserve">. </w:t>
      </w:r>
      <w:r w:rsidR="00DD098C" w:rsidRPr="003478AF">
        <w:rPr>
          <w:rFonts w:cs="Arial"/>
          <w:szCs w:val="20"/>
        </w:rPr>
        <w:t>W</w:t>
      </w:r>
      <w:r w:rsidRPr="003478AF">
        <w:rPr>
          <w:rFonts w:cs="Arial"/>
          <w:szCs w:val="20"/>
        </w:rPr>
        <w:t xml:space="preserve"> wyniku wydobycia węgla brunatnego zwiększyła się </w:t>
      </w:r>
      <w:r w:rsidR="00DD098C" w:rsidRPr="003478AF">
        <w:rPr>
          <w:rFonts w:cs="Arial"/>
          <w:szCs w:val="20"/>
        </w:rPr>
        <w:t xml:space="preserve">znacząco </w:t>
      </w:r>
      <w:r w:rsidRPr="003478AF">
        <w:rPr>
          <w:rFonts w:cs="Arial"/>
          <w:szCs w:val="20"/>
        </w:rPr>
        <w:t xml:space="preserve">powierzchnia terenów pokopalnianych. </w:t>
      </w:r>
      <w:r w:rsidR="00DD098C" w:rsidRPr="003478AF">
        <w:rPr>
          <w:rFonts w:cs="Arial"/>
          <w:szCs w:val="20"/>
        </w:rPr>
        <w:t xml:space="preserve">Miało </w:t>
      </w:r>
      <w:r w:rsidRPr="003478AF">
        <w:rPr>
          <w:rFonts w:cs="Arial"/>
          <w:szCs w:val="20"/>
        </w:rPr>
        <w:t>to również swoje przełożenie na zachwianie zasobów wodnych, w tym pogłębianie suszy hydrologicznej. Województwo wielkopolskie zostało zalicz</w:t>
      </w:r>
      <w:r w:rsidR="00DD016C" w:rsidRPr="003478AF">
        <w:rPr>
          <w:rFonts w:cs="Arial"/>
          <w:szCs w:val="20"/>
        </w:rPr>
        <w:t>o</w:t>
      </w:r>
      <w:r w:rsidRPr="003478AF">
        <w:rPr>
          <w:rFonts w:cs="Arial"/>
          <w:szCs w:val="20"/>
        </w:rPr>
        <w:t>ne do grona najbardziej deficytowych w wodę obszarów Polski</w:t>
      </w:r>
      <w:r w:rsidRPr="003478AF">
        <w:rPr>
          <w:rStyle w:val="Odwoanieprzypisudolnego"/>
          <w:rFonts w:cs="Arial"/>
          <w:szCs w:val="20"/>
        </w:rPr>
        <w:footnoteReference w:id="14"/>
      </w:r>
      <w:r w:rsidRPr="003478AF">
        <w:rPr>
          <w:rFonts w:cs="Arial"/>
          <w:szCs w:val="20"/>
        </w:rPr>
        <w:t>.</w:t>
      </w:r>
    </w:p>
    <w:p w14:paraId="66939D69" w14:textId="4438AD1D" w:rsidR="002077F3" w:rsidRPr="003478AF" w:rsidRDefault="002077F3" w:rsidP="002077F3">
      <w:pPr>
        <w:rPr>
          <w:rFonts w:cs="Arial"/>
          <w:szCs w:val="20"/>
        </w:rPr>
      </w:pPr>
      <w:r w:rsidRPr="003478AF">
        <w:rPr>
          <w:rFonts w:cs="Arial"/>
          <w:szCs w:val="20"/>
        </w:rPr>
        <w:t xml:space="preserve">Udział gruntów zdewastowanych i zdegradowanych wymagających rekultywacji </w:t>
      </w:r>
      <w:r w:rsidRPr="003478AF">
        <w:rPr>
          <w:rFonts w:cs="Arial"/>
          <w:szCs w:val="20"/>
        </w:rPr>
        <w:br/>
        <w:t xml:space="preserve">w powierzchni ogółem </w:t>
      </w:r>
      <w:r w:rsidR="00DD098C" w:rsidRPr="003478AF">
        <w:rPr>
          <w:rFonts w:cs="Arial"/>
          <w:szCs w:val="20"/>
        </w:rPr>
        <w:t xml:space="preserve">w 2019 roku </w:t>
      </w:r>
      <w:r w:rsidRPr="003478AF">
        <w:rPr>
          <w:rFonts w:cs="Arial"/>
          <w:szCs w:val="20"/>
        </w:rPr>
        <w:t xml:space="preserve">wynosił 0,346% i stanowił najwyższą wartość </w:t>
      </w:r>
      <w:r w:rsidR="00DD016C" w:rsidRPr="003478AF">
        <w:rPr>
          <w:rFonts w:cs="Arial"/>
          <w:szCs w:val="20"/>
        </w:rPr>
        <w:t xml:space="preserve">w Polsce, </w:t>
      </w:r>
      <w:r w:rsidRPr="003478AF">
        <w:rPr>
          <w:rFonts w:cs="Arial"/>
          <w:szCs w:val="20"/>
        </w:rPr>
        <w:t>za woj</w:t>
      </w:r>
      <w:r w:rsidR="0004539F" w:rsidRPr="003478AF">
        <w:rPr>
          <w:rFonts w:cs="Arial"/>
          <w:szCs w:val="20"/>
        </w:rPr>
        <w:t>ewództwem</w:t>
      </w:r>
      <w:r w:rsidRPr="003478AF">
        <w:rPr>
          <w:rFonts w:cs="Arial"/>
          <w:szCs w:val="20"/>
        </w:rPr>
        <w:t xml:space="preserve"> śląskim (0,404%)</w:t>
      </w:r>
      <w:r w:rsidR="0004539F" w:rsidRPr="003478AF">
        <w:rPr>
          <w:rFonts w:cs="Arial"/>
          <w:szCs w:val="20"/>
        </w:rPr>
        <w:t>.</w:t>
      </w:r>
      <w:r w:rsidRPr="003478AF">
        <w:rPr>
          <w:rFonts w:cs="Arial"/>
          <w:szCs w:val="20"/>
        </w:rPr>
        <w:t xml:space="preserve"> Wielkość gruntów, które zostały zrekultywowane </w:t>
      </w:r>
      <w:r w:rsidR="00843D1E" w:rsidRPr="003478AF">
        <w:rPr>
          <w:rFonts w:cs="Arial"/>
          <w:szCs w:val="20"/>
        </w:rPr>
        <w:br/>
      </w:r>
      <w:r w:rsidRPr="003478AF">
        <w:rPr>
          <w:rFonts w:cs="Arial"/>
          <w:szCs w:val="20"/>
        </w:rPr>
        <w:t>i zagospodarowane w ciągu roku wynosiła 289 ha, z czego głównym kierunkiem były cele rolnicze.</w:t>
      </w:r>
    </w:p>
    <w:p w14:paraId="480AAAAC" w14:textId="763999C4" w:rsidR="002077F3" w:rsidRPr="003478AF" w:rsidRDefault="002077F3" w:rsidP="002077F3">
      <w:pPr>
        <w:rPr>
          <w:rFonts w:cs="Arial"/>
          <w:szCs w:val="20"/>
        </w:rPr>
      </w:pPr>
      <w:r w:rsidRPr="003478AF">
        <w:rPr>
          <w:rFonts w:cs="Arial"/>
          <w:szCs w:val="20"/>
        </w:rPr>
        <w:t xml:space="preserve">Powierzchnia obszarów chronionych </w:t>
      </w:r>
      <w:r w:rsidR="0083177E" w:rsidRPr="003478AF">
        <w:rPr>
          <w:rFonts w:cs="Arial"/>
          <w:szCs w:val="20"/>
        </w:rPr>
        <w:t xml:space="preserve">w regionie </w:t>
      </w:r>
      <w:r w:rsidRPr="003478AF">
        <w:rPr>
          <w:rFonts w:cs="Arial"/>
          <w:szCs w:val="20"/>
        </w:rPr>
        <w:t xml:space="preserve">od kilku lat utrzymywała się na podobnym poziomie, nieco poniżej </w:t>
      </w:r>
      <w:r w:rsidR="00CC374A" w:rsidRPr="003478AF">
        <w:rPr>
          <w:rFonts w:cs="Arial"/>
          <w:szCs w:val="20"/>
        </w:rPr>
        <w:t xml:space="preserve">średniej </w:t>
      </w:r>
      <w:r w:rsidRPr="003478AF">
        <w:rPr>
          <w:rFonts w:cs="Arial"/>
          <w:szCs w:val="20"/>
        </w:rPr>
        <w:t xml:space="preserve">wartości dla całej Polski (32,3%), jednak </w:t>
      </w:r>
      <w:r w:rsidR="0083177E" w:rsidRPr="003478AF">
        <w:rPr>
          <w:rFonts w:cs="Arial"/>
          <w:szCs w:val="20"/>
        </w:rPr>
        <w:t xml:space="preserve">w 2019 roku zmniejszyła się </w:t>
      </w:r>
      <w:r w:rsidRPr="003478AF">
        <w:rPr>
          <w:rFonts w:cs="Arial"/>
          <w:szCs w:val="20"/>
        </w:rPr>
        <w:t>o 1% wynosząc 29,6%. Powierzchnia rezerwatów przyrody wynosiła 4</w:t>
      </w:r>
      <w:r w:rsidR="0083177E" w:rsidRPr="003478AF">
        <w:rPr>
          <w:rFonts w:cs="Arial"/>
          <w:szCs w:val="20"/>
        </w:rPr>
        <w:t> </w:t>
      </w:r>
      <w:r w:rsidRPr="003478AF">
        <w:rPr>
          <w:rFonts w:cs="Arial"/>
          <w:szCs w:val="20"/>
        </w:rPr>
        <w:t xml:space="preserve">117,57 ha. </w:t>
      </w:r>
      <w:r w:rsidR="0083177E" w:rsidRPr="003478AF">
        <w:rPr>
          <w:rFonts w:cs="Arial"/>
          <w:szCs w:val="20"/>
        </w:rPr>
        <w:t>P</w:t>
      </w:r>
      <w:r w:rsidRPr="003478AF">
        <w:rPr>
          <w:rFonts w:cs="Arial"/>
          <w:szCs w:val="20"/>
        </w:rPr>
        <w:t>ark</w:t>
      </w:r>
      <w:r w:rsidR="0083177E" w:rsidRPr="003478AF">
        <w:rPr>
          <w:rFonts w:cs="Arial"/>
          <w:szCs w:val="20"/>
        </w:rPr>
        <w:t>i</w:t>
      </w:r>
      <w:r w:rsidRPr="003478AF">
        <w:rPr>
          <w:rFonts w:cs="Arial"/>
          <w:szCs w:val="20"/>
        </w:rPr>
        <w:t>, zieleń</w:t>
      </w:r>
      <w:r w:rsidR="0083177E" w:rsidRPr="003478AF">
        <w:rPr>
          <w:rFonts w:cs="Arial"/>
          <w:szCs w:val="20"/>
        </w:rPr>
        <w:t>ce</w:t>
      </w:r>
      <w:r w:rsidRPr="003478AF">
        <w:rPr>
          <w:rFonts w:cs="Arial"/>
          <w:szCs w:val="20"/>
        </w:rPr>
        <w:t xml:space="preserve"> i teren</w:t>
      </w:r>
      <w:r w:rsidR="0083177E" w:rsidRPr="003478AF">
        <w:rPr>
          <w:rFonts w:cs="Arial"/>
          <w:szCs w:val="20"/>
        </w:rPr>
        <w:t>y</w:t>
      </w:r>
      <w:r w:rsidRPr="003478AF">
        <w:rPr>
          <w:rFonts w:cs="Arial"/>
          <w:szCs w:val="20"/>
        </w:rPr>
        <w:t xml:space="preserve"> zieleni osiedlowej </w:t>
      </w:r>
      <w:r w:rsidR="0083177E" w:rsidRPr="003478AF">
        <w:rPr>
          <w:rFonts w:cs="Arial"/>
          <w:szCs w:val="20"/>
        </w:rPr>
        <w:t xml:space="preserve">stanowiły </w:t>
      </w:r>
      <w:r w:rsidRPr="003478AF">
        <w:rPr>
          <w:rFonts w:cs="Arial"/>
          <w:szCs w:val="20"/>
        </w:rPr>
        <w:t xml:space="preserve">0,2% powierzchni ogółem. </w:t>
      </w:r>
    </w:p>
    <w:p w14:paraId="5C42670B" w14:textId="5F455959" w:rsidR="002077F3" w:rsidRPr="003478AF" w:rsidRDefault="0083177E" w:rsidP="002077F3">
      <w:pPr>
        <w:rPr>
          <w:rFonts w:cs="Arial"/>
          <w:szCs w:val="20"/>
        </w:rPr>
      </w:pPr>
      <w:r w:rsidRPr="003478AF">
        <w:rPr>
          <w:rFonts w:cs="Arial"/>
          <w:szCs w:val="20"/>
        </w:rPr>
        <w:t>Największą część</w:t>
      </w:r>
      <w:r w:rsidR="00421D93" w:rsidRPr="003478AF">
        <w:rPr>
          <w:rFonts w:cs="Arial"/>
          <w:szCs w:val="20"/>
        </w:rPr>
        <w:t xml:space="preserve"> nakładów na środki trwałe służące ochronie środowiska </w:t>
      </w:r>
      <w:r w:rsidR="002077F3" w:rsidRPr="003478AF">
        <w:rPr>
          <w:rFonts w:cs="Arial"/>
          <w:szCs w:val="20"/>
        </w:rPr>
        <w:t>przeznacz</w:t>
      </w:r>
      <w:r w:rsidRPr="003478AF">
        <w:rPr>
          <w:rFonts w:cs="Arial"/>
          <w:szCs w:val="20"/>
        </w:rPr>
        <w:t>ono</w:t>
      </w:r>
      <w:r w:rsidR="002077F3" w:rsidRPr="003478AF">
        <w:rPr>
          <w:rFonts w:cs="Arial"/>
          <w:szCs w:val="20"/>
        </w:rPr>
        <w:t xml:space="preserve"> </w:t>
      </w:r>
      <w:r w:rsidRPr="003478AF">
        <w:rPr>
          <w:rFonts w:cs="Arial"/>
          <w:szCs w:val="20"/>
        </w:rPr>
        <w:t xml:space="preserve">w Wielkopolsce </w:t>
      </w:r>
      <w:r w:rsidR="00696E94" w:rsidRPr="003478AF">
        <w:rPr>
          <w:rFonts w:cs="Arial"/>
          <w:szCs w:val="20"/>
        </w:rPr>
        <w:t xml:space="preserve">w 2019 roku </w:t>
      </w:r>
      <w:r w:rsidR="00727C86" w:rsidRPr="003478AF">
        <w:rPr>
          <w:rFonts w:cs="Arial"/>
          <w:szCs w:val="20"/>
        </w:rPr>
        <w:t>(</w:t>
      </w:r>
      <w:r w:rsidR="00381971" w:rsidRPr="003478AF">
        <w:rPr>
          <w:rFonts w:cs="Arial"/>
          <w:szCs w:val="20"/>
        </w:rPr>
        <w:t>ryc.</w:t>
      </w:r>
      <w:r w:rsidR="00727C86" w:rsidRPr="003478AF">
        <w:rPr>
          <w:rFonts w:cs="Arial"/>
          <w:szCs w:val="20"/>
        </w:rPr>
        <w:t xml:space="preserve"> 1.9) </w:t>
      </w:r>
      <w:r w:rsidR="002077F3" w:rsidRPr="003478AF">
        <w:rPr>
          <w:rFonts w:cs="Arial"/>
          <w:szCs w:val="20"/>
        </w:rPr>
        <w:t>na gospodarkę ściekową i ochronę wód (638,9 mln zł) oraz ochronę powietrza atmosferycznego i klimatu (436,1 mln zł).</w:t>
      </w:r>
    </w:p>
    <w:p w14:paraId="1FADAEE8" w14:textId="028182ED" w:rsidR="007D50F3" w:rsidRPr="003478AF" w:rsidRDefault="007D50F3" w:rsidP="007D50F3">
      <w:pPr>
        <w:rPr>
          <w:rFonts w:cs="Arial"/>
          <w:szCs w:val="20"/>
        </w:rPr>
      </w:pPr>
      <w:r w:rsidRPr="003478AF">
        <w:rPr>
          <w:rFonts w:cs="Arial"/>
          <w:szCs w:val="20"/>
        </w:rPr>
        <w:t>Zestawienie wartości wskaźników dla wybranych obszarów województwa wielkopolskiego przedstawiono na ryc. 1.10.</w:t>
      </w:r>
    </w:p>
    <w:p w14:paraId="7A77F3AC" w14:textId="77777777" w:rsidR="002077F3" w:rsidRPr="003478AF" w:rsidRDefault="002077F3" w:rsidP="002077F3">
      <w:pPr>
        <w:rPr>
          <w:rFonts w:cs="Arial"/>
          <w:szCs w:val="20"/>
        </w:rPr>
      </w:pPr>
    </w:p>
    <w:p w14:paraId="1D01555B" w14:textId="77777777" w:rsidR="007D50F3" w:rsidRPr="003478AF" w:rsidRDefault="007D50F3">
      <w:pPr>
        <w:spacing w:line="240" w:lineRule="auto"/>
        <w:ind w:firstLine="0"/>
        <w:jc w:val="left"/>
        <w:rPr>
          <w:rFonts w:eastAsia="Arial" w:cs="Arial"/>
          <w:b/>
          <w:bCs/>
          <w:sz w:val="16"/>
          <w:szCs w:val="16"/>
        </w:rPr>
      </w:pPr>
      <w:r w:rsidRPr="003478AF">
        <w:br w:type="page"/>
      </w:r>
    </w:p>
    <w:p w14:paraId="66CC1627" w14:textId="139DC42F" w:rsidR="002077F3" w:rsidRPr="003478AF" w:rsidRDefault="002077F3" w:rsidP="00986D40">
      <w:pPr>
        <w:pStyle w:val="ARYCINA"/>
      </w:pPr>
      <w:r w:rsidRPr="003478AF">
        <w:lastRenderedPageBreak/>
        <w:t xml:space="preserve">Ryc. </w:t>
      </w:r>
      <w:r w:rsidR="009F17FB" w:rsidRPr="003478AF">
        <w:t>1</w:t>
      </w:r>
      <w:r w:rsidRPr="003478AF">
        <w:t>.</w:t>
      </w:r>
      <w:r w:rsidRPr="003478AF">
        <w:rPr>
          <w:noProof/>
        </w:rPr>
        <w:fldChar w:fldCharType="begin"/>
      </w:r>
      <w:r w:rsidRPr="003478AF">
        <w:rPr>
          <w:noProof/>
        </w:rPr>
        <w:instrText xml:space="preserve"> SEQ Ryc. \* ARABIC \s 1 </w:instrText>
      </w:r>
      <w:r w:rsidRPr="003478AF">
        <w:rPr>
          <w:noProof/>
        </w:rPr>
        <w:fldChar w:fldCharType="separate"/>
      </w:r>
      <w:r w:rsidR="007B1066">
        <w:rPr>
          <w:noProof/>
        </w:rPr>
        <w:t>9</w:t>
      </w:r>
      <w:r w:rsidRPr="003478AF">
        <w:rPr>
          <w:noProof/>
        </w:rPr>
        <w:fldChar w:fldCharType="end"/>
      </w:r>
      <w:r w:rsidRPr="003478AF">
        <w:t xml:space="preserve"> Nakłady na środki trwałe służące ochronie środowiska</w:t>
      </w:r>
      <w:r w:rsidR="0038370F" w:rsidRPr="003478AF">
        <w:t xml:space="preserve"> w województwie wielkopolskim w 2019 roku</w:t>
      </w:r>
    </w:p>
    <w:p w14:paraId="3E7ABBFF" w14:textId="77777777" w:rsidR="002077F3" w:rsidRPr="003478AF" w:rsidRDefault="002077F3" w:rsidP="002077F3">
      <w:pPr>
        <w:jc w:val="center"/>
        <w:rPr>
          <w:rFonts w:cs="Arial"/>
          <w:szCs w:val="20"/>
        </w:rPr>
      </w:pPr>
      <w:r w:rsidRPr="003478AF">
        <w:rPr>
          <w:rFonts w:cs="Arial"/>
          <w:noProof/>
          <w:szCs w:val="20"/>
          <w:lang w:eastAsia="pl-PL"/>
        </w:rPr>
        <w:drawing>
          <wp:inline distT="0" distB="0" distL="0" distR="0" wp14:anchorId="0B330211" wp14:editId="443383B1">
            <wp:extent cx="4124976" cy="2448000"/>
            <wp:effectExtent l="0" t="0" r="0" b="0"/>
            <wp:docPr id="80" name="Obraz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24">
                      <a:extLst>
                        <a:ext uri="{28A0092B-C50C-407E-A947-70E740481C1C}">
                          <a14:useLocalDpi xmlns:a14="http://schemas.microsoft.com/office/drawing/2010/main" val="0"/>
                        </a:ext>
                      </a:extLst>
                    </a:blip>
                    <a:srcRect l="10817" r="3458" b="21265"/>
                    <a:stretch/>
                  </pic:blipFill>
                  <pic:spPr bwMode="auto">
                    <a:xfrm>
                      <a:off x="0" y="0"/>
                      <a:ext cx="4124976" cy="2448000"/>
                    </a:xfrm>
                    <a:prstGeom prst="rect">
                      <a:avLst/>
                    </a:prstGeom>
                    <a:noFill/>
                    <a:ln>
                      <a:noFill/>
                    </a:ln>
                    <a:extLst>
                      <a:ext uri="{53640926-AAD7-44D8-BBD7-CCE9431645EC}">
                        <a14:shadowObscured xmlns:a14="http://schemas.microsoft.com/office/drawing/2010/main"/>
                      </a:ext>
                    </a:extLst>
                  </pic:spPr>
                </pic:pic>
              </a:graphicData>
            </a:graphic>
          </wp:inline>
        </w:drawing>
      </w:r>
    </w:p>
    <w:p w14:paraId="058AF9B6" w14:textId="77777777" w:rsidR="002077F3" w:rsidRPr="003478AF" w:rsidRDefault="002077F3" w:rsidP="002077F3">
      <w:pPr>
        <w:rPr>
          <w:rFonts w:cs="Arial"/>
          <w:szCs w:val="20"/>
        </w:rPr>
      </w:pPr>
    </w:p>
    <w:p w14:paraId="3F9A66F3" w14:textId="68580E53" w:rsidR="002077F3" w:rsidRPr="003478AF" w:rsidRDefault="002077F3" w:rsidP="00986D40">
      <w:pPr>
        <w:pStyle w:val="AZRODLO"/>
      </w:pPr>
      <w:r w:rsidRPr="003478AF">
        <w:t xml:space="preserve">Źródło: </w:t>
      </w:r>
      <w:r w:rsidR="0004539F" w:rsidRPr="003478AF">
        <w:t>O</w:t>
      </w:r>
      <w:r w:rsidRPr="003478AF">
        <w:t>pracowanie własne na podstawie GUS BDL</w:t>
      </w:r>
    </w:p>
    <w:p w14:paraId="31782FE3" w14:textId="77777777" w:rsidR="002077F3" w:rsidRPr="003478AF" w:rsidRDefault="002077F3" w:rsidP="002077F3">
      <w:pPr>
        <w:jc w:val="center"/>
        <w:rPr>
          <w:rFonts w:cs="Arial"/>
          <w:szCs w:val="20"/>
        </w:rPr>
      </w:pPr>
    </w:p>
    <w:p w14:paraId="131D4F45" w14:textId="1D02FA54" w:rsidR="002077F3" w:rsidRPr="003478AF" w:rsidRDefault="002077F3" w:rsidP="00986D40">
      <w:pPr>
        <w:pStyle w:val="ARYCINA"/>
      </w:pPr>
      <w:r w:rsidRPr="003478AF">
        <w:t xml:space="preserve">Ryc. </w:t>
      </w:r>
      <w:r w:rsidR="009F17FB" w:rsidRPr="003478AF">
        <w:t>1</w:t>
      </w:r>
      <w:r w:rsidRPr="003478AF">
        <w:t>.</w:t>
      </w:r>
      <w:r w:rsidRPr="003478AF">
        <w:rPr>
          <w:noProof/>
        </w:rPr>
        <w:fldChar w:fldCharType="begin"/>
      </w:r>
      <w:r w:rsidRPr="003478AF">
        <w:rPr>
          <w:noProof/>
        </w:rPr>
        <w:instrText xml:space="preserve"> SEQ Ryc. \* ARABIC \s 1 </w:instrText>
      </w:r>
      <w:r w:rsidRPr="003478AF">
        <w:rPr>
          <w:noProof/>
        </w:rPr>
        <w:fldChar w:fldCharType="separate"/>
      </w:r>
      <w:r w:rsidR="007B1066">
        <w:rPr>
          <w:noProof/>
        </w:rPr>
        <w:t>10</w:t>
      </w:r>
      <w:r w:rsidRPr="003478AF">
        <w:rPr>
          <w:noProof/>
        </w:rPr>
        <w:fldChar w:fldCharType="end"/>
      </w:r>
      <w:r w:rsidRPr="003478AF">
        <w:t xml:space="preserve"> Wybrane dane statystyczne dla województwa wielkopolskiego</w:t>
      </w:r>
      <w:r w:rsidRPr="003478AF">
        <w:rPr>
          <w:noProof/>
          <w:lang w:eastAsia="pl-PL"/>
        </w:rPr>
        <w:drawing>
          <wp:inline distT="0" distB="0" distL="0" distR="0" wp14:anchorId="462F2EB3" wp14:editId="3CDD2524">
            <wp:extent cx="5616000" cy="4280391"/>
            <wp:effectExtent l="0" t="0" r="3810" b="6350"/>
            <wp:docPr id="81" name="Obraz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616000" cy="4280391"/>
                    </a:xfrm>
                    <a:prstGeom prst="rect">
                      <a:avLst/>
                    </a:prstGeom>
                    <a:noFill/>
                    <a:ln>
                      <a:noFill/>
                    </a:ln>
                  </pic:spPr>
                </pic:pic>
              </a:graphicData>
            </a:graphic>
          </wp:inline>
        </w:drawing>
      </w:r>
    </w:p>
    <w:p w14:paraId="72AEDB72" w14:textId="477D034C" w:rsidR="002077F3" w:rsidRPr="003478AF" w:rsidRDefault="002077F3" w:rsidP="00986D40">
      <w:pPr>
        <w:pStyle w:val="AZRODLO"/>
        <w:rPr>
          <w:rFonts w:eastAsia="MinionPro-Regular"/>
          <w:b/>
          <w:color w:val="00007E"/>
          <w:sz w:val="24"/>
          <w:shd w:val="clear" w:color="auto" w:fill="FFFFFF"/>
        </w:rPr>
      </w:pPr>
      <w:r w:rsidRPr="003478AF">
        <w:t xml:space="preserve">Źródło: </w:t>
      </w:r>
      <w:r w:rsidR="0004539F" w:rsidRPr="003478AF">
        <w:t>O</w:t>
      </w:r>
      <w:r w:rsidRPr="003478AF">
        <w:t>pracowanie własne na podstawie danych GUS BDL wg ostatniej dostępnej danej</w:t>
      </w:r>
      <w:r w:rsidRPr="003478AF">
        <w:br w:type="page"/>
      </w:r>
    </w:p>
    <w:p w14:paraId="2F4B95DA" w14:textId="77777777" w:rsidR="00C977E8" w:rsidRPr="003478AF" w:rsidRDefault="00C977E8" w:rsidP="00C977E8"/>
    <w:p w14:paraId="6551661C" w14:textId="1FA8911A" w:rsidR="00FA7769" w:rsidRPr="003478AF" w:rsidRDefault="002A3F65">
      <w:pPr>
        <w:pStyle w:val="Nagwek1"/>
      </w:pPr>
      <w:bookmarkStart w:id="20" w:name="_Toc82159987"/>
      <w:r w:rsidRPr="003478AF">
        <w:t xml:space="preserve">Model i uwarunkowania prawne rozwoju GOZ </w:t>
      </w:r>
      <w:r w:rsidR="001A7F0C" w:rsidRPr="003478AF">
        <w:br/>
      </w:r>
      <w:r w:rsidRPr="003478AF">
        <w:t xml:space="preserve">w Polsce </w:t>
      </w:r>
      <w:r w:rsidR="00B24E1C" w:rsidRPr="003478AF">
        <w:t>i</w:t>
      </w:r>
      <w:r w:rsidR="00A1462A" w:rsidRPr="003478AF">
        <w:t xml:space="preserve"> </w:t>
      </w:r>
      <w:r w:rsidRPr="003478AF">
        <w:t>Wielkopolsc</w:t>
      </w:r>
      <w:bookmarkEnd w:id="8"/>
      <w:r w:rsidRPr="003478AF">
        <w:t>e</w:t>
      </w:r>
      <w:bookmarkEnd w:id="20"/>
    </w:p>
    <w:p w14:paraId="0F8739E8" w14:textId="56EB61AA" w:rsidR="005C7740" w:rsidRPr="003478AF" w:rsidRDefault="009C537D">
      <w:pPr>
        <w:pStyle w:val="Nagwek2"/>
      </w:pPr>
      <w:bookmarkStart w:id="21" w:name="_Toc82159988"/>
      <w:r w:rsidRPr="003478AF">
        <w:t xml:space="preserve">2.1. </w:t>
      </w:r>
      <w:r w:rsidR="009D62AD" w:rsidRPr="003478AF">
        <w:t>Analiza podstaw teoretycznych i priorytetów oraz założeń najczęściej stosowanego modelu rozwoju GOZ Fundacji Ellen MacArthur</w:t>
      </w:r>
      <w:bookmarkEnd w:id="21"/>
      <w:r w:rsidR="009D62AD" w:rsidRPr="003478AF">
        <w:t xml:space="preserve"> </w:t>
      </w:r>
      <w:bookmarkStart w:id="22" w:name="_Toc43140889"/>
    </w:p>
    <w:p w14:paraId="1046DBCF" w14:textId="77777777" w:rsidR="001D3CAF" w:rsidRPr="003478AF" w:rsidRDefault="001D3CAF" w:rsidP="005C7740"/>
    <w:p w14:paraId="51C53A2B" w14:textId="000D1846" w:rsidR="005C7740" w:rsidRPr="003478AF" w:rsidRDefault="005C7740" w:rsidP="005C7740">
      <w:r w:rsidRPr="003478AF">
        <w:t>Gospodarka liniowa jest systemem konwencjonalnym. Jest praktykowana od bardzo dawna, ale nie jest siłą napędową zrównoważonego rozwoju</w:t>
      </w:r>
      <w:r w:rsidRPr="003478AF">
        <w:rPr>
          <w:rStyle w:val="Odwoanieprzypisudolnego"/>
        </w:rPr>
        <w:footnoteReference w:id="15"/>
      </w:r>
      <w:r w:rsidRPr="003478AF">
        <w:t>. Jej podstawą jest zakup dużych ilości tanich, łatwo dostępnych materiałów. Następnie przetwarzan</w:t>
      </w:r>
      <w:r w:rsidR="00DE26CE" w:rsidRPr="003478AF">
        <w:t>e są one</w:t>
      </w:r>
      <w:r w:rsidRPr="003478AF">
        <w:t xml:space="preserve"> w gotowy produkt </w:t>
      </w:r>
      <w:r w:rsidR="00B24E1C" w:rsidRPr="003478AF">
        <w:t>i</w:t>
      </w:r>
      <w:r w:rsidR="00DE26CE" w:rsidRPr="003478AF">
        <w:t xml:space="preserve"> </w:t>
      </w:r>
      <w:r w:rsidRPr="003478AF">
        <w:t>utylizowan</w:t>
      </w:r>
      <w:r w:rsidR="00DE26CE" w:rsidRPr="003478AF">
        <w:t>e</w:t>
      </w:r>
      <w:r w:rsidRPr="003478AF">
        <w:t xml:space="preserve"> </w:t>
      </w:r>
      <w:r w:rsidR="00DE26CE" w:rsidRPr="003478AF">
        <w:t xml:space="preserve">– </w:t>
      </w:r>
      <w:r w:rsidRPr="003478AF">
        <w:t>głównie składowan</w:t>
      </w:r>
      <w:r w:rsidR="00DE26CE" w:rsidRPr="003478AF">
        <w:t>e</w:t>
      </w:r>
      <w:r w:rsidRPr="003478AF">
        <w:t xml:space="preserve"> lub spalan</w:t>
      </w:r>
      <w:r w:rsidR="00DE26CE" w:rsidRPr="003478AF">
        <w:t>e</w:t>
      </w:r>
      <w:r w:rsidRPr="003478AF">
        <w:t>, przy niewielkiej lub żadnej</w:t>
      </w:r>
      <w:r w:rsidR="00E6136F" w:rsidRPr="003478AF">
        <w:t xml:space="preserve"> możliwości</w:t>
      </w:r>
      <w:r w:rsidRPr="003478AF">
        <w:t xml:space="preserve"> odzyskania produktów lub surowców wtórnych. Precedens ten wzmacniały przepisy, regulacje, prawo rachunkowe i podatkowe, w wyniku których producenci nie byli obciążani kosztami usuwania odpadów.</w:t>
      </w:r>
    </w:p>
    <w:p w14:paraId="65A9F59F" w14:textId="65D4980F" w:rsidR="005C7740" w:rsidRPr="003478AF" w:rsidRDefault="005C7740" w:rsidP="005C7740">
      <w:r w:rsidRPr="003478AF">
        <w:t xml:space="preserve">Zachowanie produktów i materiałów przy ich najwyższej wartości jest częścią przejścia w kierunku odbudowy cyklu gospodarczego, który odsuwa nas od marnotrawstwa. </w:t>
      </w:r>
      <w:r w:rsidR="00843D1E" w:rsidRPr="003478AF">
        <w:br/>
      </w:r>
      <w:r w:rsidRPr="003478AF">
        <w:t xml:space="preserve">Tak radykalna zmiana pociąga za sobą poważną transformację obecnych wzorców produkcji </w:t>
      </w:r>
      <w:r w:rsidR="001B0CB3" w:rsidRPr="003478AF">
        <w:br/>
      </w:r>
      <w:r w:rsidRPr="003478AF">
        <w:t xml:space="preserve">i konsumpcji, co z kolei ma znaczący wpływ na gospodarkę, środowisko i społeczeństwo. </w:t>
      </w:r>
      <w:r w:rsidR="00E44F16" w:rsidRPr="003478AF">
        <w:t>GOZ c</w:t>
      </w:r>
      <w:r w:rsidRPr="003478AF">
        <w:t>oraz częściej zyskuje na popularności na całym świecie jako potencjalny sposób na rozwój dobrobytu społeczeństwa, jednocześnie zmniejszając zależność od podstawowych materiałów i energii</w:t>
      </w:r>
      <w:r w:rsidRPr="003478AF">
        <w:rPr>
          <w:rStyle w:val="Odwoanieprzypisudolnego"/>
        </w:rPr>
        <w:footnoteReference w:id="16"/>
      </w:r>
      <w:r w:rsidRPr="003478AF">
        <w:t xml:space="preserve">. </w:t>
      </w:r>
    </w:p>
    <w:p w14:paraId="556DAB12" w14:textId="2C6AFEC5" w:rsidR="00C02A08" w:rsidRPr="003478AF" w:rsidRDefault="005C7740" w:rsidP="00B27894">
      <w:pPr>
        <w:rPr>
          <w:sz w:val="24"/>
          <w:szCs w:val="24"/>
        </w:rPr>
      </w:pPr>
      <w:r w:rsidRPr="003478AF">
        <w:t>Według Komisji Europejskiej (KE) „w gospodarce o obiegu zamkniętym wartość produktów i materiałów jest utrzymywana tak długo, jak to możliwe. Odpady i zużycie zasobów są zminimalizowane, a gdy produkt osiąga koniec swojego życia, jest ponownie używany do tworzenia dalszej wartości</w:t>
      </w:r>
      <w:r w:rsidR="005B1891" w:rsidRPr="003478AF">
        <w:t>”</w:t>
      </w:r>
      <w:r w:rsidRPr="003478AF">
        <w:rPr>
          <w:rStyle w:val="Odwoanieprzypisudolnego"/>
        </w:rPr>
        <w:footnoteReference w:id="17"/>
      </w:r>
      <w:r w:rsidRPr="003478AF">
        <w:t xml:space="preserve">. Może to przynieść duże korzyści gospodarcze, przyczyniając się do </w:t>
      </w:r>
      <w:r w:rsidR="005B1891" w:rsidRPr="003478AF">
        <w:t xml:space="preserve">rozwoju </w:t>
      </w:r>
      <w:r w:rsidRPr="003478AF">
        <w:t xml:space="preserve">innowacji, wzrostu i tworzenia </w:t>
      </w:r>
      <w:r w:rsidR="00244BF0" w:rsidRPr="003478AF">
        <w:t xml:space="preserve">nowych </w:t>
      </w:r>
      <w:r w:rsidRPr="003478AF">
        <w:t>miejsc pracy</w:t>
      </w:r>
      <w:r w:rsidRPr="003478AF">
        <w:rPr>
          <w:rStyle w:val="Odwoanieprzypisudolnego"/>
        </w:rPr>
        <w:footnoteReference w:id="18"/>
      </w:r>
      <w:r w:rsidRPr="003478AF">
        <w:t>, a także zwiększenia konkurencyjnoś</w:t>
      </w:r>
      <w:r w:rsidR="005B1891" w:rsidRPr="003478AF">
        <w:t>ci</w:t>
      </w:r>
      <w:r w:rsidRPr="003478AF">
        <w:t>, chroniąc przedsiębiorstwa przed niedoborem zasobów i niestabilnością cen, dając nowe możliwości biznesowe, wydajniejsze sposoby produkcji i konsumpcji</w:t>
      </w:r>
      <w:r w:rsidRPr="003478AF">
        <w:rPr>
          <w:rStyle w:val="Odwoanieprzypisudolnego"/>
        </w:rPr>
        <w:footnoteReference w:id="19"/>
      </w:r>
      <w:r w:rsidRPr="003478AF">
        <w:t>. Według</w:t>
      </w:r>
      <w:r w:rsidR="00244BF0" w:rsidRPr="003478AF">
        <w:t xml:space="preserve"> </w:t>
      </w:r>
      <w:r w:rsidRPr="003478AF">
        <w:t>Stahel</w:t>
      </w:r>
      <w:r w:rsidR="00244BF0" w:rsidRPr="003478AF">
        <w:t>a</w:t>
      </w:r>
      <w:r w:rsidR="00244BF0" w:rsidRPr="003478AF">
        <w:rPr>
          <w:rStyle w:val="Odwoanieprzypisudolnego"/>
        </w:rPr>
        <w:footnoteReference w:id="20"/>
      </w:r>
      <w:r w:rsidR="00244BF0" w:rsidRPr="003478AF">
        <w:t xml:space="preserve"> </w:t>
      </w:r>
      <w:r w:rsidRPr="003478AF">
        <w:t xml:space="preserve">„system GOZ </w:t>
      </w:r>
      <w:r w:rsidR="00244BF0" w:rsidRPr="003478AF">
        <w:t xml:space="preserve">powinien </w:t>
      </w:r>
      <w:r w:rsidRPr="003478AF">
        <w:t>zamieni</w:t>
      </w:r>
      <w:r w:rsidR="00244BF0" w:rsidRPr="003478AF">
        <w:t>ać</w:t>
      </w:r>
      <w:r w:rsidRPr="003478AF">
        <w:t xml:space="preserve"> towary, których okres użytkowania dobiega końca, </w:t>
      </w:r>
      <w:r w:rsidRPr="003478AF">
        <w:lastRenderedPageBreak/>
        <w:t>w zasoby dla innych”. GOZ stwarza wiele możliwości dla społeczeństwa i przemysłu</w:t>
      </w:r>
      <w:r w:rsidRPr="003478AF">
        <w:rPr>
          <w:rStyle w:val="Odwoanieprzypisudolnego"/>
        </w:rPr>
        <w:footnoteReference w:id="21"/>
      </w:r>
      <w:r w:rsidRPr="003478AF">
        <w:t xml:space="preserve">. To nie tylko program ochrony środowiska, ale zadanie, które pozwala </w:t>
      </w:r>
      <w:r w:rsidR="00A8396C" w:rsidRPr="003478AF">
        <w:t xml:space="preserve">odzyskać </w:t>
      </w:r>
      <w:r w:rsidRPr="003478AF">
        <w:t xml:space="preserve">m.in. surowce </w:t>
      </w:r>
      <w:r w:rsidR="001B0CB3" w:rsidRPr="003478AF">
        <w:br/>
      </w:r>
      <w:r w:rsidRPr="003478AF">
        <w:t xml:space="preserve">i materiały z odpadów </w:t>
      </w:r>
      <w:r w:rsidR="005B1891" w:rsidRPr="003478AF">
        <w:t>oraz</w:t>
      </w:r>
      <w:r w:rsidRPr="003478AF">
        <w:t xml:space="preserve"> </w:t>
      </w:r>
      <w:r w:rsidR="005B1891" w:rsidRPr="003478AF">
        <w:t>z</w:t>
      </w:r>
      <w:r w:rsidRPr="003478AF">
        <w:t xml:space="preserve">wrócić </w:t>
      </w:r>
      <w:r w:rsidR="005B1891" w:rsidRPr="003478AF">
        <w:t xml:space="preserve">je </w:t>
      </w:r>
      <w:r w:rsidRPr="003478AF">
        <w:t>konsument</w:t>
      </w:r>
      <w:r w:rsidR="005B1891" w:rsidRPr="003478AF">
        <w:t>om</w:t>
      </w:r>
      <w:r w:rsidRPr="003478AF">
        <w:rPr>
          <w:rStyle w:val="Odwoanieprzypisudolnego"/>
        </w:rPr>
        <w:footnoteReference w:id="22"/>
      </w:r>
      <w:r w:rsidRPr="003478AF">
        <w:t>. Zgodnie z tym zadaniem w pierwszej kolejności należy podjąć działania mające na celu zapobiegani</w:t>
      </w:r>
      <w:r w:rsidR="005B1891" w:rsidRPr="003478AF">
        <w:t>e</w:t>
      </w:r>
      <w:r w:rsidRPr="003478AF">
        <w:t xml:space="preserve"> powstawani</w:t>
      </w:r>
      <w:r w:rsidR="006D6471" w:rsidRPr="003478AF">
        <w:t>u</w:t>
      </w:r>
      <w:r w:rsidRPr="003478AF">
        <w:t xml:space="preserve"> odpadów, a więc prowadzenie działań profilaktycznych. Jednakże, kiedy już dochodzi do powstania odpadów, priorytetem jest wprowadzenie ich do ponownego użycia. Jeżeli nie ma już takiej możliwości, należy poddać je recyklingowi. Najniżej w hierarchii znajduje się odzysk energetyczny. Natomiast sposobem zagospodarowania, który według hierarchii praktycznie nie powinien mieć miejsca jest utylizacja</w:t>
      </w:r>
      <w:r w:rsidR="006D6471" w:rsidRPr="003478AF">
        <w:t>,</w:t>
      </w:r>
      <w:r w:rsidRPr="003478AF">
        <w:t xml:space="preserve"> np. w postaci składowania lub spalania bez odzysku energii.</w:t>
      </w:r>
      <w:r w:rsidR="00556AF1" w:rsidRPr="003478AF">
        <w:t xml:space="preserve"> </w:t>
      </w:r>
      <w:r w:rsidR="00C02A08" w:rsidRPr="003478AF">
        <w:rPr>
          <w:szCs w:val="20"/>
        </w:rPr>
        <w:t>Obecnie bardzo d</w:t>
      </w:r>
      <w:r w:rsidR="00556AF1" w:rsidRPr="003478AF">
        <w:rPr>
          <w:szCs w:val="20"/>
        </w:rPr>
        <w:t xml:space="preserve">uże znaczenie w procesie GOZ ma ekoprojektowanie, które powinno poprzedzać produkcję. </w:t>
      </w:r>
      <w:r w:rsidR="003935EC" w:rsidRPr="003478AF">
        <w:rPr>
          <w:szCs w:val="20"/>
        </w:rPr>
        <w:t>P</w:t>
      </w:r>
      <w:r w:rsidR="008C623B" w:rsidRPr="003478AF">
        <w:rPr>
          <w:szCs w:val="20"/>
        </w:rPr>
        <w:t xml:space="preserve">rodukty powinny być </w:t>
      </w:r>
      <w:r w:rsidR="005B1891" w:rsidRPr="003478AF">
        <w:rPr>
          <w:szCs w:val="20"/>
        </w:rPr>
        <w:t xml:space="preserve">projektowane z wykorzystaniem analizy </w:t>
      </w:r>
      <w:r w:rsidR="008C623B" w:rsidRPr="003478AF">
        <w:rPr>
          <w:szCs w:val="20"/>
        </w:rPr>
        <w:t>cyklu życia</w:t>
      </w:r>
      <w:r w:rsidR="00C02A08" w:rsidRPr="003478AF">
        <w:rPr>
          <w:szCs w:val="20"/>
        </w:rPr>
        <w:t xml:space="preserve"> (LCA, ang.</w:t>
      </w:r>
      <w:r w:rsidR="0030499C" w:rsidRPr="003478AF">
        <w:rPr>
          <w:rStyle w:val="Nagwek1Znak"/>
          <w:rFonts w:eastAsia="Franklin Gothic Book"/>
          <w:b w:val="0"/>
          <w:bCs/>
          <w:sz w:val="20"/>
          <w:szCs w:val="20"/>
        </w:rPr>
        <w:t xml:space="preserve"> </w:t>
      </w:r>
      <w:r w:rsidR="0030499C" w:rsidRPr="003478AF">
        <w:rPr>
          <w:rStyle w:val="Nagwek1Znak"/>
          <w:rFonts w:eastAsia="Franklin Gothic Book"/>
          <w:b w:val="0"/>
          <w:bCs/>
          <w:i/>
          <w:iCs/>
          <w:sz w:val="20"/>
          <w:szCs w:val="20"/>
        </w:rPr>
        <w:t>l</w:t>
      </w:r>
      <w:r w:rsidR="0030499C" w:rsidRPr="003478AF">
        <w:rPr>
          <w:i/>
          <w:iCs/>
          <w:szCs w:val="20"/>
        </w:rPr>
        <w:t xml:space="preserve">ife cycle analysis, </w:t>
      </w:r>
      <w:r w:rsidR="00381971" w:rsidRPr="003478AF">
        <w:rPr>
          <w:szCs w:val="20"/>
        </w:rPr>
        <w:t>ryc.</w:t>
      </w:r>
      <w:r w:rsidR="008C623B" w:rsidRPr="003478AF">
        <w:rPr>
          <w:szCs w:val="20"/>
        </w:rPr>
        <w:t xml:space="preserve"> </w:t>
      </w:r>
      <w:r w:rsidR="00E5109D" w:rsidRPr="003478AF">
        <w:rPr>
          <w:szCs w:val="20"/>
        </w:rPr>
        <w:t>2.1</w:t>
      </w:r>
      <w:r w:rsidR="008C623B" w:rsidRPr="003478AF">
        <w:rPr>
          <w:szCs w:val="20"/>
        </w:rPr>
        <w:t>).</w:t>
      </w:r>
      <w:r w:rsidR="00C02A08" w:rsidRPr="003478AF">
        <w:rPr>
          <w:szCs w:val="20"/>
        </w:rPr>
        <w:t xml:space="preserve"> Projektować należy tak, żeby z jednej strony oddziaływanie produktu było jak najmniej uciążliwe dla społeczeństwa,</w:t>
      </w:r>
      <w:r w:rsidR="009C441C" w:rsidRPr="003478AF">
        <w:rPr>
          <w:szCs w:val="20"/>
        </w:rPr>
        <w:t xml:space="preserve"> </w:t>
      </w:r>
      <w:r w:rsidR="00C02A08" w:rsidRPr="003478AF">
        <w:rPr>
          <w:szCs w:val="20"/>
        </w:rPr>
        <w:t xml:space="preserve">gospodarki </w:t>
      </w:r>
      <w:r w:rsidR="001B0CB3" w:rsidRPr="003478AF">
        <w:rPr>
          <w:szCs w:val="20"/>
        </w:rPr>
        <w:br/>
      </w:r>
      <w:r w:rsidR="00B52219" w:rsidRPr="003478AF">
        <w:rPr>
          <w:szCs w:val="20"/>
        </w:rPr>
        <w:t>i</w:t>
      </w:r>
      <w:r w:rsidR="006D6471" w:rsidRPr="003478AF">
        <w:rPr>
          <w:szCs w:val="20"/>
        </w:rPr>
        <w:t xml:space="preserve"> </w:t>
      </w:r>
      <w:r w:rsidR="00C02A08" w:rsidRPr="003478AF">
        <w:rPr>
          <w:szCs w:val="20"/>
        </w:rPr>
        <w:t>środowiska, z drugiej zaś – żeby na wszystkich pozostałych etapach cyklu życia ułatwiać działania projektanta w taki sposób, aby miał zapewniony rynek na swoje produkty oraz surowce do jego stworzenia. Tylko wzajemne oddziaływanie i przenikanie się etapu projektowania z pozostałymi pozwoli na wdrożenie GOZ</w:t>
      </w:r>
      <w:r w:rsidR="006D6471" w:rsidRPr="003478AF">
        <w:rPr>
          <w:szCs w:val="20"/>
        </w:rPr>
        <w:t xml:space="preserve"> </w:t>
      </w:r>
      <w:r w:rsidR="00C02A08" w:rsidRPr="003478AF">
        <w:rPr>
          <w:szCs w:val="20"/>
        </w:rPr>
        <w:t>w odniesieniu do jak największej liczby produktów</w:t>
      </w:r>
      <w:r w:rsidR="00C02A08" w:rsidRPr="003478AF">
        <w:rPr>
          <w:rStyle w:val="Odwoanieprzypisudolnego"/>
          <w:szCs w:val="20"/>
        </w:rPr>
        <w:footnoteReference w:id="23"/>
      </w:r>
      <w:r w:rsidR="00C02A08" w:rsidRPr="003478AF">
        <w:rPr>
          <w:szCs w:val="20"/>
        </w:rPr>
        <w:t>.</w:t>
      </w:r>
    </w:p>
    <w:p w14:paraId="43BE36E4" w14:textId="77777777" w:rsidR="00D02FF8" w:rsidRPr="003478AF" w:rsidRDefault="00D02FF8" w:rsidP="005C7740"/>
    <w:p w14:paraId="5E7C0B4C" w14:textId="005CEA06" w:rsidR="00D02FF8" w:rsidRPr="003478AF" w:rsidRDefault="00D02FF8" w:rsidP="00986D40">
      <w:pPr>
        <w:pStyle w:val="ARYCINA"/>
      </w:pPr>
      <w:r w:rsidRPr="003478AF">
        <w:t xml:space="preserve">Ryc. </w:t>
      </w:r>
      <w:r w:rsidRPr="003478AF">
        <w:rPr>
          <w:noProof/>
        </w:rPr>
        <w:t>2.1.</w:t>
      </w:r>
      <w:r w:rsidRPr="003478AF">
        <w:t xml:space="preserve"> Gospodarka cyrkularna 4.0.</w:t>
      </w:r>
    </w:p>
    <w:p w14:paraId="0543D8A4" w14:textId="5C8E060C" w:rsidR="00D02FF8" w:rsidRPr="003478AF" w:rsidRDefault="00E43D11" w:rsidP="00E6136F">
      <w:pPr>
        <w:ind w:firstLine="0"/>
        <w:jc w:val="center"/>
      </w:pPr>
      <w:r w:rsidRPr="003478AF">
        <w:rPr>
          <w:noProof/>
          <w:lang w:eastAsia="pl-PL"/>
        </w:rPr>
        <w:drawing>
          <wp:inline distT="0" distB="0" distL="0" distR="0" wp14:anchorId="54329D8F" wp14:editId="3335BCF4">
            <wp:extent cx="3992579" cy="2956420"/>
            <wp:effectExtent l="0" t="0" r="8255" b="0"/>
            <wp:docPr id="71" name="Obraz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6">
                      <a:extLst>
                        <a:ext uri="{28A0092B-C50C-407E-A947-70E740481C1C}">
                          <a14:useLocalDpi xmlns:a14="http://schemas.microsoft.com/office/drawing/2010/main" val="0"/>
                        </a:ext>
                      </a:extLst>
                    </a:blip>
                    <a:srcRect l="9129" r="14903"/>
                    <a:stretch/>
                  </pic:blipFill>
                  <pic:spPr bwMode="auto">
                    <a:xfrm>
                      <a:off x="0" y="0"/>
                      <a:ext cx="3992768" cy="2956560"/>
                    </a:xfrm>
                    <a:prstGeom prst="rect">
                      <a:avLst/>
                    </a:prstGeom>
                    <a:noFill/>
                    <a:ln>
                      <a:noFill/>
                    </a:ln>
                    <a:extLst>
                      <a:ext uri="{53640926-AAD7-44D8-BBD7-CCE9431645EC}">
                        <a14:shadowObscured xmlns:a14="http://schemas.microsoft.com/office/drawing/2010/main"/>
                      </a:ext>
                    </a:extLst>
                  </pic:spPr>
                </pic:pic>
              </a:graphicData>
            </a:graphic>
          </wp:inline>
        </w:drawing>
      </w:r>
    </w:p>
    <w:p w14:paraId="0E429DAA" w14:textId="3A331E63" w:rsidR="00D02FF8" w:rsidRPr="003478AF" w:rsidRDefault="00D02FF8" w:rsidP="00986D40">
      <w:pPr>
        <w:pStyle w:val="AZRODLO"/>
        <w:rPr>
          <w:sz w:val="24"/>
          <w:szCs w:val="24"/>
        </w:rPr>
      </w:pPr>
      <w:r w:rsidRPr="003478AF">
        <w:t>Źródło: Opracowanie własne</w:t>
      </w:r>
    </w:p>
    <w:p w14:paraId="03067E23" w14:textId="0853222C" w:rsidR="005C7740" w:rsidRPr="003478AF" w:rsidRDefault="005C7740" w:rsidP="005C7740">
      <w:r w:rsidRPr="003478AF">
        <w:lastRenderedPageBreak/>
        <w:t xml:space="preserve">Początkowo rozwój koncepcji GOZ był częścią polityki publicznej w Chinach, zgodnie </w:t>
      </w:r>
      <w:r w:rsidR="00CB7DB0" w:rsidRPr="003478AF">
        <w:br/>
      </w:r>
      <w:r w:rsidRPr="003478AF">
        <w:t>z ustawą o promocji czystszej produkcji</w:t>
      </w:r>
      <w:r w:rsidR="00D72B02" w:rsidRPr="003478AF">
        <w:t xml:space="preserve"> </w:t>
      </w:r>
      <w:r w:rsidRPr="003478AF">
        <w:t>w 2002 r</w:t>
      </w:r>
      <w:r w:rsidR="0030499C" w:rsidRPr="003478AF">
        <w:t>oku.</w:t>
      </w:r>
      <w:r w:rsidRPr="003478AF">
        <w:t xml:space="preserve"> </w:t>
      </w:r>
      <w:r w:rsidR="00D72B02" w:rsidRPr="003478AF">
        <w:t>Ustawa ta</w:t>
      </w:r>
      <w:r w:rsidRPr="003478AF">
        <w:t xml:space="preserve"> została wdrożon</w:t>
      </w:r>
      <w:r w:rsidR="00D72B02" w:rsidRPr="003478AF">
        <w:t>a</w:t>
      </w:r>
      <w:r w:rsidRPr="003478AF">
        <w:t xml:space="preserve"> przez rząd Chin w 2009 r</w:t>
      </w:r>
      <w:r w:rsidR="007D4492" w:rsidRPr="003478AF">
        <w:t>oku.</w:t>
      </w:r>
      <w:r w:rsidRPr="003478AF">
        <w:t xml:space="preserve"> Później </w:t>
      </w:r>
      <w:r w:rsidR="003935EC" w:rsidRPr="003478AF">
        <w:t xml:space="preserve">(w 2015 roku) </w:t>
      </w:r>
      <w:r w:rsidRPr="003478AF">
        <w:t xml:space="preserve">koncepcja została również </w:t>
      </w:r>
      <w:r w:rsidR="00D326F6" w:rsidRPr="003478AF">
        <w:t xml:space="preserve">przyjęta </w:t>
      </w:r>
      <w:r w:rsidRPr="003478AF">
        <w:t xml:space="preserve">przez </w:t>
      </w:r>
      <w:r w:rsidR="003935EC" w:rsidRPr="003478AF">
        <w:t>KE</w:t>
      </w:r>
      <w:r w:rsidRPr="003478AF">
        <w:rPr>
          <w:rStyle w:val="Odwoanieprzypisudolnego"/>
        </w:rPr>
        <w:footnoteReference w:id="24"/>
      </w:r>
      <w:r w:rsidRPr="003478AF">
        <w:t>.</w:t>
      </w:r>
    </w:p>
    <w:p w14:paraId="2B21A4DC" w14:textId="7DD61C19" w:rsidR="005C7740" w:rsidRPr="003478AF" w:rsidRDefault="005C7740" w:rsidP="005C7740">
      <w:pPr>
        <w:rPr>
          <w:b/>
          <w:bCs/>
        </w:rPr>
      </w:pPr>
      <w:r w:rsidRPr="003478AF">
        <w:t>Zapoczątkowane działania powinny uczynić gospodarkę międzynarodową bardziej cyrkularną. Obecnie jest ona jedynie tylko w 9% cyrkularna, pozostawiając ogromną lukę do zagospodarowania</w:t>
      </w:r>
      <w:r w:rsidRPr="003478AF">
        <w:rPr>
          <w:rStyle w:val="Odwoanieprzypisudolnego"/>
        </w:rPr>
        <w:footnoteReference w:id="25"/>
      </w:r>
      <w:r w:rsidRPr="003478AF">
        <w:t xml:space="preserve">. Wypełnienie tej luki na poziomie tylko </w:t>
      </w:r>
      <w:r w:rsidR="0030499C" w:rsidRPr="003478AF">
        <w:t xml:space="preserve">Unii Europejskiej </w:t>
      </w:r>
      <w:r w:rsidRPr="003478AF">
        <w:t>pozwoliłoby na zwiększenie produktywnoś</w:t>
      </w:r>
      <w:r w:rsidR="00D33815" w:rsidRPr="003478AF">
        <w:t>ci</w:t>
      </w:r>
      <w:r w:rsidRPr="003478AF">
        <w:t xml:space="preserve"> zasobów nawet o 3% rocznie. Przyniosłoby to korzyści </w:t>
      </w:r>
      <w:r w:rsidR="00B52219" w:rsidRPr="003478AF">
        <w:t>w</w:t>
      </w:r>
      <w:r w:rsidR="003A3B14" w:rsidRPr="003478AF">
        <w:t xml:space="preserve"> </w:t>
      </w:r>
      <w:r w:rsidRPr="003478AF">
        <w:t xml:space="preserve">zakresie zasobów pierwotnych w wysokości nawet 0,6 bln </w:t>
      </w:r>
      <w:r w:rsidR="003A3B14" w:rsidRPr="003478AF">
        <w:t xml:space="preserve">euro </w:t>
      </w:r>
      <w:r w:rsidRPr="003478AF">
        <w:t>rocznie do 2030 r</w:t>
      </w:r>
      <w:r w:rsidR="003A3B14" w:rsidRPr="003478AF">
        <w:t>oku</w:t>
      </w:r>
      <w:r w:rsidRPr="003478AF">
        <w:t>.</w:t>
      </w:r>
      <w:r w:rsidRPr="003478AF">
        <w:rPr>
          <w:rStyle w:val="Odwoanieprzypisudolnego"/>
        </w:rPr>
        <w:footnoteReference w:id="26"/>
      </w:r>
      <w:r w:rsidRPr="003478AF">
        <w:t xml:space="preserve"> </w:t>
      </w:r>
    </w:p>
    <w:p w14:paraId="3B39571E" w14:textId="3168D498" w:rsidR="005C7740" w:rsidRPr="003478AF" w:rsidRDefault="005C7740" w:rsidP="00135424">
      <w:pPr>
        <w:ind w:firstLine="0"/>
      </w:pPr>
    </w:p>
    <w:p w14:paraId="462DB624" w14:textId="77777777" w:rsidR="00DE26A6" w:rsidRPr="003478AF" w:rsidRDefault="005C7740" w:rsidP="00986D40">
      <w:pPr>
        <w:pStyle w:val="ARYCINA"/>
        <w:rPr>
          <w:lang w:val="en-US"/>
        </w:rPr>
      </w:pPr>
      <w:r w:rsidRPr="003478AF">
        <w:rPr>
          <w:lang w:val="en-US"/>
        </w:rPr>
        <w:t xml:space="preserve">Ryc. </w:t>
      </w:r>
      <w:r w:rsidR="00E5109D" w:rsidRPr="003478AF">
        <w:rPr>
          <w:noProof/>
          <w:lang w:val="en-GB"/>
        </w:rPr>
        <w:t>2</w:t>
      </w:r>
      <w:r w:rsidR="00006E72" w:rsidRPr="003478AF">
        <w:rPr>
          <w:lang w:val="en-US"/>
        </w:rPr>
        <w:t>.</w:t>
      </w:r>
      <w:r w:rsidR="00843D1E" w:rsidRPr="003478AF">
        <w:rPr>
          <w:noProof/>
          <w:lang w:val="en-GB"/>
        </w:rPr>
        <w:t>2</w:t>
      </w:r>
      <w:r w:rsidRPr="003478AF">
        <w:rPr>
          <w:lang w:val="en-US"/>
        </w:rPr>
        <w:t xml:space="preserve"> Model Ellen MacArthur Foundation</w:t>
      </w:r>
    </w:p>
    <w:p w14:paraId="52A8C08A" w14:textId="45115D1B" w:rsidR="005C7740" w:rsidRPr="003478AF" w:rsidRDefault="005C7740" w:rsidP="00986D40">
      <w:pPr>
        <w:pStyle w:val="ARYCINA"/>
        <w:rPr>
          <w:lang w:val="en-GB"/>
        </w:rPr>
      </w:pPr>
      <w:r w:rsidRPr="003478AF">
        <w:rPr>
          <w:noProof/>
          <w:lang w:eastAsia="pl-PL"/>
        </w:rPr>
        <w:drawing>
          <wp:inline distT="0" distB="0" distL="0" distR="0" wp14:anchorId="790A3FF3" wp14:editId="6A2ED1FD">
            <wp:extent cx="5256000" cy="3623929"/>
            <wp:effectExtent l="0" t="0" r="1905" b="0"/>
            <wp:docPr id="109" name="Obraz 109" descr="Rola odpadów w gospodarce o obiegu zamkniętym - Wiadomości - Wortal Plaste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 descr="Rola odpadów w gospodarce o obiegu zamkniętym - Wiadomości - Wortal Plastech"/>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256000" cy="3623929"/>
                    </a:xfrm>
                    <a:prstGeom prst="rect">
                      <a:avLst/>
                    </a:prstGeom>
                    <a:noFill/>
                    <a:ln>
                      <a:noFill/>
                    </a:ln>
                  </pic:spPr>
                </pic:pic>
              </a:graphicData>
            </a:graphic>
          </wp:inline>
        </w:drawing>
      </w:r>
    </w:p>
    <w:p w14:paraId="2EEF54F0" w14:textId="1DB09759" w:rsidR="005C7740" w:rsidRPr="003478AF" w:rsidRDefault="00C80541" w:rsidP="00986D40">
      <w:pPr>
        <w:pStyle w:val="AZRODLO"/>
        <w:rPr>
          <w:lang w:val="en-GB"/>
        </w:rPr>
      </w:pPr>
      <w:r w:rsidRPr="003478AF">
        <w:rPr>
          <w:lang w:val="en-GB"/>
        </w:rPr>
        <w:t>Ź</w:t>
      </w:r>
      <w:r w:rsidR="005C7740" w:rsidRPr="003478AF">
        <w:rPr>
          <w:lang w:val="en-GB"/>
        </w:rPr>
        <w:t xml:space="preserve">ródło: Ellen MacArthur Foundation </w:t>
      </w:r>
      <w:r w:rsidR="00A47411" w:rsidRPr="003478AF">
        <w:rPr>
          <w:lang w:val="en-GB"/>
        </w:rPr>
        <w:t>C</w:t>
      </w:r>
      <w:r w:rsidR="005C7740" w:rsidRPr="003478AF">
        <w:rPr>
          <w:lang w:val="en-GB"/>
        </w:rPr>
        <w:t xml:space="preserve">ircular </w:t>
      </w:r>
      <w:r w:rsidR="00A47411" w:rsidRPr="003478AF">
        <w:rPr>
          <w:lang w:val="en-GB"/>
        </w:rPr>
        <w:t>E</w:t>
      </w:r>
      <w:r w:rsidR="005C7740" w:rsidRPr="003478AF">
        <w:rPr>
          <w:lang w:val="en-GB"/>
        </w:rPr>
        <w:t>conomy</w:t>
      </w:r>
    </w:p>
    <w:p w14:paraId="2E9A36C2" w14:textId="77777777" w:rsidR="005C7740" w:rsidRPr="003478AF" w:rsidRDefault="005C7740" w:rsidP="005C7740">
      <w:pPr>
        <w:rPr>
          <w:lang w:val="en-GB"/>
        </w:rPr>
      </w:pPr>
    </w:p>
    <w:p w14:paraId="6D337376" w14:textId="0E8016BA" w:rsidR="005C7740" w:rsidRPr="003478AF" w:rsidRDefault="005C7740" w:rsidP="005C7740">
      <w:r w:rsidRPr="003478AF">
        <w:t xml:space="preserve">Zgodnie z modelem </w:t>
      </w:r>
      <w:r w:rsidR="0046271F" w:rsidRPr="003478AF">
        <w:t>opracowanym przez Ellen MacArthur Foundation (</w:t>
      </w:r>
      <w:r w:rsidR="00381971" w:rsidRPr="003478AF">
        <w:t>ryc.</w:t>
      </w:r>
      <w:r w:rsidR="0046271F" w:rsidRPr="003478AF">
        <w:t xml:space="preserve"> 2.2) GOZ</w:t>
      </w:r>
      <w:r w:rsidRPr="003478AF">
        <w:t xml:space="preserve"> opiera się na kilku prostych zasadach. Po pierwsze, u </w:t>
      </w:r>
      <w:r w:rsidR="007C0DAA" w:rsidRPr="003478AF">
        <w:t xml:space="preserve">jej </w:t>
      </w:r>
      <w:r w:rsidRPr="003478AF">
        <w:t xml:space="preserve">podstaw </w:t>
      </w:r>
      <w:r w:rsidR="00F07E56" w:rsidRPr="003478AF">
        <w:t>znajduje się</w:t>
      </w:r>
      <w:r w:rsidR="00D46D85" w:rsidRPr="003478AF">
        <w:t xml:space="preserve"> założenie, że </w:t>
      </w:r>
      <w:r w:rsidRPr="003478AF">
        <w:t xml:space="preserve">odpady nie istnieją: produkty są zaprojektowane i zoptymalizowane pod kątem cyklu demontażu i ponownego wykorzystania. Po drugie, obiegowość wprowadza ścisłe rozróżnienie między materiałami eksploatacyjnymi a trwałymi komponentami produktu. Inaczej niż obecnie, materiały eksploatacyjne w </w:t>
      </w:r>
      <w:r w:rsidR="007C0DAA" w:rsidRPr="003478AF">
        <w:t>GOZ</w:t>
      </w:r>
      <w:r w:rsidRPr="003478AF">
        <w:t xml:space="preserve"> są w dużej mierze wykonane np. z materiałów biologicznych, które są co najmniej nietoksyczne, a nawet korzystne, i które można bezpiecznie zwrócić do </w:t>
      </w:r>
      <w:r w:rsidRPr="003478AF">
        <w:lastRenderedPageBreak/>
        <w:t xml:space="preserve">biosfery, bezpośrednio lub </w:t>
      </w:r>
      <w:r w:rsidR="00B52219" w:rsidRPr="003478AF">
        <w:t>w</w:t>
      </w:r>
      <w:r w:rsidR="007C0DAA" w:rsidRPr="003478AF">
        <w:t xml:space="preserve"> </w:t>
      </w:r>
      <w:r w:rsidRPr="003478AF">
        <w:t xml:space="preserve">następujących po sobie </w:t>
      </w:r>
      <w:r w:rsidR="00B52219" w:rsidRPr="003478AF">
        <w:t>zastosowaniach</w:t>
      </w:r>
      <w:r w:rsidRPr="003478AF">
        <w:t>. Z drugiej strony trwałe materiały, t</w:t>
      </w:r>
      <w:r w:rsidR="007C0DAA" w:rsidRPr="003478AF">
        <w:t xml:space="preserve">akie </w:t>
      </w:r>
      <w:r w:rsidR="00DA5AED" w:rsidRPr="003478AF">
        <w:t>j</w:t>
      </w:r>
      <w:r w:rsidR="007C0DAA" w:rsidRPr="003478AF">
        <w:t>ak</w:t>
      </w:r>
      <w:r w:rsidRPr="003478AF">
        <w:t xml:space="preserve"> silniki czy komputery, są wykonane ze składników nieodpowiednich dla środowiska, </w:t>
      </w:r>
      <w:r w:rsidR="00A47411" w:rsidRPr="003478AF">
        <w:t xml:space="preserve">np. </w:t>
      </w:r>
      <w:r w:rsidRPr="003478AF">
        <w:t xml:space="preserve">metale i większość tworzyw sztucznych. Są one od początku projektowane do ponownego wykorzystania, a produkty podlegające szybkiemu postępowi technologicznemu są przeznaczone do </w:t>
      </w:r>
      <w:r w:rsidR="00A47411" w:rsidRPr="003478AF">
        <w:t>naprawy</w:t>
      </w:r>
      <w:r w:rsidRPr="003478AF">
        <w:t xml:space="preserve">. Po trzecie, energia potrzebna do napędzania tego cyklu powinna być z natury odnawialna, aby ponownie zmniejszyć zależność od zasobów </w:t>
      </w:r>
      <w:r w:rsidR="00DB784A" w:rsidRPr="003478AF">
        <w:br/>
      </w:r>
      <w:r w:rsidRPr="003478AF">
        <w:t>i zwiększyć odporność systemów (np. na</w:t>
      </w:r>
      <w:r w:rsidR="00A47411" w:rsidRPr="003478AF">
        <w:t xml:space="preserve"> tzw.</w:t>
      </w:r>
      <w:r w:rsidRPr="003478AF">
        <w:t xml:space="preserve"> cenowe szoki naftowe).</w:t>
      </w:r>
    </w:p>
    <w:p w14:paraId="69E15E8A" w14:textId="20F17B87" w:rsidR="005C7740" w:rsidRPr="003478AF" w:rsidRDefault="005C7740" w:rsidP="005C7740">
      <w:r w:rsidRPr="003478AF">
        <w:t xml:space="preserve">W przypadku składników nieodpowiednich dla środowiska </w:t>
      </w:r>
      <w:r w:rsidR="00107715" w:rsidRPr="003478AF">
        <w:t>GOZ</w:t>
      </w:r>
      <w:r w:rsidRPr="003478AF">
        <w:t xml:space="preserve"> w dużej mierze zastępuje pojęcie konsumenta pojęciem użytkownika. Wymaga to zawarcia nowej umowy między firmami a ich klientami w oparciu o możliwości </w:t>
      </w:r>
      <w:r w:rsidR="0047569B" w:rsidRPr="003478AF">
        <w:t xml:space="preserve">i </w:t>
      </w:r>
      <w:r w:rsidRPr="003478AF">
        <w:t>wydajnoś</w:t>
      </w:r>
      <w:r w:rsidR="0047569B" w:rsidRPr="003478AF">
        <w:t>ć danego</w:t>
      </w:r>
      <w:r w:rsidRPr="003478AF">
        <w:t xml:space="preserve"> produktu. </w:t>
      </w:r>
      <w:r w:rsidR="001B0CB3" w:rsidRPr="003478AF">
        <w:br/>
      </w:r>
      <w:r w:rsidRPr="003478AF">
        <w:t>W przeciwieństwie do dzisiejsz</w:t>
      </w:r>
      <w:r w:rsidR="0047569B" w:rsidRPr="003478AF">
        <w:t>ego trendu</w:t>
      </w:r>
      <w:r w:rsidRPr="003478AF">
        <w:t xml:space="preserve"> </w:t>
      </w:r>
      <w:r w:rsidR="00A47411" w:rsidRPr="003478AF">
        <w:t>„</w:t>
      </w:r>
      <w:r w:rsidRPr="003478AF">
        <w:t>kupuj i konsumuj</w:t>
      </w:r>
      <w:r w:rsidR="00A47411" w:rsidRPr="003478AF">
        <w:t>”</w:t>
      </w:r>
      <w:r w:rsidRPr="003478AF">
        <w:t>, produkty trwałe są wynajmowane lub udostępniane w miarę możliwości. Jeśli zostaną sprzedane, istnieją zachęty lub umowy zapewniające zwrot, a następnie ponowne użycie produktu lub jego komponentów i materiałów po zakończeniu okresu ich podstawowego użytkowania. Wszystkie te zasady kierują czterema wyraźnymi źródłami tworzenia wartości, które oferują możliwości arbitrażu, tj. sposob</w:t>
      </w:r>
      <w:r w:rsidR="004A34DC" w:rsidRPr="003478AF">
        <w:t>u</w:t>
      </w:r>
      <w:r w:rsidRPr="003478AF">
        <w:t xml:space="preserve"> wykorzystania różnicy cen między materiałami używanymi i pierwotnymi. </w:t>
      </w:r>
      <w:r w:rsidR="006C5574" w:rsidRPr="003478AF">
        <w:t>Obieg cyrkularny</w:t>
      </w:r>
      <w:r w:rsidRPr="003478AF">
        <w:t xml:space="preserve"> odnosi się do minimalizacji zużycia materiałów porównawczych w stosunku do liniowego systemu produkcyjnego. Im ciaśniejszy krąg, tj. im mniej produktu musi być modyfikowane </w:t>
      </w:r>
      <w:r w:rsidR="001B0CB3" w:rsidRPr="003478AF">
        <w:br/>
      </w:r>
      <w:r w:rsidRPr="003478AF">
        <w:t>w celu ponownego użycia, odnowienia lub regeneracji oraz im szybciej wraca on do użycia, tym większe</w:t>
      </w:r>
      <w:r w:rsidR="00107715" w:rsidRPr="003478AF">
        <w:t xml:space="preserve"> są</w:t>
      </w:r>
      <w:r w:rsidRPr="003478AF">
        <w:t xml:space="preserve"> potencjalne oszczędności na udziale materiałów, robocizny, energii i kapitału nadal tkwiących w produkcie. Dodatkowo występują powiązane z nim efekty zewnętrzne np. emisje gazów cieplarnianych (GHG</w:t>
      </w:r>
      <w:r w:rsidR="00153F27" w:rsidRPr="003478AF">
        <w:t>, ang.</w:t>
      </w:r>
      <w:r w:rsidR="00843D1E" w:rsidRPr="003478AF">
        <w:t xml:space="preserve"> </w:t>
      </w:r>
      <w:r w:rsidR="00153F27" w:rsidRPr="003478AF">
        <w:rPr>
          <w:i/>
          <w:iCs/>
        </w:rPr>
        <w:t>greenhouse gas</w:t>
      </w:r>
      <w:r w:rsidRPr="003478AF">
        <w:t>)</w:t>
      </w:r>
      <w:r w:rsidR="00153F27" w:rsidRPr="003478AF">
        <w:t xml:space="preserve"> i</w:t>
      </w:r>
      <w:r w:rsidRPr="003478AF">
        <w:t xml:space="preserve"> toksyczność. </w:t>
      </w:r>
    </w:p>
    <w:p w14:paraId="05F4CAE6" w14:textId="6F8424A2" w:rsidR="005C7740" w:rsidRPr="003478AF" w:rsidRDefault="005C7740" w:rsidP="005C7740">
      <w:r w:rsidRPr="003478AF">
        <w:t>Im produkt dużej pozostaje w obiegu lub wydłuża się czas w każdym cyklu, przyczynia się to do zmniejszenia odzysku materiału, energii i pracy związanej z tworzeniem nowego produktu lub komponentu. Niezanieczyszczone strumienie materiałów</w:t>
      </w:r>
      <w:r w:rsidR="00107715" w:rsidRPr="003478AF">
        <w:t>,</w:t>
      </w:r>
      <w:r w:rsidRPr="003478AF">
        <w:t xml:space="preserve"> </w:t>
      </w:r>
      <w:r w:rsidR="00107715" w:rsidRPr="003478AF">
        <w:t xml:space="preserve">zwłaszcza materiałów technicznych, </w:t>
      </w:r>
      <w:r w:rsidRPr="003478AF">
        <w:t xml:space="preserve">zwiększają wydajność ich </w:t>
      </w:r>
      <w:r w:rsidR="0049303D" w:rsidRPr="003478AF">
        <w:t xml:space="preserve">redystrybucji </w:t>
      </w:r>
      <w:r w:rsidRPr="003478AF">
        <w:t xml:space="preserve">przy zachowaniu jakości, </w:t>
      </w:r>
      <w:r w:rsidR="001B0CB3" w:rsidRPr="003478AF">
        <w:br/>
      </w:r>
      <w:r w:rsidRPr="003478AF">
        <w:t>w konsekwencji czego wydłuża się żywotność produktu, a tym samym zwiększa</w:t>
      </w:r>
      <w:r w:rsidR="0030660E" w:rsidRPr="003478AF">
        <w:t xml:space="preserve"> się</w:t>
      </w:r>
      <w:r w:rsidRPr="003478AF">
        <w:t xml:space="preserve"> produktywność materiału. Przykładem dywersyfikacji ponownego wykorzystania produktu </w:t>
      </w:r>
      <w:r w:rsidR="00843D1E" w:rsidRPr="003478AF">
        <w:br/>
      </w:r>
      <w:r w:rsidRPr="003478AF">
        <w:t>w całym łańcuchu wartości jest odzież bawełniana ponownie wykorzystywana najpierw jako odzież używana, a następnie może trafić do przemysłu meblarskiego jako wypełnienie poduszek tapicerski</w:t>
      </w:r>
      <w:r w:rsidR="005B1891" w:rsidRPr="003478AF">
        <w:t>ch</w:t>
      </w:r>
      <w:r w:rsidRPr="003478AF">
        <w:t xml:space="preserve">. W kolejnym etapie włókna tapicerskie można wykorzystać </w:t>
      </w:r>
      <w:r w:rsidR="00843D1E" w:rsidRPr="003478AF">
        <w:br/>
      </w:r>
      <w:r w:rsidRPr="003478AF">
        <w:t xml:space="preserve">w budownictwie do izolacji (wełna kamienna). W każdym z tych przypadków zmniejsza się zależność od surowców pierwotnych </w:t>
      </w:r>
      <w:r w:rsidR="0030660E" w:rsidRPr="003478AF">
        <w:t>–</w:t>
      </w:r>
      <w:r w:rsidRPr="003478AF">
        <w:t xml:space="preserve"> zanim włókna bawełny zostaną bezpiecznie zwrócone do biosfery</w:t>
      </w:r>
      <w:r w:rsidRPr="003478AF">
        <w:rPr>
          <w:rStyle w:val="Odwoanieprzypisudolnego"/>
        </w:rPr>
        <w:footnoteReference w:id="27"/>
      </w:r>
      <w:r w:rsidRPr="003478AF">
        <w:t xml:space="preserve">. </w:t>
      </w:r>
    </w:p>
    <w:p w14:paraId="1B188936" w14:textId="0C7AA257" w:rsidR="005C7740" w:rsidRPr="003478AF" w:rsidRDefault="005C7740" w:rsidP="005C7740">
      <w:r w:rsidRPr="003478AF">
        <w:t>Wdrożenie cyrkularnych modeli biznesowych przez przedsiębiorstwa mogł</w:t>
      </w:r>
      <w:r w:rsidR="00333C02" w:rsidRPr="003478AF">
        <w:t>o</w:t>
      </w:r>
      <w:r w:rsidRPr="003478AF">
        <w:t xml:space="preserve">by </w:t>
      </w:r>
      <w:r w:rsidR="00333C02" w:rsidRPr="003478AF">
        <w:t>obejmować</w:t>
      </w:r>
      <w:r w:rsidRPr="003478AF">
        <w:t xml:space="preserve"> następując</w:t>
      </w:r>
      <w:r w:rsidR="00333C02" w:rsidRPr="003478AF">
        <w:t>e</w:t>
      </w:r>
      <w:r w:rsidRPr="003478AF">
        <w:t xml:space="preserve"> obszar</w:t>
      </w:r>
      <w:r w:rsidR="00333C02" w:rsidRPr="003478AF">
        <w:t>y</w:t>
      </w:r>
      <w:r w:rsidRPr="003478AF">
        <w:t xml:space="preserve">: </w:t>
      </w:r>
      <w:r w:rsidRPr="003478AF">
        <w:rPr>
          <w:i/>
        </w:rPr>
        <w:t>regenerate</w:t>
      </w:r>
      <w:r w:rsidRPr="003478AF">
        <w:t xml:space="preserve"> (regeneruj), </w:t>
      </w:r>
      <w:r w:rsidRPr="003478AF">
        <w:rPr>
          <w:i/>
        </w:rPr>
        <w:t>share</w:t>
      </w:r>
      <w:r w:rsidRPr="003478AF">
        <w:t xml:space="preserve"> (współużytkuj), </w:t>
      </w:r>
      <w:r w:rsidRPr="003478AF">
        <w:rPr>
          <w:i/>
        </w:rPr>
        <w:t>optimise</w:t>
      </w:r>
      <w:r w:rsidRPr="003478AF">
        <w:t xml:space="preserve"> (optymalizuj), </w:t>
      </w:r>
      <w:r w:rsidRPr="003478AF">
        <w:rPr>
          <w:i/>
        </w:rPr>
        <w:t>loop</w:t>
      </w:r>
      <w:r w:rsidRPr="003478AF">
        <w:t xml:space="preserve"> (zapętlaj), </w:t>
      </w:r>
      <w:r w:rsidRPr="003478AF">
        <w:rPr>
          <w:i/>
        </w:rPr>
        <w:t>virtualize</w:t>
      </w:r>
      <w:r w:rsidRPr="003478AF">
        <w:t xml:space="preserve"> (wirtualizuj), </w:t>
      </w:r>
      <w:r w:rsidRPr="003478AF">
        <w:rPr>
          <w:i/>
        </w:rPr>
        <w:t>exchange</w:t>
      </w:r>
      <w:r w:rsidRPr="003478AF">
        <w:t xml:space="preserve"> (wymieniaj) (</w:t>
      </w:r>
      <w:r w:rsidR="00CB7DB0" w:rsidRPr="003478AF">
        <w:t>Tab</w:t>
      </w:r>
      <w:r w:rsidR="005D34A6" w:rsidRPr="003478AF">
        <w:t>.</w:t>
      </w:r>
      <w:r w:rsidR="00CB7DB0" w:rsidRPr="003478AF">
        <w:t xml:space="preserve"> </w:t>
      </w:r>
      <w:r w:rsidR="00A56725" w:rsidRPr="003478AF">
        <w:t>2</w:t>
      </w:r>
      <w:r w:rsidR="00CB7DB0" w:rsidRPr="003478AF">
        <w:t>.1</w:t>
      </w:r>
      <w:r w:rsidRPr="003478AF">
        <w:t>)</w:t>
      </w:r>
      <w:r w:rsidR="006E44E1" w:rsidRPr="003478AF">
        <w:t>.</w:t>
      </w:r>
    </w:p>
    <w:p w14:paraId="668A283F" w14:textId="310D2AE9" w:rsidR="00EB2D3A" w:rsidRPr="003478AF" w:rsidRDefault="00EB2D3A">
      <w:pPr>
        <w:spacing w:line="240" w:lineRule="auto"/>
        <w:ind w:firstLine="0"/>
        <w:jc w:val="left"/>
      </w:pPr>
      <w:r w:rsidRPr="003478AF">
        <w:br w:type="page"/>
      </w:r>
    </w:p>
    <w:p w14:paraId="41667A27" w14:textId="24E2E0FE" w:rsidR="005C7740" w:rsidRPr="003478AF" w:rsidRDefault="005C7740" w:rsidP="00986D40">
      <w:pPr>
        <w:pStyle w:val="ATABELA"/>
      </w:pPr>
      <w:r w:rsidRPr="003478AF">
        <w:lastRenderedPageBreak/>
        <w:t>Tab</w:t>
      </w:r>
      <w:r w:rsidR="005D34A6" w:rsidRPr="003478AF">
        <w:t>.</w:t>
      </w:r>
      <w:r w:rsidR="009F17FB" w:rsidRPr="003478AF">
        <w:rPr>
          <w:noProof/>
        </w:rPr>
        <w:t xml:space="preserve"> 2</w:t>
      </w:r>
      <w:r w:rsidR="009E14A4" w:rsidRPr="003478AF">
        <w:t>.</w:t>
      </w:r>
      <w:r w:rsidR="00A233A0" w:rsidRPr="003478AF">
        <w:rPr>
          <w:noProof/>
        </w:rPr>
        <w:fldChar w:fldCharType="begin"/>
      </w:r>
      <w:r w:rsidR="00A233A0" w:rsidRPr="003478AF">
        <w:rPr>
          <w:noProof/>
        </w:rPr>
        <w:instrText xml:space="preserve"> SEQ Tabela \* ARABIC \s 1 </w:instrText>
      </w:r>
      <w:r w:rsidR="00A233A0" w:rsidRPr="003478AF">
        <w:rPr>
          <w:noProof/>
        </w:rPr>
        <w:fldChar w:fldCharType="separate"/>
      </w:r>
      <w:r w:rsidR="007B1066">
        <w:rPr>
          <w:noProof/>
        </w:rPr>
        <w:t>1</w:t>
      </w:r>
      <w:r w:rsidR="00A233A0" w:rsidRPr="003478AF">
        <w:rPr>
          <w:noProof/>
        </w:rPr>
        <w:fldChar w:fldCharType="end"/>
      </w:r>
      <w:r w:rsidRPr="003478AF">
        <w:t xml:space="preserve"> Cyrku</w:t>
      </w:r>
      <w:r w:rsidR="00C80541" w:rsidRPr="003478AF">
        <w:t>larny model biznesowy opracowany</w:t>
      </w:r>
      <w:r w:rsidRPr="003478AF">
        <w:t xml:space="preserve"> przez fundację Ellen MacArthur</w:t>
      </w:r>
    </w:p>
    <w:tbl>
      <w:tblPr>
        <w:tblStyle w:val="Siatkatabelijasna"/>
        <w:tblW w:w="0" w:type="auto"/>
        <w:tblLook w:val="04A0" w:firstRow="1" w:lastRow="0" w:firstColumn="1" w:lastColumn="0" w:noHBand="0" w:noVBand="1"/>
      </w:tblPr>
      <w:tblGrid>
        <w:gridCol w:w="1237"/>
        <w:gridCol w:w="7030"/>
      </w:tblGrid>
      <w:tr w:rsidR="005C7740" w:rsidRPr="003478AF" w14:paraId="3312C269" w14:textId="77777777" w:rsidTr="00ED6B06">
        <w:tc>
          <w:tcPr>
            <w:tcW w:w="0" w:type="auto"/>
            <w:shd w:val="clear" w:color="auto" w:fill="DCF1F0" w:themeFill="accent1" w:themeFillTint="33"/>
            <w:vAlign w:val="center"/>
          </w:tcPr>
          <w:p w14:paraId="252B17BC" w14:textId="77777777" w:rsidR="005C7740" w:rsidRPr="003478AF" w:rsidRDefault="005C7740" w:rsidP="00ED6B06">
            <w:pPr>
              <w:ind w:firstLine="0"/>
              <w:jc w:val="center"/>
              <w:rPr>
                <w:b/>
                <w:bCs/>
                <w:sz w:val="18"/>
                <w:szCs w:val="18"/>
              </w:rPr>
            </w:pPr>
            <w:r w:rsidRPr="003478AF">
              <w:rPr>
                <w:b/>
                <w:bCs/>
                <w:sz w:val="18"/>
                <w:szCs w:val="18"/>
              </w:rPr>
              <w:t>Regeneruj</w:t>
            </w:r>
          </w:p>
        </w:tc>
        <w:tc>
          <w:tcPr>
            <w:tcW w:w="0" w:type="auto"/>
            <w:shd w:val="clear" w:color="auto" w:fill="DCF1F0" w:themeFill="accent1" w:themeFillTint="33"/>
            <w:vAlign w:val="center"/>
          </w:tcPr>
          <w:p w14:paraId="013A426B" w14:textId="7C68AF1F" w:rsidR="005C7740" w:rsidRPr="003478AF" w:rsidRDefault="00153F27">
            <w:pPr>
              <w:ind w:firstLine="0"/>
              <w:jc w:val="left"/>
              <w:rPr>
                <w:bCs/>
                <w:sz w:val="18"/>
                <w:szCs w:val="18"/>
              </w:rPr>
            </w:pPr>
            <w:r w:rsidRPr="003478AF">
              <w:rPr>
                <w:bCs/>
                <w:sz w:val="18"/>
                <w:szCs w:val="18"/>
              </w:rPr>
              <w:t>D</w:t>
            </w:r>
            <w:r w:rsidR="005C7740" w:rsidRPr="003478AF">
              <w:rPr>
                <w:bCs/>
                <w:sz w:val="18"/>
                <w:szCs w:val="18"/>
              </w:rPr>
              <w:t xml:space="preserve">ziałania służące przywracaniu, zachowaniu i naprawianiu jakości ekosystemów, </w:t>
            </w:r>
            <w:r w:rsidR="00333C02" w:rsidRPr="003478AF">
              <w:rPr>
                <w:bCs/>
                <w:sz w:val="18"/>
                <w:szCs w:val="18"/>
              </w:rPr>
              <w:br/>
            </w:r>
            <w:r w:rsidR="00B52219" w:rsidRPr="003478AF">
              <w:rPr>
                <w:bCs/>
                <w:sz w:val="18"/>
                <w:szCs w:val="18"/>
              </w:rPr>
              <w:t>a</w:t>
            </w:r>
            <w:r w:rsidR="00333C02" w:rsidRPr="003478AF">
              <w:rPr>
                <w:bCs/>
                <w:sz w:val="18"/>
                <w:szCs w:val="18"/>
              </w:rPr>
              <w:t xml:space="preserve"> </w:t>
            </w:r>
            <w:r w:rsidR="005C7740" w:rsidRPr="003478AF">
              <w:rPr>
                <w:bCs/>
                <w:sz w:val="18"/>
                <w:szCs w:val="18"/>
              </w:rPr>
              <w:t>także zawracani</w:t>
            </w:r>
            <w:r w:rsidR="00897677" w:rsidRPr="003478AF">
              <w:rPr>
                <w:bCs/>
                <w:sz w:val="18"/>
                <w:szCs w:val="18"/>
              </w:rPr>
              <w:t>u</w:t>
            </w:r>
            <w:r w:rsidR="005C7740" w:rsidRPr="003478AF">
              <w:rPr>
                <w:bCs/>
                <w:sz w:val="18"/>
                <w:szCs w:val="18"/>
              </w:rPr>
              <w:t xml:space="preserve"> odzyskanych zasobów biologicznych do biosfery.</w:t>
            </w:r>
          </w:p>
        </w:tc>
      </w:tr>
      <w:tr w:rsidR="005C7740" w:rsidRPr="003478AF" w14:paraId="0013002D" w14:textId="77777777" w:rsidTr="00ED6B06">
        <w:tc>
          <w:tcPr>
            <w:tcW w:w="0" w:type="auto"/>
            <w:shd w:val="clear" w:color="auto" w:fill="F4EDE4" w:themeFill="accent2" w:themeFillTint="33"/>
            <w:vAlign w:val="center"/>
          </w:tcPr>
          <w:p w14:paraId="71B9112E" w14:textId="77777777" w:rsidR="005C7740" w:rsidRPr="003478AF" w:rsidRDefault="005C7740" w:rsidP="00ED6B06">
            <w:pPr>
              <w:ind w:firstLine="0"/>
              <w:jc w:val="center"/>
              <w:rPr>
                <w:b/>
                <w:bCs/>
                <w:sz w:val="18"/>
                <w:szCs w:val="18"/>
              </w:rPr>
            </w:pPr>
            <w:r w:rsidRPr="003478AF">
              <w:rPr>
                <w:b/>
                <w:bCs/>
                <w:sz w:val="18"/>
                <w:szCs w:val="18"/>
              </w:rPr>
              <w:t>Współdziel</w:t>
            </w:r>
          </w:p>
        </w:tc>
        <w:tc>
          <w:tcPr>
            <w:tcW w:w="0" w:type="auto"/>
            <w:shd w:val="clear" w:color="auto" w:fill="F4EDE4" w:themeFill="accent2" w:themeFillTint="33"/>
            <w:vAlign w:val="center"/>
          </w:tcPr>
          <w:p w14:paraId="63D511A6" w14:textId="3BE98340" w:rsidR="005C7740" w:rsidRPr="003478AF" w:rsidRDefault="00153F27">
            <w:pPr>
              <w:ind w:firstLine="0"/>
              <w:jc w:val="left"/>
              <w:rPr>
                <w:sz w:val="18"/>
                <w:szCs w:val="18"/>
              </w:rPr>
            </w:pPr>
            <w:r w:rsidRPr="003478AF">
              <w:rPr>
                <w:sz w:val="18"/>
                <w:szCs w:val="18"/>
              </w:rPr>
              <w:t>W</w:t>
            </w:r>
            <w:r w:rsidR="005C7740" w:rsidRPr="003478AF">
              <w:rPr>
                <w:sz w:val="18"/>
                <w:szCs w:val="18"/>
              </w:rPr>
              <w:t>spółdzielenie zasobów pomiędzy różnymi użytkownikami, np. samochody, urządzenia; używanie powtórnie np. ubrania z drugiej ręki; przedłużanie żywotnoś</w:t>
            </w:r>
            <w:r w:rsidR="00897677" w:rsidRPr="003478AF">
              <w:rPr>
                <w:sz w:val="18"/>
                <w:szCs w:val="18"/>
              </w:rPr>
              <w:t>ci</w:t>
            </w:r>
            <w:r w:rsidR="005C7740" w:rsidRPr="003478AF">
              <w:rPr>
                <w:sz w:val="18"/>
                <w:szCs w:val="18"/>
              </w:rPr>
              <w:t xml:space="preserve"> poprzez konserwowanie, projektowanie w kierunku trwałości</w:t>
            </w:r>
            <w:r w:rsidRPr="003478AF">
              <w:rPr>
                <w:sz w:val="18"/>
                <w:szCs w:val="18"/>
              </w:rPr>
              <w:t>.</w:t>
            </w:r>
          </w:p>
        </w:tc>
      </w:tr>
      <w:tr w:rsidR="005C7740" w:rsidRPr="003478AF" w14:paraId="283058C3" w14:textId="77777777" w:rsidTr="00ED6B06">
        <w:tc>
          <w:tcPr>
            <w:tcW w:w="0" w:type="auto"/>
            <w:shd w:val="clear" w:color="auto" w:fill="DCF1F0" w:themeFill="accent1" w:themeFillTint="33"/>
            <w:vAlign w:val="center"/>
          </w:tcPr>
          <w:p w14:paraId="73FA5CEA" w14:textId="77777777" w:rsidR="005C7740" w:rsidRPr="003478AF" w:rsidRDefault="005C7740" w:rsidP="00ED6B06">
            <w:pPr>
              <w:ind w:firstLine="0"/>
              <w:jc w:val="center"/>
              <w:rPr>
                <w:b/>
                <w:bCs/>
                <w:sz w:val="18"/>
                <w:szCs w:val="18"/>
              </w:rPr>
            </w:pPr>
            <w:r w:rsidRPr="003478AF">
              <w:rPr>
                <w:b/>
                <w:bCs/>
                <w:sz w:val="18"/>
                <w:szCs w:val="18"/>
              </w:rPr>
              <w:t>Optymalizuj</w:t>
            </w:r>
          </w:p>
        </w:tc>
        <w:tc>
          <w:tcPr>
            <w:tcW w:w="0" w:type="auto"/>
            <w:shd w:val="clear" w:color="auto" w:fill="DCF1F0" w:themeFill="accent1" w:themeFillTint="33"/>
            <w:vAlign w:val="center"/>
          </w:tcPr>
          <w:p w14:paraId="66CB8168" w14:textId="085D01F3" w:rsidR="005C7740" w:rsidRPr="003478AF" w:rsidRDefault="00153F27">
            <w:pPr>
              <w:ind w:firstLine="0"/>
              <w:jc w:val="left"/>
              <w:rPr>
                <w:sz w:val="18"/>
                <w:szCs w:val="18"/>
              </w:rPr>
            </w:pPr>
            <w:r w:rsidRPr="003478AF">
              <w:rPr>
                <w:sz w:val="18"/>
                <w:szCs w:val="18"/>
              </w:rPr>
              <w:t>Z</w:t>
            </w:r>
            <w:r w:rsidR="005C7740" w:rsidRPr="003478AF">
              <w:rPr>
                <w:sz w:val="18"/>
                <w:szCs w:val="18"/>
              </w:rPr>
              <w:t>większanie wydajności danego wyrobu, eliminowani</w:t>
            </w:r>
            <w:r w:rsidR="00897677" w:rsidRPr="003478AF">
              <w:rPr>
                <w:sz w:val="18"/>
                <w:szCs w:val="18"/>
              </w:rPr>
              <w:t>e</w:t>
            </w:r>
            <w:r w:rsidR="005C7740" w:rsidRPr="003478AF">
              <w:rPr>
                <w:sz w:val="18"/>
                <w:szCs w:val="18"/>
              </w:rPr>
              <w:t xml:space="preserve"> odpadów w łańcuchu produkcji i dostaw na wszystkich etapach cyklu</w:t>
            </w:r>
            <w:r w:rsidRPr="003478AF">
              <w:rPr>
                <w:sz w:val="18"/>
                <w:szCs w:val="18"/>
              </w:rPr>
              <w:t>.</w:t>
            </w:r>
          </w:p>
        </w:tc>
      </w:tr>
      <w:tr w:rsidR="005C7740" w:rsidRPr="003478AF" w14:paraId="0C52B38F" w14:textId="77777777" w:rsidTr="00ED6B06">
        <w:tc>
          <w:tcPr>
            <w:tcW w:w="0" w:type="auto"/>
            <w:shd w:val="clear" w:color="auto" w:fill="F4EDE4" w:themeFill="accent2" w:themeFillTint="33"/>
            <w:vAlign w:val="center"/>
          </w:tcPr>
          <w:p w14:paraId="61C9EC7B" w14:textId="77777777" w:rsidR="005C7740" w:rsidRPr="003478AF" w:rsidRDefault="005C7740" w:rsidP="00ED6B06">
            <w:pPr>
              <w:ind w:firstLine="0"/>
              <w:jc w:val="center"/>
              <w:rPr>
                <w:b/>
                <w:bCs/>
                <w:sz w:val="18"/>
                <w:szCs w:val="18"/>
              </w:rPr>
            </w:pPr>
            <w:r w:rsidRPr="003478AF">
              <w:rPr>
                <w:b/>
                <w:bCs/>
                <w:sz w:val="18"/>
                <w:szCs w:val="18"/>
              </w:rPr>
              <w:t>Zapętlaj</w:t>
            </w:r>
          </w:p>
        </w:tc>
        <w:tc>
          <w:tcPr>
            <w:tcW w:w="0" w:type="auto"/>
            <w:shd w:val="clear" w:color="auto" w:fill="F4EDE4" w:themeFill="accent2" w:themeFillTint="33"/>
            <w:vAlign w:val="center"/>
          </w:tcPr>
          <w:p w14:paraId="1A821B01" w14:textId="5ED3AB7F" w:rsidR="005C7740" w:rsidRPr="003478AF" w:rsidRDefault="00153F27">
            <w:pPr>
              <w:ind w:firstLine="0"/>
              <w:jc w:val="left"/>
              <w:rPr>
                <w:sz w:val="18"/>
                <w:szCs w:val="18"/>
              </w:rPr>
            </w:pPr>
            <w:r w:rsidRPr="003478AF">
              <w:rPr>
                <w:sz w:val="18"/>
                <w:szCs w:val="18"/>
              </w:rPr>
              <w:t>U</w:t>
            </w:r>
            <w:r w:rsidR="005C7740" w:rsidRPr="003478AF">
              <w:rPr>
                <w:sz w:val="18"/>
                <w:szCs w:val="18"/>
              </w:rPr>
              <w:t xml:space="preserve">trzymywanie składników i materiałów w zamkniętych pętlach obiegu oraz dawanie pierwszeństwa pętlom wewnętrznym, </w:t>
            </w:r>
            <w:r w:rsidR="00897677" w:rsidRPr="003478AF">
              <w:rPr>
                <w:sz w:val="18"/>
                <w:szCs w:val="18"/>
              </w:rPr>
              <w:t xml:space="preserve">co </w:t>
            </w:r>
            <w:r w:rsidR="005C7740" w:rsidRPr="003478AF">
              <w:rPr>
                <w:sz w:val="18"/>
                <w:szCs w:val="18"/>
              </w:rPr>
              <w:t xml:space="preserve">oznacza powtórne wykorzystywanie wyrobów </w:t>
            </w:r>
            <w:r w:rsidR="00897677" w:rsidRPr="003478AF">
              <w:rPr>
                <w:sz w:val="18"/>
                <w:szCs w:val="18"/>
              </w:rPr>
              <w:t>i</w:t>
            </w:r>
            <w:r w:rsidR="005C7740" w:rsidRPr="003478AF">
              <w:rPr>
                <w:sz w:val="18"/>
                <w:szCs w:val="18"/>
              </w:rPr>
              <w:t xml:space="preserve"> składników przy wytwarzaniu oraz recykling materiałów</w:t>
            </w:r>
            <w:r w:rsidRPr="003478AF">
              <w:rPr>
                <w:sz w:val="18"/>
                <w:szCs w:val="18"/>
              </w:rPr>
              <w:t>.</w:t>
            </w:r>
          </w:p>
        </w:tc>
      </w:tr>
      <w:tr w:rsidR="005C7740" w:rsidRPr="003478AF" w14:paraId="3C884CCC" w14:textId="77777777" w:rsidTr="00ED6B06">
        <w:tc>
          <w:tcPr>
            <w:tcW w:w="0" w:type="auto"/>
            <w:shd w:val="clear" w:color="auto" w:fill="DCF1F0" w:themeFill="accent1" w:themeFillTint="33"/>
            <w:vAlign w:val="center"/>
          </w:tcPr>
          <w:p w14:paraId="5BBF1F48" w14:textId="77777777" w:rsidR="005C7740" w:rsidRPr="003478AF" w:rsidRDefault="005C7740" w:rsidP="00ED6B06">
            <w:pPr>
              <w:ind w:firstLine="0"/>
              <w:jc w:val="center"/>
              <w:rPr>
                <w:b/>
                <w:bCs/>
                <w:sz w:val="18"/>
                <w:szCs w:val="18"/>
              </w:rPr>
            </w:pPr>
            <w:r w:rsidRPr="003478AF">
              <w:rPr>
                <w:b/>
                <w:bCs/>
                <w:sz w:val="18"/>
                <w:szCs w:val="18"/>
              </w:rPr>
              <w:t>Wirtualizuj</w:t>
            </w:r>
          </w:p>
        </w:tc>
        <w:tc>
          <w:tcPr>
            <w:tcW w:w="0" w:type="auto"/>
            <w:shd w:val="clear" w:color="auto" w:fill="DCF1F0" w:themeFill="accent1" w:themeFillTint="33"/>
            <w:vAlign w:val="center"/>
          </w:tcPr>
          <w:p w14:paraId="4E1FFF0C" w14:textId="7953968E" w:rsidR="005C7740" w:rsidRPr="003478AF" w:rsidRDefault="00153F27">
            <w:pPr>
              <w:ind w:firstLine="0"/>
              <w:jc w:val="left"/>
              <w:rPr>
                <w:sz w:val="18"/>
                <w:szCs w:val="18"/>
              </w:rPr>
            </w:pPr>
            <w:r w:rsidRPr="003478AF">
              <w:rPr>
                <w:sz w:val="18"/>
                <w:szCs w:val="18"/>
              </w:rPr>
              <w:t>D</w:t>
            </w:r>
            <w:r w:rsidR="005C7740" w:rsidRPr="003478AF">
              <w:rPr>
                <w:sz w:val="18"/>
                <w:szCs w:val="18"/>
              </w:rPr>
              <w:t>ematerializacja wykorzystywania zasobów poprzez dostarczanie danej funkcjonalności w sposób wirtualny: bezpośrednio lub pośrednio</w:t>
            </w:r>
            <w:r w:rsidRPr="003478AF">
              <w:rPr>
                <w:sz w:val="18"/>
                <w:szCs w:val="18"/>
              </w:rPr>
              <w:t>.</w:t>
            </w:r>
          </w:p>
        </w:tc>
      </w:tr>
      <w:tr w:rsidR="005C7740" w:rsidRPr="003478AF" w14:paraId="555E8B54" w14:textId="77777777" w:rsidTr="00ED6B06">
        <w:tc>
          <w:tcPr>
            <w:tcW w:w="0" w:type="auto"/>
            <w:shd w:val="clear" w:color="auto" w:fill="F4EDE4" w:themeFill="accent2" w:themeFillTint="33"/>
            <w:vAlign w:val="center"/>
          </w:tcPr>
          <w:p w14:paraId="53F6F4FE" w14:textId="77777777" w:rsidR="005C7740" w:rsidRPr="003478AF" w:rsidRDefault="005C7740" w:rsidP="00ED6B06">
            <w:pPr>
              <w:ind w:firstLine="0"/>
              <w:jc w:val="center"/>
              <w:rPr>
                <w:b/>
                <w:bCs/>
                <w:sz w:val="18"/>
                <w:szCs w:val="18"/>
              </w:rPr>
            </w:pPr>
            <w:r w:rsidRPr="003478AF">
              <w:rPr>
                <w:b/>
                <w:bCs/>
                <w:sz w:val="18"/>
                <w:szCs w:val="18"/>
              </w:rPr>
              <w:t>Wymieniaj</w:t>
            </w:r>
          </w:p>
        </w:tc>
        <w:tc>
          <w:tcPr>
            <w:tcW w:w="0" w:type="auto"/>
            <w:shd w:val="clear" w:color="auto" w:fill="F4EDE4" w:themeFill="accent2" w:themeFillTint="33"/>
            <w:vAlign w:val="center"/>
          </w:tcPr>
          <w:p w14:paraId="442187AB" w14:textId="79670E16" w:rsidR="005C7740" w:rsidRPr="003478AF" w:rsidRDefault="00153F27">
            <w:pPr>
              <w:ind w:firstLine="0"/>
              <w:jc w:val="left"/>
              <w:rPr>
                <w:sz w:val="18"/>
                <w:szCs w:val="18"/>
              </w:rPr>
            </w:pPr>
            <w:r w:rsidRPr="003478AF">
              <w:rPr>
                <w:sz w:val="18"/>
                <w:szCs w:val="18"/>
              </w:rPr>
              <w:t>Z</w:t>
            </w:r>
            <w:r w:rsidR="005C7740" w:rsidRPr="003478AF">
              <w:rPr>
                <w:sz w:val="18"/>
                <w:szCs w:val="18"/>
              </w:rPr>
              <w:t xml:space="preserve">astępowanie starych nieodnawialnych materiałów </w:t>
            </w:r>
            <w:r w:rsidR="00897677" w:rsidRPr="003478AF">
              <w:rPr>
                <w:sz w:val="18"/>
                <w:szCs w:val="18"/>
              </w:rPr>
              <w:t xml:space="preserve">odpowiednikami </w:t>
            </w:r>
            <w:r w:rsidR="005C7740" w:rsidRPr="003478AF">
              <w:rPr>
                <w:sz w:val="18"/>
                <w:szCs w:val="18"/>
              </w:rPr>
              <w:t>zaawansowanymi, stosowanie nowych technologii czy nowych form usług.</w:t>
            </w:r>
          </w:p>
        </w:tc>
      </w:tr>
    </w:tbl>
    <w:p w14:paraId="2713F80C" w14:textId="57132F9F" w:rsidR="005C7740" w:rsidRPr="003478AF" w:rsidRDefault="005C7740" w:rsidP="00986D40">
      <w:pPr>
        <w:pStyle w:val="AZRODLO"/>
        <w:rPr>
          <w:lang w:val="en-GB"/>
        </w:rPr>
      </w:pPr>
      <w:r w:rsidRPr="003478AF">
        <w:rPr>
          <w:lang w:val="en-GB"/>
        </w:rPr>
        <w:t xml:space="preserve">Źródło: </w:t>
      </w:r>
      <w:r w:rsidR="00153F27" w:rsidRPr="003478AF">
        <w:rPr>
          <w:lang w:val="en-GB"/>
        </w:rPr>
        <w:t>Ellen MacArthur Foundation Circular Economy</w:t>
      </w:r>
    </w:p>
    <w:p w14:paraId="441FB8BB" w14:textId="77777777" w:rsidR="005C7740" w:rsidRPr="003478AF" w:rsidRDefault="005C7740" w:rsidP="005C7740">
      <w:pPr>
        <w:rPr>
          <w:lang w:val="en-GB"/>
        </w:rPr>
      </w:pPr>
    </w:p>
    <w:p w14:paraId="2EA9EBCC" w14:textId="56FE9F95" w:rsidR="005C7740" w:rsidRPr="003478AF" w:rsidRDefault="005C7740" w:rsidP="005C7740">
      <w:r w:rsidRPr="003478AF">
        <w:t xml:space="preserve">Modyfikowanie modeli biznesowych w kierunku idei </w:t>
      </w:r>
      <w:r w:rsidR="00333C02" w:rsidRPr="003478AF">
        <w:t>GOZ</w:t>
      </w:r>
      <w:r w:rsidRPr="003478AF">
        <w:t xml:space="preserve"> przez przedsiębiorstwa będzie powodować, iż w miejsc</w:t>
      </w:r>
      <w:r w:rsidR="00A557ED" w:rsidRPr="003478AF">
        <w:t>u</w:t>
      </w:r>
      <w:r w:rsidRPr="003478AF">
        <w:t xml:space="preserve"> obecnych działań </w:t>
      </w:r>
      <w:r w:rsidR="00A557ED" w:rsidRPr="003478AF">
        <w:t>pojawią</w:t>
      </w:r>
      <w:r w:rsidRPr="003478AF">
        <w:t xml:space="preserve"> się nowe możliwości. Przykładowo, wdrażanie trendów GOZ może wpływać na poziom cen niektórych produktów przemysłowych i spożywczych, które mogą wzrosnąć z uwagi na ich niekorzystny wpływ na środowisko </w:t>
      </w:r>
      <w:r w:rsidR="00A557ED" w:rsidRPr="003478AF">
        <w:t xml:space="preserve">lub </w:t>
      </w:r>
      <w:r w:rsidRPr="003478AF">
        <w:t>możliwość obłożenia dodatkowymi opłatami np. w przypadku emisji zanieczyszczeń, któr</w:t>
      </w:r>
      <w:r w:rsidR="009D3DAE" w:rsidRPr="003478AF">
        <w:t>e</w:t>
      </w:r>
      <w:r w:rsidRPr="003478AF">
        <w:t xml:space="preserve"> powstaj</w:t>
      </w:r>
      <w:r w:rsidR="009D3DAE" w:rsidRPr="003478AF">
        <w:t>ą</w:t>
      </w:r>
      <w:r w:rsidRPr="003478AF">
        <w:t xml:space="preserve"> w toku ich wytworzenia. Wdrożenie różnych modeli biznesowych przyniosłyby najwięcej korzyści w stosunku do kosztów w długim terminie w porównaniu do stanu obecnego.</w:t>
      </w:r>
    </w:p>
    <w:p w14:paraId="47C7B166" w14:textId="3477C1AC" w:rsidR="005C7740" w:rsidRPr="003478AF" w:rsidRDefault="005C7740" w:rsidP="005C7740">
      <w:r w:rsidRPr="003478AF">
        <w:t>W województwie wielkopolskim możliwe jest zastosowanie modelu opracowanego przez Ellen MacArthur Foundation w wielu branżach dla różnych produktów np. napoje, wyroby tekstylne, opakowania z papieru i mebl</w:t>
      </w:r>
      <w:r w:rsidR="001D3CAF" w:rsidRPr="003478AF">
        <w:t>e</w:t>
      </w:r>
      <w:r w:rsidRPr="003478AF">
        <w:rPr>
          <w:rStyle w:val="Odwoanieprzypisudolnego"/>
        </w:rPr>
        <w:footnoteReference w:id="28"/>
      </w:r>
      <w:r w:rsidRPr="003478AF">
        <w:rPr>
          <w:vertAlign w:val="superscript"/>
        </w:rPr>
        <w:t>,</w:t>
      </w:r>
      <w:r w:rsidRPr="003478AF">
        <w:rPr>
          <w:rStyle w:val="Odwoanieprzypisudolnego"/>
        </w:rPr>
        <w:footnoteReference w:id="29"/>
      </w:r>
      <w:r w:rsidRPr="003478AF">
        <w:t>. W ich przypadku możliwości ich cyrkulacji występują w całym łańcuch</w:t>
      </w:r>
      <w:r w:rsidR="00333C02" w:rsidRPr="003478AF">
        <w:t>u</w:t>
      </w:r>
      <w:r w:rsidRPr="003478AF">
        <w:t xml:space="preserve"> wartości: w produkcji (napoje), w dystrybucji i etapie konsumpcji (tekstylia, opakowania, meble) oraz w obróbce poużytkowej (odpady żywnościowe). </w:t>
      </w:r>
    </w:p>
    <w:p w14:paraId="52ED6A0C" w14:textId="7BE34E7C" w:rsidR="005C7740" w:rsidRPr="003478AF" w:rsidRDefault="005C7740" w:rsidP="005C7740">
      <w:r w:rsidRPr="003478AF">
        <w:t xml:space="preserve">W </w:t>
      </w:r>
      <w:r w:rsidR="00A557ED" w:rsidRPr="003478AF">
        <w:t xml:space="preserve">Opracowaniu </w:t>
      </w:r>
      <w:r w:rsidRPr="003478AF">
        <w:t xml:space="preserve">omówiono najważniejsze obszary, które zawierają wskazane powyżej produkty w różnych branżach (rolnictwo, przetwórstwo przemysłowe, energetyka, odpady </w:t>
      </w:r>
      <w:r w:rsidR="00843D1E" w:rsidRPr="003478AF">
        <w:br/>
      </w:r>
      <w:r w:rsidRPr="003478AF">
        <w:t>i ścieki, transport i mobilność miejska). Następnie na ich podstawie zostały utworzone łańcuchy wartości produktów wpisujących się w te branże (uprawy rolne, chów i hodowla zwierząt, produkcj</w:t>
      </w:r>
      <w:r w:rsidR="00333C02" w:rsidRPr="003478AF">
        <w:t>a</w:t>
      </w:r>
      <w:r w:rsidRPr="003478AF">
        <w:t xml:space="preserve"> żywności, produkcja mebli oraz maszyn i urządzeń, energia). Ponadto opracowano dwa studia przypadków zgodnie z zasadą gospodarki cyrkularnej. Należy zaznaczyć, iż udział regionu w produkcji krajowej tych produktów jest na wysokim poziomie</w:t>
      </w:r>
      <w:r w:rsidRPr="003478AF">
        <w:rPr>
          <w:rStyle w:val="Odwoanieprzypisudolnego"/>
        </w:rPr>
        <w:footnoteReference w:id="30"/>
      </w:r>
      <w:r w:rsidRPr="003478AF">
        <w:t xml:space="preserve">. Branże powiązane </w:t>
      </w:r>
      <w:r w:rsidR="00A92345" w:rsidRPr="003478AF">
        <w:br/>
      </w:r>
      <w:r w:rsidR="006A012B" w:rsidRPr="003478AF">
        <w:t>z</w:t>
      </w:r>
      <w:r w:rsidR="00333C02" w:rsidRPr="003478AF">
        <w:t xml:space="preserve"> </w:t>
      </w:r>
      <w:r w:rsidRPr="003478AF">
        <w:t xml:space="preserve">tymi produktami zostały </w:t>
      </w:r>
      <w:r w:rsidR="00A557ED" w:rsidRPr="003478AF">
        <w:t>określone jako</w:t>
      </w:r>
      <w:r w:rsidRPr="003478AF">
        <w:t xml:space="preserve"> inteligentn</w:t>
      </w:r>
      <w:r w:rsidR="00A557ED" w:rsidRPr="003478AF">
        <w:t>e</w:t>
      </w:r>
      <w:r w:rsidRPr="003478AF">
        <w:t xml:space="preserve"> specjalizacj</w:t>
      </w:r>
      <w:r w:rsidR="00A557ED" w:rsidRPr="003478AF">
        <w:t>e</w:t>
      </w:r>
      <w:r w:rsidRPr="003478AF">
        <w:t xml:space="preserve"> </w:t>
      </w:r>
      <w:r w:rsidR="007A42BE" w:rsidRPr="003478AF">
        <w:t>województwa wielkopolskiego</w:t>
      </w:r>
      <w:r w:rsidRPr="003478AF">
        <w:t>.</w:t>
      </w:r>
    </w:p>
    <w:p w14:paraId="46C9CB75" w14:textId="2D1EA3DB" w:rsidR="007A42BE" w:rsidRPr="003478AF" w:rsidRDefault="007A42BE">
      <w:pPr>
        <w:spacing w:line="240" w:lineRule="auto"/>
        <w:ind w:firstLine="0"/>
        <w:jc w:val="left"/>
      </w:pPr>
      <w:r w:rsidRPr="003478AF">
        <w:br w:type="page"/>
      </w:r>
    </w:p>
    <w:p w14:paraId="20344EDE" w14:textId="30365404" w:rsidR="00532BB7" w:rsidRPr="003478AF" w:rsidRDefault="00BC2C92">
      <w:pPr>
        <w:pStyle w:val="Nagwek2"/>
      </w:pPr>
      <w:bookmarkStart w:id="24" w:name="_Toc82159989"/>
      <w:r w:rsidRPr="003478AF">
        <w:lastRenderedPageBreak/>
        <w:t xml:space="preserve">2.2. </w:t>
      </w:r>
      <w:r w:rsidR="009D62AD" w:rsidRPr="003478AF">
        <w:t>Analiza podstaw organizacyjno-prawnych rozwoju GOZ</w:t>
      </w:r>
      <w:bookmarkEnd w:id="22"/>
      <w:bookmarkEnd w:id="24"/>
    </w:p>
    <w:p w14:paraId="46A186A0" w14:textId="596254E0" w:rsidR="005568F9" w:rsidRPr="003478AF" w:rsidRDefault="009A569E" w:rsidP="001653EE">
      <w:r w:rsidRPr="003478AF">
        <w:t xml:space="preserve">W </w:t>
      </w:r>
      <w:r w:rsidR="00AD26D1" w:rsidRPr="003478AF">
        <w:t xml:space="preserve">niniejszym </w:t>
      </w:r>
      <w:r w:rsidRPr="003478AF">
        <w:t xml:space="preserve">rozdziale </w:t>
      </w:r>
      <w:r w:rsidR="00A92345" w:rsidRPr="003478AF">
        <w:t xml:space="preserve">zamieszczono </w:t>
      </w:r>
      <w:r w:rsidRPr="003478AF">
        <w:t>analizę podstaw organizacyjno-prawnych rozwoju GOZ na poziom</w:t>
      </w:r>
      <w:r w:rsidR="00A92345" w:rsidRPr="003478AF">
        <w:t>ach</w:t>
      </w:r>
      <w:r w:rsidRPr="003478AF">
        <w:t xml:space="preserve"> europejskim, krajowym i wojewódzkim, wskazując na istotne powiązania </w:t>
      </w:r>
      <w:r w:rsidR="009D609C" w:rsidRPr="003478AF">
        <w:t>przedstawionych do</w:t>
      </w:r>
      <w:r w:rsidRPr="003478AF">
        <w:t>kumentów z koncepcj</w:t>
      </w:r>
      <w:r w:rsidR="009D609C" w:rsidRPr="003478AF">
        <w:t>ą</w:t>
      </w:r>
      <w:r w:rsidRPr="003478AF">
        <w:t xml:space="preserve"> wsparcia regionalnego w zakresie realizacji gospodarki cyrkularnej w województwie wielkopolskim</w:t>
      </w:r>
      <w:r w:rsidR="001653EE" w:rsidRPr="003478AF">
        <w:t xml:space="preserve">. </w:t>
      </w:r>
      <w:r w:rsidR="00A464FD" w:rsidRPr="003478AF">
        <w:t>Opisano</w:t>
      </w:r>
      <w:r w:rsidRPr="003478AF">
        <w:t xml:space="preserve"> </w:t>
      </w:r>
      <w:r w:rsidR="00A92345" w:rsidRPr="003478AF">
        <w:t xml:space="preserve">także </w:t>
      </w:r>
      <w:r w:rsidRPr="003478AF">
        <w:t>wpływ regulacji prawnych na sytuację gospodarczą w kraju i regionie</w:t>
      </w:r>
      <w:r w:rsidR="001653EE" w:rsidRPr="003478AF">
        <w:t xml:space="preserve"> </w:t>
      </w:r>
      <w:r w:rsidRPr="003478AF">
        <w:t xml:space="preserve">na podstawie </w:t>
      </w:r>
      <w:r w:rsidR="00A464FD" w:rsidRPr="003478AF">
        <w:t>wskazanych dokumentów</w:t>
      </w:r>
      <w:r w:rsidRPr="003478AF">
        <w:t xml:space="preserve"> mających </w:t>
      </w:r>
      <w:r w:rsidR="00A92345" w:rsidRPr="003478AF">
        <w:t xml:space="preserve">wpływ </w:t>
      </w:r>
      <w:r w:rsidR="00D84CE0" w:rsidRPr="003478AF">
        <w:t>na</w:t>
      </w:r>
      <w:r w:rsidRPr="003478AF">
        <w:t xml:space="preserve"> transformację w kierunku </w:t>
      </w:r>
      <w:r w:rsidR="00B64FAA" w:rsidRPr="003478AF">
        <w:t>GOZ</w:t>
      </w:r>
      <w:r w:rsidR="00A464FD" w:rsidRPr="003478AF">
        <w:t>.</w:t>
      </w:r>
    </w:p>
    <w:p w14:paraId="2AA1AA4C" w14:textId="77777777" w:rsidR="00AD26D1" w:rsidRPr="003478AF" w:rsidRDefault="00AD26D1" w:rsidP="001653EE"/>
    <w:p w14:paraId="6BAC5ADF" w14:textId="0115972D" w:rsidR="00880B14" w:rsidRPr="003478AF" w:rsidRDefault="00BC2C92" w:rsidP="00194CA4">
      <w:pPr>
        <w:pStyle w:val="Nagwek3"/>
      </w:pPr>
      <w:bookmarkStart w:id="25" w:name="_Toc82159990"/>
      <w:r w:rsidRPr="003478AF">
        <w:t xml:space="preserve">2.2.1. </w:t>
      </w:r>
      <w:r w:rsidR="00880B14" w:rsidRPr="003478AF">
        <w:t>Poziom europejski</w:t>
      </w:r>
      <w:bookmarkEnd w:id="25"/>
    </w:p>
    <w:p w14:paraId="0E817427" w14:textId="1B65FECE" w:rsidR="003B7827" w:rsidRPr="003478AF" w:rsidRDefault="00DE7347" w:rsidP="00214AD8">
      <w:pPr>
        <w:autoSpaceDE w:val="0"/>
        <w:autoSpaceDN w:val="0"/>
        <w:adjustRightInd w:val="0"/>
        <w:rPr>
          <w:rFonts w:eastAsia="MinionPro-Regular" w:cs="Arial"/>
          <w:szCs w:val="20"/>
        </w:rPr>
      </w:pPr>
      <w:r w:rsidRPr="003478AF">
        <w:rPr>
          <w:rFonts w:eastAsia="MinionPro-Regular" w:cs="Arial"/>
          <w:szCs w:val="20"/>
        </w:rPr>
        <w:t>W ostatnich latach U</w:t>
      </w:r>
      <w:r w:rsidR="00B64FAA" w:rsidRPr="003478AF">
        <w:rPr>
          <w:rFonts w:eastAsia="MinionPro-Regular" w:cs="Arial"/>
          <w:szCs w:val="20"/>
        </w:rPr>
        <w:t>E</w:t>
      </w:r>
      <w:r w:rsidRPr="003478AF">
        <w:rPr>
          <w:rFonts w:eastAsia="MinionPro-Regular" w:cs="Arial"/>
          <w:szCs w:val="20"/>
        </w:rPr>
        <w:t xml:space="preserve"> podjęła</w:t>
      </w:r>
      <w:r w:rsidR="007C438D" w:rsidRPr="003478AF">
        <w:rPr>
          <w:rFonts w:eastAsia="MinionPro-Regular" w:cs="Arial"/>
          <w:szCs w:val="20"/>
        </w:rPr>
        <w:t xml:space="preserve"> </w:t>
      </w:r>
      <w:r w:rsidRPr="003478AF">
        <w:rPr>
          <w:rFonts w:eastAsia="MinionPro-Regular" w:cs="Arial"/>
          <w:szCs w:val="20"/>
        </w:rPr>
        <w:t>kroki w kierunk</w:t>
      </w:r>
      <w:r w:rsidR="0014639F" w:rsidRPr="003478AF">
        <w:rPr>
          <w:rFonts w:eastAsia="MinionPro-Regular" w:cs="Arial"/>
          <w:szCs w:val="20"/>
        </w:rPr>
        <w:t xml:space="preserve">u </w:t>
      </w:r>
      <w:r w:rsidRPr="003478AF">
        <w:rPr>
          <w:rFonts w:eastAsia="MinionPro-Regular" w:cs="Arial"/>
          <w:szCs w:val="20"/>
        </w:rPr>
        <w:t>transformacji ku gospodarce cyrkularnej</w:t>
      </w:r>
      <w:r w:rsidR="005A0E32" w:rsidRPr="003478AF">
        <w:rPr>
          <w:rFonts w:eastAsia="MinionPro-Regular" w:cs="Arial"/>
          <w:szCs w:val="20"/>
        </w:rPr>
        <w:t xml:space="preserve">. </w:t>
      </w:r>
      <w:r w:rsidR="00170D64" w:rsidRPr="003478AF">
        <w:rPr>
          <w:rFonts w:eastAsia="MinionPro-Regular" w:cs="Arial"/>
          <w:szCs w:val="20"/>
        </w:rPr>
        <w:t>Poprzez wdrażanie strategii i planów działań oraz dyrektyw, norm i innych dokumentów</w:t>
      </w:r>
      <w:r w:rsidR="005A0E32" w:rsidRPr="003478AF">
        <w:rPr>
          <w:rFonts w:eastAsia="MinionPro-Regular" w:cs="Arial"/>
          <w:szCs w:val="20"/>
        </w:rPr>
        <w:t xml:space="preserve"> (</w:t>
      </w:r>
      <w:r w:rsidR="00381971" w:rsidRPr="003478AF">
        <w:rPr>
          <w:rFonts w:eastAsia="MinionPro-Regular" w:cs="Arial"/>
          <w:szCs w:val="20"/>
        </w:rPr>
        <w:t>ryc.</w:t>
      </w:r>
      <w:r w:rsidR="00844C70" w:rsidRPr="003478AF">
        <w:rPr>
          <w:rFonts w:eastAsia="MinionPro-Regular" w:cs="Arial"/>
          <w:szCs w:val="20"/>
        </w:rPr>
        <w:t xml:space="preserve"> </w:t>
      </w:r>
      <w:r w:rsidR="00E5109D" w:rsidRPr="003478AF">
        <w:rPr>
          <w:rFonts w:eastAsia="MinionPro-Regular" w:cs="Arial"/>
          <w:szCs w:val="20"/>
        </w:rPr>
        <w:t>2</w:t>
      </w:r>
      <w:r w:rsidR="00844C70" w:rsidRPr="003478AF">
        <w:rPr>
          <w:rFonts w:eastAsia="MinionPro-Regular" w:cs="Arial"/>
          <w:szCs w:val="20"/>
        </w:rPr>
        <w:t>.</w:t>
      </w:r>
      <w:r w:rsidR="00E5109D" w:rsidRPr="003478AF">
        <w:rPr>
          <w:rFonts w:eastAsia="MinionPro-Regular" w:cs="Arial"/>
          <w:szCs w:val="20"/>
        </w:rPr>
        <w:t>3</w:t>
      </w:r>
      <w:r w:rsidR="005A0E32" w:rsidRPr="003478AF">
        <w:rPr>
          <w:rFonts w:eastAsia="MinionPro-Regular" w:cs="Arial"/>
          <w:szCs w:val="20"/>
        </w:rPr>
        <w:t>),</w:t>
      </w:r>
      <w:r w:rsidR="00170D64" w:rsidRPr="003478AF">
        <w:rPr>
          <w:rFonts w:eastAsia="MinionPro-Regular" w:cs="Arial"/>
          <w:szCs w:val="20"/>
        </w:rPr>
        <w:t xml:space="preserve"> regul</w:t>
      </w:r>
      <w:r w:rsidR="005A0E32" w:rsidRPr="003478AF">
        <w:rPr>
          <w:rFonts w:eastAsia="MinionPro-Regular" w:cs="Arial"/>
          <w:szCs w:val="20"/>
        </w:rPr>
        <w:t>owane</w:t>
      </w:r>
      <w:r w:rsidR="00170D64" w:rsidRPr="003478AF">
        <w:rPr>
          <w:rFonts w:eastAsia="MinionPro-Regular" w:cs="Arial"/>
          <w:szCs w:val="20"/>
        </w:rPr>
        <w:t xml:space="preserve"> </w:t>
      </w:r>
      <w:r w:rsidR="005A0E32" w:rsidRPr="003478AF">
        <w:rPr>
          <w:rFonts w:eastAsia="MinionPro-Regular" w:cs="Arial"/>
          <w:szCs w:val="20"/>
        </w:rPr>
        <w:t xml:space="preserve">i udoskonalane są </w:t>
      </w:r>
      <w:r w:rsidR="00170D64" w:rsidRPr="003478AF">
        <w:rPr>
          <w:rFonts w:eastAsia="MinionPro-Regular" w:cs="Arial"/>
          <w:szCs w:val="20"/>
        </w:rPr>
        <w:t>kwestie związane z funkcjonowaniem przemysłu</w:t>
      </w:r>
      <w:r w:rsidR="000B6811" w:rsidRPr="003478AF">
        <w:rPr>
          <w:rFonts w:eastAsia="MinionPro-Regular" w:cs="Arial"/>
          <w:szCs w:val="20"/>
        </w:rPr>
        <w:t xml:space="preserve"> </w:t>
      </w:r>
      <w:r w:rsidR="00081057" w:rsidRPr="003478AF">
        <w:rPr>
          <w:rFonts w:eastAsia="MinionPro-Regular" w:cs="Arial"/>
          <w:szCs w:val="20"/>
        </w:rPr>
        <w:t>oraz</w:t>
      </w:r>
      <w:r w:rsidR="000B6811" w:rsidRPr="003478AF">
        <w:rPr>
          <w:rFonts w:eastAsia="MinionPro-Regular" w:cs="Arial"/>
          <w:szCs w:val="20"/>
        </w:rPr>
        <w:t xml:space="preserve"> </w:t>
      </w:r>
      <w:r w:rsidR="00407834" w:rsidRPr="003478AF">
        <w:rPr>
          <w:rFonts w:eastAsia="MinionPro-Regular" w:cs="Arial"/>
          <w:szCs w:val="20"/>
        </w:rPr>
        <w:t>konsumpcją</w:t>
      </w:r>
      <w:r w:rsidR="000B6811" w:rsidRPr="003478AF">
        <w:rPr>
          <w:rFonts w:eastAsia="MinionPro-Regular" w:cs="Arial"/>
          <w:szCs w:val="20"/>
        </w:rPr>
        <w:t>, bazując</w:t>
      </w:r>
      <w:r w:rsidR="0041466C" w:rsidRPr="003478AF">
        <w:rPr>
          <w:rFonts w:eastAsia="MinionPro-Regular" w:cs="Arial"/>
          <w:szCs w:val="20"/>
        </w:rPr>
        <w:t>e</w:t>
      </w:r>
      <w:r w:rsidR="000B6811" w:rsidRPr="003478AF">
        <w:rPr>
          <w:rFonts w:eastAsia="MinionPro-Regular" w:cs="Arial"/>
          <w:szCs w:val="20"/>
        </w:rPr>
        <w:t xml:space="preserve"> na modelach gospodarczych o bardziej zamkniętym obiegu</w:t>
      </w:r>
      <w:r w:rsidR="005A0E32" w:rsidRPr="003478AF">
        <w:rPr>
          <w:rFonts w:eastAsia="MinionPro-Regular" w:cs="Arial"/>
          <w:szCs w:val="20"/>
        </w:rPr>
        <w:t>.</w:t>
      </w:r>
    </w:p>
    <w:p w14:paraId="127E4D67" w14:textId="40C7C8C5" w:rsidR="00D67C34" w:rsidRPr="003478AF" w:rsidRDefault="00807A6A" w:rsidP="00ED6B06">
      <w:pPr>
        <w:autoSpaceDE w:val="0"/>
        <w:autoSpaceDN w:val="0"/>
        <w:adjustRightInd w:val="0"/>
        <w:rPr>
          <w:rFonts w:eastAsia="MinionPro-Regular" w:cs="Arial"/>
          <w:szCs w:val="20"/>
        </w:rPr>
      </w:pPr>
      <w:r w:rsidRPr="003478AF">
        <w:rPr>
          <w:rFonts w:eastAsia="MinionPro-Regular" w:cs="Arial"/>
          <w:szCs w:val="20"/>
        </w:rPr>
        <w:t xml:space="preserve">Obecnie </w:t>
      </w:r>
      <w:r w:rsidR="00B64FAA" w:rsidRPr="003478AF">
        <w:rPr>
          <w:rFonts w:eastAsia="MinionPro-Regular" w:cs="Arial"/>
          <w:szCs w:val="20"/>
        </w:rPr>
        <w:t>GOZ</w:t>
      </w:r>
      <w:r w:rsidRPr="003478AF">
        <w:rPr>
          <w:rFonts w:eastAsia="MinionPro-Regular" w:cs="Arial"/>
          <w:szCs w:val="20"/>
        </w:rPr>
        <w:t xml:space="preserve"> jest priorytetem polityki gospodarczej </w:t>
      </w:r>
      <w:r w:rsidR="003907A2" w:rsidRPr="003478AF">
        <w:rPr>
          <w:rFonts w:eastAsia="MinionPro-Regular" w:cs="Arial"/>
          <w:szCs w:val="20"/>
        </w:rPr>
        <w:t>UE</w:t>
      </w:r>
      <w:r w:rsidRPr="003478AF">
        <w:rPr>
          <w:rFonts w:eastAsia="MinionPro-Regular" w:cs="Arial"/>
          <w:szCs w:val="20"/>
        </w:rPr>
        <w:t xml:space="preserve"> na najbliższe lata i jednym </w:t>
      </w:r>
      <w:r w:rsidR="001B0CB3" w:rsidRPr="003478AF">
        <w:rPr>
          <w:rFonts w:eastAsia="MinionPro-Regular" w:cs="Arial"/>
          <w:szCs w:val="20"/>
        </w:rPr>
        <w:br/>
      </w:r>
      <w:r w:rsidRPr="003478AF">
        <w:rPr>
          <w:rFonts w:eastAsia="MinionPro-Regular" w:cs="Arial"/>
          <w:szCs w:val="20"/>
        </w:rPr>
        <w:t>z kluczowych stymulatorów wdrażania zasad odpowiedzialnego, zrównoważon</w:t>
      </w:r>
      <w:r w:rsidR="00713D95" w:rsidRPr="003478AF">
        <w:rPr>
          <w:rFonts w:eastAsia="MinionPro-Regular" w:cs="Arial"/>
          <w:szCs w:val="20"/>
        </w:rPr>
        <w:t>ego</w:t>
      </w:r>
      <w:r w:rsidRPr="003478AF">
        <w:rPr>
          <w:rFonts w:eastAsia="MinionPro-Regular" w:cs="Arial"/>
          <w:szCs w:val="20"/>
        </w:rPr>
        <w:t xml:space="preserve"> </w:t>
      </w:r>
      <w:r w:rsidR="005A0E32" w:rsidRPr="003478AF">
        <w:rPr>
          <w:rFonts w:eastAsia="MinionPro-Regular" w:cs="Arial"/>
          <w:szCs w:val="20"/>
        </w:rPr>
        <w:t>rozwoju</w:t>
      </w:r>
      <w:r w:rsidRPr="003478AF">
        <w:rPr>
          <w:rFonts w:eastAsia="MinionPro-Regular" w:cs="Arial"/>
          <w:szCs w:val="20"/>
        </w:rPr>
        <w:t>.</w:t>
      </w:r>
      <w:r w:rsidR="005A0E32" w:rsidRPr="003478AF">
        <w:rPr>
          <w:rFonts w:eastAsia="MinionPro-Regular" w:cs="Arial"/>
          <w:szCs w:val="20"/>
        </w:rPr>
        <w:t xml:space="preserve"> Dynamiczne rozpowszechnianie modelu GOZ </w:t>
      </w:r>
      <w:r w:rsidR="00C47DFE" w:rsidRPr="003478AF">
        <w:rPr>
          <w:rFonts w:eastAsia="MinionPro-Regular" w:cs="Arial"/>
          <w:szCs w:val="20"/>
        </w:rPr>
        <w:t xml:space="preserve">szczególnie </w:t>
      </w:r>
      <w:r w:rsidR="005A0E32" w:rsidRPr="003478AF">
        <w:rPr>
          <w:rFonts w:eastAsia="MinionPro-Regular" w:cs="Arial"/>
          <w:szCs w:val="20"/>
        </w:rPr>
        <w:t>widoczne jest od 2014</w:t>
      </w:r>
      <w:r w:rsidR="00CD68D8" w:rsidRPr="003478AF">
        <w:rPr>
          <w:rFonts w:eastAsia="MinionPro-Regular" w:cs="Arial"/>
          <w:szCs w:val="20"/>
        </w:rPr>
        <w:t xml:space="preserve"> </w:t>
      </w:r>
      <w:r w:rsidR="005A0E32" w:rsidRPr="003478AF">
        <w:rPr>
          <w:rFonts w:eastAsia="MinionPro-Regular" w:cs="Arial"/>
          <w:szCs w:val="20"/>
        </w:rPr>
        <w:t>roku poprzez programy w zakresie zasobooszczędności</w:t>
      </w:r>
      <w:r w:rsidR="00CD68D8" w:rsidRPr="003478AF">
        <w:rPr>
          <w:rFonts w:eastAsia="MinionPro-Regular" w:cs="Arial"/>
          <w:szCs w:val="20"/>
        </w:rPr>
        <w:t>, niskoemisyjności, konkurencyjności</w:t>
      </w:r>
      <w:r w:rsidR="005A0E32" w:rsidRPr="003478AF">
        <w:rPr>
          <w:rFonts w:eastAsia="MinionPro-Regular" w:cs="Arial"/>
          <w:szCs w:val="20"/>
        </w:rPr>
        <w:t xml:space="preserve"> i ograniczenia powstawania odpadów</w:t>
      </w:r>
      <w:r w:rsidR="00CD68D8" w:rsidRPr="003478AF">
        <w:rPr>
          <w:rFonts w:eastAsia="MinionPro-Regular" w:cs="Arial"/>
          <w:szCs w:val="20"/>
        </w:rPr>
        <w:t>:</w:t>
      </w:r>
      <w:r w:rsidR="005A0E32" w:rsidRPr="003478AF">
        <w:rPr>
          <w:rFonts w:eastAsia="MinionPro-Regular" w:cs="Arial"/>
          <w:szCs w:val="20"/>
        </w:rPr>
        <w:t xml:space="preserve"> </w:t>
      </w:r>
      <w:r w:rsidR="005A0E32" w:rsidRPr="003478AF">
        <w:rPr>
          <w:rFonts w:eastAsia="MinionPro-Regular" w:cs="Arial"/>
          <w:b/>
          <w:bCs/>
          <w:szCs w:val="20"/>
        </w:rPr>
        <w:t>Ku gospodarce o obiegu zamkniętym: program „zero odpadów</w:t>
      </w:r>
      <w:r w:rsidR="00D67C34" w:rsidRPr="003478AF">
        <w:rPr>
          <w:rFonts w:eastAsia="MinionPro-Regular" w:cs="Arial"/>
          <w:b/>
          <w:bCs/>
          <w:szCs w:val="20"/>
        </w:rPr>
        <w:t>”</w:t>
      </w:r>
      <w:r w:rsidR="005A0E32" w:rsidRPr="003478AF">
        <w:rPr>
          <w:rFonts w:eastAsia="MinionPro-Regular" w:cs="Arial"/>
          <w:b/>
          <w:bCs/>
          <w:szCs w:val="20"/>
        </w:rPr>
        <w:t xml:space="preserve"> dla Europy</w:t>
      </w:r>
      <w:r w:rsidR="005A0E32" w:rsidRPr="003478AF">
        <w:rPr>
          <w:rStyle w:val="Odwoanieprzypisudolnego"/>
        </w:rPr>
        <w:footnoteReference w:id="31"/>
      </w:r>
      <w:r w:rsidR="00CD68D8" w:rsidRPr="003478AF">
        <w:rPr>
          <w:rFonts w:eastAsia="MinionPro-Regular" w:cs="Arial"/>
          <w:b/>
          <w:bCs/>
          <w:szCs w:val="20"/>
        </w:rPr>
        <w:t xml:space="preserve"> i Zamknięcie obiegu – plan działania UE dotyczący gospodarki o obiegu zamkniętym</w:t>
      </w:r>
      <w:r w:rsidR="001B0D0F" w:rsidRPr="003478AF">
        <w:rPr>
          <w:rStyle w:val="Odwoanieprzypisudolnego"/>
        </w:rPr>
        <w:footnoteReference w:id="32"/>
      </w:r>
      <w:r w:rsidR="006B2799" w:rsidRPr="003478AF">
        <w:rPr>
          <w:rFonts w:eastAsia="MinionPro-Regular" w:cs="Arial"/>
          <w:szCs w:val="20"/>
        </w:rPr>
        <w:t>.</w:t>
      </w:r>
      <w:r w:rsidR="007C438D" w:rsidRPr="003478AF">
        <w:rPr>
          <w:rFonts w:eastAsia="MinionPro-Regular" w:cs="Arial"/>
          <w:szCs w:val="20"/>
        </w:rPr>
        <w:t xml:space="preserve"> Istotnym impulsem do rozwoju modelu GOZ były także postawione przed członkami O</w:t>
      </w:r>
      <w:r w:rsidR="003907A2" w:rsidRPr="003478AF">
        <w:rPr>
          <w:rFonts w:eastAsia="MinionPro-Regular" w:cs="Arial"/>
          <w:szCs w:val="20"/>
        </w:rPr>
        <w:t xml:space="preserve">rganizacji Narodów Zjednoczonych (ONZ) </w:t>
      </w:r>
      <w:r w:rsidR="007C438D" w:rsidRPr="003478AF">
        <w:rPr>
          <w:rFonts w:eastAsia="MinionPro-Regular" w:cs="Arial"/>
          <w:szCs w:val="20"/>
        </w:rPr>
        <w:t>Cele Zrównoważonego Rozwoju (SDGs</w:t>
      </w:r>
      <w:r w:rsidR="00B64FAA" w:rsidRPr="003478AF">
        <w:rPr>
          <w:rFonts w:eastAsia="MinionPro-Regular" w:cs="Arial"/>
          <w:szCs w:val="20"/>
        </w:rPr>
        <w:t xml:space="preserve">, ang. </w:t>
      </w:r>
      <w:r w:rsidR="00B64FAA" w:rsidRPr="003478AF">
        <w:rPr>
          <w:rStyle w:val="Uwydatnienie"/>
        </w:rPr>
        <w:t>Sustainable Development Goals</w:t>
      </w:r>
      <w:r w:rsidR="007C438D" w:rsidRPr="003478AF">
        <w:rPr>
          <w:rFonts w:eastAsia="MinionPro-Regular" w:cs="Arial"/>
          <w:szCs w:val="20"/>
        </w:rPr>
        <w:t xml:space="preserve">) w ramach przyjętej </w:t>
      </w:r>
      <w:r w:rsidR="007C438D" w:rsidRPr="003478AF">
        <w:rPr>
          <w:rFonts w:eastAsia="MinionPro-Regular" w:cs="Arial"/>
          <w:b/>
          <w:bCs/>
          <w:szCs w:val="20"/>
        </w:rPr>
        <w:t xml:space="preserve">Agendy 2030 </w:t>
      </w:r>
      <w:r w:rsidR="00E2581E" w:rsidRPr="003478AF">
        <w:rPr>
          <w:rFonts w:eastAsia="MinionPro-Regular" w:cs="Arial"/>
          <w:szCs w:val="20"/>
        </w:rPr>
        <w:t xml:space="preserve">w 2015 roku </w:t>
      </w:r>
      <w:r w:rsidR="00A038C4" w:rsidRPr="003478AF">
        <w:rPr>
          <w:rFonts w:eastAsia="MinionPro-Regular" w:cs="Arial"/>
          <w:szCs w:val="20"/>
        </w:rPr>
        <w:t>(</w:t>
      </w:r>
      <w:r w:rsidR="00950D6C" w:rsidRPr="003478AF">
        <w:rPr>
          <w:rFonts w:eastAsia="MinionPro-Regular" w:cs="Arial"/>
          <w:szCs w:val="20"/>
        </w:rPr>
        <w:t xml:space="preserve">w szczególności cele </w:t>
      </w:r>
      <w:bookmarkStart w:id="26" w:name="_Hlk72614841"/>
      <w:r w:rsidR="00950D6C" w:rsidRPr="003478AF">
        <w:rPr>
          <w:rFonts w:eastAsia="MinionPro-Regular" w:cs="Arial"/>
          <w:szCs w:val="20"/>
        </w:rPr>
        <w:t>7, 11, 12, 13, 14, 15</w:t>
      </w:r>
      <w:bookmarkEnd w:id="26"/>
      <w:r w:rsidR="00950D6C" w:rsidRPr="003478AF">
        <w:rPr>
          <w:rFonts w:eastAsia="MinionPro-Regular" w:cs="Arial"/>
          <w:szCs w:val="20"/>
        </w:rPr>
        <w:t>)</w:t>
      </w:r>
      <w:r w:rsidR="008F7B82" w:rsidRPr="003478AF">
        <w:rPr>
          <w:rStyle w:val="Odwoanieprzypisudolnego"/>
        </w:rPr>
        <w:footnoteReference w:id="33"/>
      </w:r>
      <w:r w:rsidR="00A038C4" w:rsidRPr="003478AF">
        <w:rPr>
          <w:rFonts w:eastAsia="MinionPro-Regular" w:cs="Arial"/>
          <w:szCs w:val="20"/>
        </w:rPr>
        <w:t xml:space="preserve">. Związane są one </w:t>
      </w:r>
      <w:r w:rsidR="008F7B82" w:rsidRPr="003478AF">
        <w:rPr>
          <w:rFonts w:eastAsia="MinionPro-Regular" w:cs="Arial"/>
          <w:szCs w:val="20"/>
        </w:rPr>
        <w:t xml:space="preserve">m.in. </w:t>
      </w:r>
      <w:r w:rsidR="00A038C4" w:rsidRPr="003478AF">
        <w:rPr>
          <w:rFonts w:eastAsia="MinionPro-Regular" w:cs="Arial"/>
          <w:szCs w:val="20"/>
        </w:rPr>
        <w:t>z</w:t>
      </w:r>
      <w:r w:rsidR="008F7B82" w:rsidRPr="003478AF">
        <w:rPr>
          <w:rFonts w:eastAsia="MinionPro-Regular" w:cs="Arial"/>
          <w:szCs w:val="20"/>
        </w:rPr>
        <w:t>e zrównoważonym rozwojem,</w:t>
      </w:r>
      <w:r w:rsidR="00A038C4" w:rsidRPr="003478AF">
        <w:rPr>
          <w:rFonts w:eastAsia="MinionPro-Regular" w:cs="Arial"/>
          <w:szCs w:val="20"/>
        </w:rPr>
        <w:t xml:space="preserve"> ochroną </w:t>
      </w:r>
      <w:r w:rsidR="008F7B82" w:rsidRPr="003478AF">
        <w:rPr>
          <w:rFonts w:eastAsia="MinionPro-Regular" w:cs="Arial"/>
          <w:szCs w:val="20"/>
        </w:rPr>
        <w:t>ekosystemów</w:t>
      </w:r>
      <w:r w:rsidR="00A038C4" w:rsidRPr="003478AF">
        <w:rPr>
          <w:rFonts w:eastAsia="MinionPro-Regular" w:cs="Arial"/>
          <w:szCs w:val="20"/>
        </w:rPr>
        <w:t xml:space="preserve"> oraz </w:t>
      </w:r>
      <w:r w:rsidR="008F7B82" w:rsidRPr="003478AF">
        <w:rPr>
          <w:rFonts w:eastAsia="MinionPro-Regular" w:cs="Arial"/>
          <w:szCs w:val="20"/>
        </w:rPr>
        <w:t>zabezpieczeniem gospodarki</w:t>
      </w:r>
      <w:r w:rsidR="00A038C4" w:rsidRPr="003478AF">
        <w:rPr>
          <w:rFonts w:eastAsia="MinionPro-Regular" w:cs="Arial"/>
          <w:szCs w:val="20"/>
        </w:rPr>
        <w:t xml:space="preserve"> przed marnotr</w:t>
      </w:r>
      <w:r w:rsidR="006E198A" w:rsidRPr="003478AF">
        <w:rPr>
          <w:rFonts w:eastAsia="MinionPro-Regular" w:cs="Arial"/>
          <w:szCs w:val="20"/>
        </w:rPr>
        <w:t>awieniem</w:t>
      </w:r>
      <w:r w:rsidR="00A038C4" w:rsidRPr="003478AF">
        <w:rPr>
          <w:rFonts w:eastAsia="MinionPro-Regular" w:cs="Arial"/>
          <w:szCs w:val="20"/>
        </w:rPr>
        <w:t xml:space="preserve"> zasobów poprzez wtórn</w:t>
      </w:r>
      <w:r w:rsidR="008F7B82" w:rsidRPr="003478AF">
        <w:rPr>
          <w:rFonts w:eastAsia="MinionPro-Regular" w:cs="Arial"/>
          <w:szCs w:val="20"/>
        </w:rPr>
        <w:t>e</w:t>
      </w:r>
      <w:r w:rsidR="00A038C4" w:rsidRPr="003478AF">
        <w:rPr>
          <w:rFonts w:eastAsia="MinionPro-Regular" w:cs="Arial"/>
          <w:szCs w:val="20"/>
        </w:rPr>
        <w:t xml:space="preserve"> wykorzystani</w:t>
      </w:r>
      <w:r w:rsidR="008F7B82" w:rsidRPr="003478AF">
        <w:rPr>
          <w:rFonts w:eastAsia="MinionPro-Regular" w:cs="Arial"/>
          <w:szCs w:val="20"/>
        </w:rPr>
        <w:t>e</w:t>
      </w:r>
      <w:r w:rsidR="00A038C4" w:rsidRPr="003478AF">
        <w:rPr>
          <w:rFonts w:eastAsia="MinionPro-Regular" w:cs="Arial"/>
          <w:szCs w:val="20"/>
        </w:rPr>
        <w:t xml:space="preserve"> surowców</w:t>
      </w:r>
      <w:r w:rsidR="008F7B82" w:rsidRPr="003478AF">
        <w:rPr>
          <w:rFonts w:eastAsia="MinionPro-Regular" w:cs="Arial"/>
          <w:szCs w:val="20"/>
        </w:rPr>
        <w:t xml:space="preserve">, tj. istotnymi </w:t>
      </w:r>
      <w:r w:rsidR="006E198A" w:rsidRPr="003478AF">
        <w:rPr>
          <w:rFonts w:eastAsia="MinionPro-Regular" w:cs="Arial"/>
          <w:szCs w:val="20"/>
        </w:rPr>
        <w:t>elementami budującymi łańcuch</w:t>
      </w:r>
      <w:r w:rsidR="008F7B82" w:rsidRPr="003478AF">
        <w:rPr>
          <w:rFonts w:eastAsia="MinionPro-Regular" w:cs="Arial"/>
          <w:szCs w:val="20"/>
        </w:rPr>
        <w:t xml:space="preserve"> modelu GOZ.</w:t>
      </w:r>
      <w:r w:rsidR="00D67C34" w:rsidRPr="003478AF">
        <w:rPr>
          <w:rFonts w:eastAsia="MinionPro-Regular" w:cs="Arial"/>
          <w:szCs w:val="20"/>
        </w:rPr>
        <w:br w:type="page"/>
      </w:r>
    </w:p>
    <w:p w14:paraId="64CAED62" w14:textId="15A888E0" w:rsidR="00A17FF9" w:rsidRPr="003478AF" w:rsidRDefault="00A17FF9" w:rsidP="00986D40">
      <w:pPr>
        <w:pStyle w:val="ARYCINA"/>
      </w:pPr>
      <w:r w:rsidRPr="003478AF">
        <w:lastRenderedPageBreak/>
        <w:t>Ryc.</w:t>
      </w:r>
      <w:r w:rsidR="00E5109D" w:rsidRPr="003478AF">
        <w:t xml:space="preserve"> 2.3</w:t>
      </w:r>
      <w:r w:rsidRPr="003478AF">
        <w:t xml:space="preserve"> Wybrane dokumenty na poziomie europejskim związane </w:t>
      </w:r>
      <w:r w:rsidR="00C80541" w:rsidRPr="003478AF">
        <w:t xml:space="preserve">z zagadnieniami </w:t>
      </w:r>
      <w:r w:rsidRPr="003478AF">
        <w:t>GOZ</w:t>
      </w:r>
    </w:p>
    <w:p w14:paraId="7620CA96" w14:textId="155060EE" w:rsidR="006D70FF" w:rsidRPr="003478AF" w:rsidRDefault="006D70FF" w:rsidP="00986D40">
      <w:pPr>
        <w:pStyle w:val="ARYCINA"/>
      </w:pPr>
      <w:r w:rsidRPr="003478AF">
        <w:rPr>
          <w:noProof/>
          <w:lang w:eastAsia="pl-PL"/>
        </w:rPr>
        <w:drawing>
          <wp:inline distT="0" distB="0" distL="0" distR="0" wp14:anchorId="47A33E89" wp14:editId="1689374A">
            <wp:extent cx="4363057" cy="7040880"/>
            <wp:effectExtent l="0" t="0" r="0" b="0"/>
            <wp:docPr id="13" name="Obraz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Obraz 13"/>
                    <pic:cNvPicPr/>
                  </pic:nvPicPr>
                  <pic:blipFill>
                    <a:blip r:embed="rId28"/>
                    <a:stretch>
                      <a:fillRect/>
                    </a:stretch>
                  </pic:blipFill>
                  <pic:spPr>
                    <a:xfrm>
                      <a:off x="0" y="0"/>
                      <a:ext cx="4380753" cy="7069438"/>
                    </a:xfrm>
                    <a:prstGeom prst="rect">
                      <a:avLst/>
                    </a:prstGeom>
                  </pic:spPr>
                </pic:pic>
              </a:graphicData>
            </a:graphic>
          </wp:inline>
        </w:drawing>
      </w:r>
    </w:p>
    <w:p w14:paraId="22857D20" w14:textId="4259A06E" w:rsidR="003031FA" w:rsidRPr="003478AF" w:rsidRDefault="00A17FF9" w:rsidP="00986D40">
      <w:pPr>
        <w:pStyle w:val="AZRODLO"/>
        <w:rPr>
          <w:rFonts w:eastAsia="MinionPro-Regular"/>
          <w:szCs w:val="20"/>
        </w:rPr>
      </w:pPr>
      <w:r w:rsidRPr="003478AF">
        <w:t xml:space="preserve">Źródło: </w:t>
      </w:r>
      <w:r w:rsidR="00AB10D9" w:rsidRPr="003478AF">
        <w:t>O</w:t>
      </w:r>
      <w:r w:rsidRPr="003478AF">
        <w:t>pracowanie własne</w:t>
      </w:r>
      <w:r w:rsidR="003031FA" w:rsidRPr="003478AF">
        <w:rPr>
          <w:rFonts w:eastAsia="MinionPro-Regular"/>
          <w:szCs w:val="20"/>
        </w:rPr>
        <w:br w:type="page"/>
      </w:r>
    </w:p>
    <w:p w14:paraId="6F65E6B3" w14:textId="32ECF3F6" w:rsidR="00663D53" w:rsidRPr="003478AF" w:rsidRDefault="006B2799" w:rsidP="00663D53">
      <w:pPr>
        <w:autoSpaceDE w:val="0"/>
        <w:autoSpaceDN w:val="0"/>
        <w:adjustRightInd w:val="0"/>
        <w:rPr>
          <w:rFonts w:eastAsia="MinionPro-Regular" w:cs="Arial"/>
          <w:szCs w:val="20"/>
        </w:rPr>
      </w:pPr>
      <w:r w:rsidRPr="003478AF">
        <w:rPr>
          <w:rFonts w:eastAsia="MinionPro-Regular" w:cs="Arial"/>
          <w:szCs w:val="20"/>
        </w:rPr>
        <w:lastRenderedPageBreak/>
        <w:t>W kolejnych latach następowała intensyfikacja działań</w:t>
      </w:r>
      <w:r w:rsidR="000D7637" w:rsidRPr="003478AF">
        <w:rPr>
          <w:rFonts w:eastAsia="MinionPro-Regular" w:cs="Arial"/>
          <w:szCs w:val="20"/>
        </w:rPr>
        <w:t xml:space="preserve"> (m.in. pakiet GOZ, dyrektywy odpadowe, strategia na rzecz tworzyw sztucznych przyjmujące podejście oparte na cyklu życia materiału</w:t>
      </w:r>
      <w:r w:rsidR="00081057" w:rsidRPr="003478AF">
        <w:rPr>
          <w:rFonts w:eastAsia="MinionPro-Regular" w:cs="Arial"/>
          <w:szCs w:val="20"/>
        </w:rPr>
        <w:t xml:space="preserve"> oraz przetwarzanie odpadów w energię</w:t>
      </w:r>
      <w:r w:rsidR="000D7637" w:rsidRPr="003478AF">
        <w:rPr>
          <w:rFonts w:eastAsia="MinionPro-Regular" w:cs="Arial"/>
          <w:szCs w:val="20"/>
        </w:rPr>
        <w:t>)</w:t>
      </w:r>
      <w:r w:rsidR="00081057" w:rsidRPr="003478AF">
        <w:rPr>
          <w:rFonts w:eastAsia="MinionPro-Regular" w:cs="Arial"/>
          <w:szCs w:val="20"/>
        </w:rPr>
        <w:t xml:space="preserve"> (</w:t>
      </w:r>
      <w:r w:rsidR="00381971" w:rsidRPr="003478AF">
        <w:rPr>
          <w:rFonts w:eastAsia="MinionPro-Regular" w:cs="Arial"/>
          <w:szCs w:val="20"/>
        </w:rPr>
        <w:t>ryc.</w:t>
      </w:r>
      <w:r w:rsidR="003E3C6E" w:rsidRPr="003478AF">
        <w:rPr>
          <w:rFonts w:eastAsia="MinionPro-Regular" w:cs="Arial"/>
          <w:szCs w:val="20"/>
        </w:rPr>
        <w:t xml:space="preserve"> </w:t>
      </w:r>
      <w:r w:rsidR="004C5BDE" w:rsidRPr="003478AF">
        <w:rPr>
          <w:rFonts w:eastAsia="MinionPro-Regular" w:cs="Arial"/>
          <w:szCs w:val="20"/>
        </w:rPr>
        <w:t>2</w:t>
      </w:r>
      <w:r w:rsidR="003E3C6E" w:rsidRPr="003478AF">
        <w:rPr>
          <w:rFonts w:eastAsia="MinionPro-Regular" w:cs="Arial"/>
          <w:szCs w:val="20"/>
        </w:rPr>
        <w:t>.</w:t>
      </w:r>
      <w:r w:rsidR="004C5BDE" w:rsidRPr="003478AF">
        <w:rPr>
          <w:rFonts w:eastAsia="MinionPro-Regular" w:cs="Arial"/>
          <w:szCs w:val="20"/>
        </w:rPr>
        <w:t>3</w:t>
      </w:r>
      <w:r w:rsidR="003E3C6E" w:rsidRPr="003478AF">
        <w:rPr>
          <w:rFonts w:eastAsia="MinionPro-Regular" w:cs="Arial"/>
          <w:szCs w:val="20"/>
        </w:rPr>
        <w:t>)</w:t>
      </w:r>
      <w:r w:rsidR="002951F2" w:rsidRPr="003478AF">
        <w:rPr>
          <w:rFonts w:eastAsia="MinionPro-Regular" w:cs="Arial"/>
          <w:szCs w:val="20"/>
        </w:rPr>
        <w:t xml:space="preserve">. W 2018 roku przedstawiono długoterminową wizję dojścia do zerowych emisji netto w 2050 roku w ramach strategii </w:t>
      </w:r>
      <w:r w:rsidR="002951F2" w:rsidRPr="003478AF">
        <w:rPr>
          <w:rFonts w:eastAsia="MinionPro-Regular" w:cs="Arial"/>
          <w:b/>
          <w:bCs/>
          <w:szCs w:val="20"/>
        </w:rPr>
        <w:t>Czysta planeta dla wszystkich</w:t>
      </w:r>
      <w:r w:rsidR="00676352" w:rsidRPr="003478AF">
        <w:rPr>
          <w:rStyle w:val="Odwoanieprzypisudolnego"/>
        </w:rPr>
        <w:footnoteReference w:id="34"/>
      </w:r>
      <w:r w:rsidR="002951F2" w:rsidRPr="003478AF">
        <w:rPr>
          <w:rFonts w:eastAsia="MinionPro-Regular" w:cs="Arial"/>
          <w:szCs w:val="20"/>
        </w:rPr>
        <w:t>.</w:t>
      </w:r>
      <w:r w:rsidR="00676352" w:rsidRPr="003478AF">
        <w:rPr>
          <w:rFonts w:eastAsia="MinionPro-Regular" w:cs="Arial"/>
          <w:szCs w:val="20"/>
        </w:rPr>
        <w:t xml:space="preserve"> </w:t>
      </w:r>
      <w:r w:rsidR="00EC29FC" w:rsidRPr="003478AF">
        <w:rPr>
          <w:rFonts w:eastAsia="MinionPro-Regular" w:cs="Arial"/>
          <w:szCs w:val="20"/>
        </w:rPr>
        <w:t>Wskazano</w:t>
      </w:r>
      <w:r w:rsidR="00081057" w:rsidRPr="003478AF">
        <w:rPr>
          <w:rFonts w:eastAsia="MinionPro-Regular" w:cs="Arial"/>
          <w:szCs w:val="20"/>
        </w:rPr>
        <w:t>,</w:t>
      </w:r>
      <w:r w:rsidR="00EC29FC" w:rsidRPr="003478AF">
        <w:rPr>
          <w:rFonts w:eastAsia="MinionPro-Regular" w:cs="Arial"/>
          <w:szCs w:val="20"/>
        </w:rPr>
        <w:t xml:space="preserve"> iż przejście na gospodarkę zeroemisyjną wymagać będzie maksymalizacji potencjału gospodarki cyrkularnej.</w:t>
      </w:r>
      <w:r w:rsidR="008A4D5C" w:rsidRPr="003478AF">
        <w:rPr>
          <w:rFonts w:eastAsia="MinionPro-Regular" w:cs="Arial"/>
          <w:szCs w:val="20"/>
        </w:rPr>
        <w:t xml:space="preserve"> </w:t>
      </w:r>
      <w:r w:rsidR="00B27D68" w:rsidRPr="003478AF">
        <w:rPr>
          <w:rFonts w:eastAsia="MinionPro-Regular" w:cs="Arial"/>
          <w:szCs w:val="20"/>
        </w:rPr>
        <w:t>Zwiększanie k</w:t>
      </w:r>
      <w:r w:rsidR="008A4D5C" w:rsidRPr="003478AF">
        <w:rPr>
          <w:rFonts w:eastAsia="MinionPro-Regular" w:cs="Arial"/>
          <w:szCs w:val="20"/>
        </w:rPr>
        <w:t>onkurencyjn</w:t>
      </w:r>
      <w:r w:rsidR="00B27D68" w:rsidRPr="003478AF">
        <w:rPr>
          <w:rFonts w:eastAsia="MinionPro-Regular" w:cs="Arial"/>
          <w:szCs w:val="20"/>
        </w:rPr>
        <w:t>ości</w:t>
      </w:r>
      <w:r w:rsidR="008A4D5C" w:rsidRPr="003478AF">
        <w:rPr>
          <w:rFonts w:eastAsia="MinionPro-Regular" w:cs="Arial"/>
          <w:szCs w:val="20"/>
        </w:rPr>
        <w:t xml:space="preserve"> przemysł</w:t>
      </w:r>
      <w:r w:rsidR="00B27D68" w:rsidRPr="003478AF">
        <w:rPr>
          <w:rFonts w:eastAsia="MinionPro-Regular" w:cs="Arial"/>
          <w:szCs w:val="20"/>
        </w:rPr>
        <w:t>u</w:t>
      </w:r>
      <w:r w:rsidR="008A4D5C" w:rsidRPr="003478AF">
        <w:rPr>
          <w:rFonts w:eastAsia="MinionPro-Regular" w:cs="Arial"/>
          <w:szCs w:val="20"/>
        </w:rPr>
        <w:t xml:space="preserve"> unijn</w:t>
      </w:r>
      <w:r w:rsidR="00B27D68" w:rsidRPr="003478AF">
        <w:rPr>
          <w:rFonts w:eastAsia="MinionPro-Regular" w:cs="Arial"/>
          <w:szCs w:val="20"/>
        </w:rPr>
        <w:t>ego poprzez</w:t>
      </w:r>
      <w:r w:rsidR="008A4D5C" w:rsidRPr="003478AF">
        <w:rPr>
          <w:rFonts w:eastAsia="MinionPro-Regular" w:cs="Arial"/>
          <w:szCs w:val="20"/>
        </w:rPr>
        <w:t xml:space="preserve"> i</w:t>
      </w:r>
      <w:r w:rsidR="00B27D68" w:rsidRPr="003478AF">
        <w:rPr>
          <w:rFonts w:eastAsia="MinionPro-Regular" w:cs="Arial"/>
          <w:szCs w:val="20"/>
        </w:rPr>
        <w:t>nnowacje na rzecz</w:t>
      </w:r>
      <w:r w:rsidR="008A4D5C" w:rsidRPr="003478AF">
        <w:rPr>
          <w:rFonts w:eastAsia="MinionPro-Regular" w:cs="Arial"/>
          <w:szCs w:val="20"/>
        </w:rPr>
        <w:t xml:space="preserve"> GOZ </w:t>
      </w:r>
      <w:r w:rsidR="00B27D68" w:rsidRPr="003478AF">
        <w:rPr>
          <w:rFonts w:eastAsia="MinionPro-Regular" w:cs="Arial"/>
          <w:szCs w:val="20"/>
        </w:rPr>
        <w:t>uznawane</w:t>
      </w:r>
      <w:r w:rsidR="008A4D5C" w:rsidRPr="003478AF">
        <w:rPr>
          <w:rFonts w:eastAsia="MinionPro-Regular" w:cs="Arial"/>
          <w:szCs w:val="20"/>
        </w:rPr>
        <w:t xml:space="preserve"> </w:t>
      </w:r>
      <w:r w:rsidR="00B27D68" w:rsidRPr="003478AF">
        <w:rPr>
          <w:rFonts w:eastAsia="MinionPro-Regular" w:cs="Arial"/>
          <w:szCs w:val="20"/>
        </w:rPr>
        <w:t>jest</w:t>
      </w:r>
      <w:r w:rsidR="008A4D5C" w:rsidRPr="003478AF">
        <w:rPr>
          <w:rFonts w:eastAsia="MinionPro-Regular" w:cs="Arial"/>
          <w:szCs w:val="20"/>
        </w:rPr>
        <w:t xml:space="preserve"> za </w:t>
      </w:r>
      <w:r w:rsidR="00B27D68" w:rsidRPr="003478AF">
        <w:rPr>
          <w:rFonts w:eastAsia="MinionPro-Regular" w:cs="Arial"/>
          <w:szCs w:val="20"/>
        </w:rPr>
        <w:t>kluczowy</w:t>
      </w:r>
      <w:r w:rsidR="008A4D5C" w:rsidRPr="003478AF">
        <w:rPr>
          <w:rFonts w:eastAsia="MinionPro-Regular" w:cs="Arial"/>
          <w:szCs w:val="20"/>
        </w:rPr>
        <w:t xml:space="preserve"> czynnik umożliwiający ograniczenie emisji gazów cieplarnianych. </w:t>
      </w:r>
      <w:r w:rsidR="00B27D68" w:rsidRPr="003478AF">
        <w:rPr>
          <w:rFonts w:eastAsia="MinionPro-Regular" w:cs="Arial"/>
          <w:szCs w:val="20"/>
        </w:rPr>
        <w:t>Szczególną</w:t>
      </w:r>
      <w:r w:rsidR="008A4D5C" w:rsidRPr="003478AF">
        <w:rPr>
          <w:rFonts w:eastAsia="MinionPro-Regular" w:cs="Arial"/>
          <w:szCs w:val="20"/>
        </w:rPr>
        <w:t xml:space="preserve"> uwagę </w:t>
      </w:r>
      <w:r w:rsidR="00B27D68" w:rsidRPr="003478AF">
        <w:rPr>
          <w:rFonts w:eastAsia="MinionPro-Regular" w:cs="Arial"/>
          <w:szCs w:val="20"/>
        </w:rPr>
        <w:t>zwrócono</w:t>
      </w:r>
      <w:r w:rsidR="008A4D5C" w:rsidRPr="003478AF">
        <w:rPr>
          <w:rFonts w:eastAsia="MinionPro-Regular" w:cs="Arial"/>
          <w:szCs w:val="20"/>
        </w:rPr>
        <w:t xml:space="preserve"> także na rolnictwo</w:t>
      </w:r>
      <w:r w:rsidR="00662187" w:rsidRPr="003478AF">
        <w:rPr>
          <w:rFonts w:eastAsia="MinionPro-Regular" w:cs="Arial"/>
          <w:szCs w:val="20"/>
        </w:rPr>
        <w:t>, w kontekście biogosp</w:t>
      </w:r>
      <w:r w:rsidR="00C47DFE" w:rsidRPr="003478AF">
        <w:rPr>
          <w:rFonts w:eastAsia="MinionPro-Regular" w:cs="Arial"/>
          <w:szCs w:val="20"/>
        </w:rPr>
        <w:t>o</w:t>
      </w:r>
      <w:r w:rsidR="00662187" w:rsidRPr="003478AF">
        <w:rPr>
          <w:rFonts w:eastAsia="MinionPro-Regular" w:cs="Arial"/>
          <w:szCs w:val="20"/>
        </w:rPr>
        <w:t xml:space="preserve">darki o obiegu </w:t>
      </w:r>
      <w:r w:rsidR="00B27D68" w:rsidRPr="003478AF">
        <w:rPr>
          <w:rFonts w:eastAsia="MinionPro-Regular" w:cs="Arial"/>
          <w:szCs w:val="20"/>
        </w:rPr>
        <w:t>zamkniętym</w:t>
      </w:r>
      <w:r w:rsidR="00662187" w:rsidRPr="003478AF">
        <w:rPr>
          <w:rFonts w:eastAsia="MinionPro-Regular" w:cs="Arial"/>
          <w:szCs w:val="20"/>
        </w:rPr>
        <w:t xml:space="preserve">, </w:t>
      </w:r>
      <w:r w:rsidR="00B27D68" w:rsidRPr="003478AF">
        <w:rPr>
          <w:rFonts w:eastAsia="MinionPro-Regular" w:cs="Arial"/>
          <w:szCs w:val="20"/>
        </w:rPr>
        <w:t>wykorzystujące</w:t>
      </w:r>
      <w:r w:rsidR="00662187" w:rsidRPr="003478AF">
        <w:rPr>
          <w:rFonts w:eastAsia="MinionPro-Regular" w:cs="Arial"/>
          <w:szCs w:val="20"/>
        </w:rPr>
        <w:t xml:space="preserve"> </w:t>
      </w:r>
      <w:r w:rsidR="00B27D68" w:rsidRPr="003478AF">
        <w:rPr>
          <w:rFonts w:eastAsia="MinionPro-Regular" w:cs="Arial"/>
          <w:szCs w:val="20"/>
        </w:rPr>
        <w:t>n</w:t>
      </w:r>
      <w:r w:rsidR="00662187" w:rsidRPr="003478AF">
        <w:rPr>
          <w:rFonts w:eastAsia="MinionPro-Regular" w:cs="Arial"/>
          <w:szCs w:val="20"/>
        </w:rPr>
        <w:t>owe możliwości biznesow</w:t>
      </w:r>
      <w:r w:rsidR="00B27D68" w:rsidRPr="003478AF">
        <w:rPr>
          <w:rFonts w:eastAsia="MinionPro-Regular" w:cs="Arial"/>
          <w:szCs w:val="20"/>
        </w:rPr>
        <w:t>e</w:t>
      </w:r>
      <w:r w:rsidR="00662187" w:rsidRPr="003478AF">
        <w:rPr>
          <w:rFonts w:eastAsia="MinionPro-Regular" w:cs="Arial"/>
          <w:szCs w:val="20"/>
        </w:rPr>
        <w:t xml:space="preserve"> i systemy rolne oraz rolników jako dostawców </w:t>
      </w:r>
      <w:r w:rsidR="00B27D68" w:rsidRPr="003478AF">
        <w:rPr>
          <w:rFonts w:eastAsia="MinionPro-Regular" w:cs="Arial"/>
          <w:szCs w:val="20"/>
        </w:rPr>
        <w:t>podstawowych</w:t>
      </w:r>
      <w:r w:rsidR="00662187" w:rsidRPr="003478AF">
        <w:rPr>
          <w:rFonts w:eastAsia="MinionPro-Regular" w:cs="Arial"/>
          <w:szCs w:val="20"/>
        </w:rPr>
        <w:t xml:space="preserve"> surowców.</w:t>
      </w:r>
    </w:p>
    <w:p w14:paraId="38A1B58D" w14:textId="3749BA81" w:rsidR="00DE7347" w:rsidRPr="003478AF" w:rsidRDefault="00663D53" w:rsidP="00D41542">
      <w:pPr>
        <w:autoSpaceDE w:val="0"/>
        <w:autoSpaceDN w:val="0"/>
        <w:adjustRightInd w:val="0"/>
        <w:rPr>
          <w:rFonts w:eastAsia="MinionPro-Regular" w:cs="Arial"/>
          <w:szCs w:val="20"/>
        </w:rPr>
      </w:pPr>
      <w:r w:rsidRPr="003478AF">
        <w:rPr>
          <w:rFonts w:eastAsia="MinionPro-Regular" w:cs="Arial"/>
          <w:szCs w:val="20"/>
        </w:rPr>
        <w:t>W</w:t>
      </w:r>
      <w:r w:rsidR="00214AD8" w:rsidRPr="003478AF">
        <w:rPr>
          <w:rFonts w:eastAsia="MinionPro-Regular" w:cs="Arial"/>
          <w:szCs w:val="20"/>
        </w:rPr>
        <w:t xml:space="preserve"> 2019 r</w:t>
      </w:r>
      <w:r w:rsidR="00AB10D9" w:rsidRPr="003478AF">
        <w:rPr>
          <w:rFonts w:eastAsia="MinionPro-Regular" w:cs="Arial"/>
          <w:szCs w:val="20"/>
        </w:rPr>
        <w:t>oku</w:t>
      </w:r>
      <w:r w:rsidR="00214AD8" w:rsidRPr="003478AF">
        <w:rPr>
          <w:rFonts w:eastAsia="MinionPro-Regular" w:cs="Arial"/>
          <w:szCs w:val="20"/>
        </w:rPr>
        <w:t xml:space="preserve"> ogłoszono nową </w:t>
      </w:r>
      <w:r w:rsidR="001B488B" w:rsidRPr="003478AF">
        <w:rPr>
          <w:rFonts w:eastAsia="MinionPro-Regular" w:cs="Arial"/>
          <w:szCs w:val="20"/>
        </w:rPr>
        <w:t>strategię</w:t>
      </w:r>
      <w:r w:rsidR="00C476FF" w:rsidRPr="003478AF">
        <w:rPr>
          <w:rFonts w:eastAsia="MinionPro-Regular" w:cs="Arial"/>
          <w:szCs w:val="20"/>
        </w:rPr>
        <w:t>:</w:t>
      </w:r>
      <w:r w:rsidR="00214AD8" w:rsidRPr="003478AF">
        <w:rPr>
          <w:rFonts w:eastAsia="MinionPro-Regular" w:cs="Arial"/>
          <w:szCs w:val="20"/>
        </w:rPr>
        <w:t xml:space="preserve"> </w:t>
      </w:r>
      <w:r w:rsidR="00214AD8" w:rsidRPr="003478AF">
        <w:rPr>
          <w:rFonts w:eastAsia="MinionPro-Regular" w:cs="Arial"/>
          <w:b/>
          <w:bCs/>
          <w:szCs w:val="20"/>
        </w:rPr>
        <w:t>Europejski Zielony Ład</w:t>
      </w:r>
      <w:r w:rsidR="00214AD8" w:rsidRPr="003478AF">
        <w:rPr>
          <w:rStyle w:val="Odwoanieprzypisudolnego"/>
        </w:rPr>
        <w:footnoteReference w:id="35"/>
      </w:r>
      <w:r w:rsidR="00214AD8" w:rsidRPr="003478AF">
        <w:rPr>
          <w:rFonts w:eastAsia="MinionPro-Regular" w:cs="Arial"/>
          <w:szCs w:val="20"/>
        </w:rPr>
        <w:t>, w cel</w:t>
      </w:r>
      <w:r w:rsidR="001B488B" w:rsidRPr="003478AF">
        <w:rPr>
          <w:rFonts w:eastAsia="MinionPro-Regular" w:cs="Arial"/>
          <w:szCs w:val="20"/>
        </w:rPr>
        <w:t>u</w:t>
      </w:r>
      <w:r w:rsidR="00214AD8" w:rsidRPr="003478AF">
        <w:rPr>
          <w:rFonts w:eastAsia="MinionPro-Regular" w:cs="Arial"/>
          <w:szCs w:val="20"/>
        </w:rPr>
        <w:t xml:space="preserve"> przekształcenia UE </w:t>
      </w:r>
      <w:r w:rsidR="00214AD8" w:rsidRPr="003478AF">
        <w:rPr>
          <w:rFonts w:eastAsia="MinionPro-Regular" w:cs="Arial"/>
          <w:iCs/>
          <w:szCs w:val="20"/>
        </w:rPr>
        <w:t xml:space="preserve">w </w:t>
      </w:r>
      <w:r w:rsidR="00815245" w:rsidRPr="003478AF">
        <w:rPr>
          <w:rFonts w:eastAsia="MinionPro-Regular" w:cs="Arial"/>
          <w:iCs/>
          <w:szCs w:val="20"/>
        </w:rPr>
        <w:t>„</w:t>
      </w:r>
      <w:r w:rsidR="001B488B" w:rsidRPr="003478AF">
        <w:rPr>
          <w:rFonts w:eastAsia="MinionPro-Regular" w:cs="Arial"/>
          <w:iCs/>
          <w:szCs w:val="20"/>
        </w:rPr>
        <w:t>sprawiedliwe</w:t>
      </w:r>
      <w:r w:rsidR="00214AD8" w:rsidRPr="003478AF">
        <w:rPr>
          <w:rFonts w:eastAsia="MinionPro-Regular" w:cs="Arial"/>
          <w:iCs/>
          <w:szCs w:val="20"/>
        </w:rPr>
        <w:t xml:space="preserve"> i prosperujące społeczeństwo żyjące w nowoczesnej, zasobooszczędnej i konkurencyjnej gospodarce</w:t>
      </w:r>
      <w:r w:rsidR="00815245" w:rsidRPr="003478AF">
        <w:rPr>
          <w:rFonts w:eastAsia="MinionPro-Regular" w:cs="Arial"/>
          <w:iCs/>
          <w:szCs w:val="20"/>
        </w:rPr>
        <w:t>”</w:t>
      </w:r>
      <w:r w:rsidR="00214AD8" w:rsidRPr="003478AF">
        <w:rPr>
          <w:rFonts w:eastAsia="MinionPro-Regular" w:cs="Arial"/>
          <w:szCs w:val="20"/>
        </w:rPr>
        <w:t xml:space="preserve">. </w:t>
      </w:r>
      <w:r w:rsidR="00FE5817" w:rsidRPr="003478AF">
        <w:rPr>
          <w:rFonts w:eastAsia="MinionPro-Regular" w:cs="Arial"/>
          <w:szCs w:val="20"/>
        </w:rPr>
        <w:t>Z</w:t>
      </w:r>
      <w:r w:rsidR="00214AD8" w:rsidRPr="003478AF">
        <w:rPr>
          <w:rFonts w:eastAsia="MinionPro-Regular" w:cs="Arial"/>
          <w:szCs w:val="20"/>
        </w:rPr>
        <w:t xml:space="preserve">awiera </w:t>
      </w:r>
      <w:r w:rsidR="00FE5817" w:rsidRPr="003478AF">
        <w:rPr>
          <w:rFonts w:eastAsia="MinionPro-Regular" w:cs="Arial"/>
          <w:szCs w:val="20"/>
        </w:rPr>
        <w:t xml:space="preserve">ona </w:t>
      </w:r>
      <w:r w:rsidR="00214AD8" w:rsidRPr="003478AF">
        <w:rPr>
          <w:rFonts w:eastAsia="MinionPro-Regular" w:cs="Arial"/>
          <w:szCs w:val="20"/>
        </w:rPr>
        <w:t>plan działań umożliwiających bardziej efektywne wykorzystanie zasobów dzięki przejściu na czystą gospodarkę o obiegu zamkniętym</w:t>
      </w:r>
      <w:r w:rsidR="00AB10D9" w:rsidRPr="003478AF">
        <w:rPr>
          <w:rFonts w:eastAsia="MinionPro-Regular" w:cs="Arial"/>
          <w:szCs w:val="20"/>
        </w:rPr>
        <w:t xml:space="preserve"> </w:t>
      </w:r>
      <w:r w:rsidR="00DE7347" w:rsidRPr="003478AF">
        <w:rPr>
          <w:rFonts w:eastAsia="MinionPro-Regular" w:cs="Arial"/>
          <w:szCs w:val="20"/>
        </w:rPr>
        <w:t>poprzez zmobilizowanie sektora przemysłu</w:t>
      </w:r>
      <w:r w:rsidR="00D41542" w:rsidRPr="003478AF">
        <w:rPr>
          <w:rFonts w:eastAsia="MinionPro-Regular" w:cs="Arial"/>
          <w:szCs w:val="20"/>
        </w:rPr>
        <w:t>.</w:t>
      </w:r>
    </w:p>
    <w:p w14:paraId="18F37232" w14:textId="3DD1EB41" w:rsidR="00DE7347" w:rsidRPr="003478AF" w:rsidRDefault="00D41542" w:rsidP="00214AD8">
      <w:pPr>
        <w:autoSpaceDE w:val="0"/>
        <w:autoSpaceDN w:val="0"/>
        <w:adjustRightInd w:val="0"/>
        <w:rPr>
          <w:rFonts w:eastAsia="MinionPro-Regular" w:cs="Arial"/>
          <w:szCs w:val="20"/>
        </w:rPr>
      </w:pPr>
      <w:r w:rsidRPr="003478AF">
        <w:rPr>
          <w:rFonts w:eastAsia="MinionPro-Regular" w:cs="Arial"/>
          <w:szCs w:val="20"/>
        </w:rPr>
        <w:t xml:space="preserve">Jednym z zasadniczych elementów będących efektem postanowień Europejskiego Zielonego Ładu jest ogłoszony </w:t>
      </w:r>
      <w:r w:rsidR="00081057" w:rsidRPr="003478AF">
        <w:rPr>
          <w:rFonts w:eastAsia="MinionPro-Regular" w:cs="Arial"/>
          <w:szCs w:val="20"/>
        </w:rPr>
        <w:t>w 2020 roku</w:t>
      </w:r>
      <w:r w:rsidRPr="003478AF">
        <w:rPr>
          <w:rFonts w:eastAsia="MinionPro-Regular" w:cs="Arial"/>
          <w:szCs w:val="20"/>
        </w:rPr>
        <w:t xml:space="preserve"> </w:t>
      </w:r>
      <w:r w:rsidRPr="003478AF">
        <w:rPr>
          <w:rFonts w:eastAsia="MinionPro-Regular" w:cs="Arial"/>
          <w:b/>
          <w:bCs/>
          <w:szCs w:val="20"/>
        </w:rPr>
        <w:t>Nowy Plan Działania UE</w:t>
      </w:r>
      <w:r w:rsidRPr="003478AF">
        <w:rPr>
          <w:rFonts w:eastAsia="MinionPro-Regular" w:cs="Arial"/>
          <w:szCs w:val="20"/>
        </w:rPr>
        <w:t xml:space="preserve"> dotyczący gospodarki </w:t>
      </w:r>
      <w:r w:rsidR="00CB7DB0" w:rsidRPr="003478AF">
        <w:rPr>
          <w:rFonts w:eastAsia="MinionPro-Regular" w:cs="Arial"/>
          <w:szCs w:val="20"/>
        </w:rPr>
        <w:br/>
      </w:r>
      <w:r w:rsidRPr="003478AF">
        <w:rPr>
          <w:rFonts w:eastAsia="MinionPro-Regular" w:cs="Arial"/>
          <w:szCs w:val="20"/>
        </w:rPr>
        <w:t>o obiegu zamkniętym na rzecz czystszej i bardziej konkurencyjnej Europy</w:t>
      </w:r>
      <w:r w:rsidR="00081057" w:rsidRPr="003478AF">
        <w:rPr>
          <w:rStyle w:val="Odwoanieprzypisudolnego"/>
        </w:rPr>
        <w:footnoteReference w:id="36"/>
      </w:r>
      <w:r w:rsidRPr="003478AF">
        <w:rPr>
          <w:rFonts w:eastAsia="MinionPro-Regular" w:cs="Arial"/>
          <w:szCs w:val="20"/>
        </w:rPr>
        <w:t xml:space="preserve">. Głównym celem nowych ram politycznych jest wspieranie rozwoju wiodących rynków produktów o zamkniętym cyklu życia. Dokument określa ramy polityki zrównoważonych produktów w zakresie ich projektowania, wzmocnienia pozycji konsumentów i nabywców publicznych oraz obiegu zamkniętego w procesach produkcyjnych, a także działania w ramach kluczowych </w:t>
      </w:r>
      <w:r w:rsidR="00866238" w:rsidRPr="003478AF">
        <w:rPr>
          <w:rFonts w:eastAsia="MinionPro-Regular" w:cs="Arial"/>
          <w:szCs w:val="20"/>
        </w:rPr>
        <w:t xml:space="preserve">łańcuchów </w:t>
      </w:r>
      <w:r w:rsidRPr="003478AF">
        <w:rPr>
          <w:rFonts w:eastAsia="MinionPro-Regular" w:cs="Arial"/>
          <w:szCs w:val="20"/>
        </w:rPr>
        <w:t>wartości produktów</w:t>
      </w:r>
      <w:r w:rsidR="00451355" w:rsidRPr="003478AF">
        <w:rPr>
          <w:rFonts w:eastAsia="MinionPro-Regular" w:cs="Arial"/>
          <w:szCs w:val="20"/>
        </w:rPr>
        <w:t xml:space="preserve">, </w:t>
      </w:r>
      <w:r w:rsidRPr="003478AF">
        <w:rPr>
          <w:rFonts w:eastAsia="MinionPro-Regular" w:cs="Arial"/>
          <w:szCs w:val="20"/>
        </w:rPr>
        <w:t xml:space="preserve">tj. elektronika i ICT, baterie i pojazdy, opakowania, tworzywa sztuczne, wyroby włókiennicze, budownictwo i budynki, żywność, woda i składniki odżywcze. </w:t>
      </w:r>
      <w:r w:rsidR="00F94F40" w:rsidRPr="003478AF">
        <w:rPr>
          <w:rFonts w:eastAsia="MinionPro-Regular" w:cs="Arial"/>
          <w:szCs w:val="20"/>
        </w:rPr>
        <w:t>Cele skupiają się głównie na sektorach zasobochłonnych, t</w:t>
      </w:r>
      <w:r w:rsidR="00706E05" w:rsidRPr="003478AF">
        <w:rPr>
          <w:rFonts w:eastAsia="MinionPro-Regular" w:cs="Arial"/>
          <w:szCs w:val="20"/>
        </w:rPr>
        <w:t>j.</w:t>
      </w:r>
      <w:r w:rsidR="00F94F40" w:rsidRPr="003478AF">
        <w:rPr>
          <w:rFonts w:eastAsia="MinionPro-Regular" w:cs="Arial"/>
          <w:szCs w:val="20"/>
        </w:rPr>
        <w:t xml:space="preserve"> </w:t>
      </w:r>
      <w:r w:rsidR="00181525" w:rsidRPr="003478AF">
        <w:rPr>
          <w:rFonts w:eastAsia="MinionPro-Regular" w:cs="Arial"/>
          <w:szCs w:val="20"/>
        </w:rPr>
        <w:t xml:space="preserve">przemyśle </w:t>
      </w:r>
      <w:r w:rsidR="00F94F40" w:rsidRPr="003478AF">
        <w:rPr>
          <w:rFonts w:eastAsia="MinionPro-Regular" w:cs="Arial"/>
          <w:szCs w:val="20"/>
        </w:rPr>
        <w:t>odzieżowy</w:t>
      </w:r>
      <w:r w:rsidR="00181525" w:rsidRPr="003478AF">
        <w:rPr>
          <w:rFonts w:eastAsia="MinionPro-Regular" w:cs="Arial"/>
          <w:szCs w:val="20"/>
        </w:rPr>
        <w:t>m</w:t>
      </w:r>
      <w:r w:rsidR="00F94F40" w:rsidRPr="003478AF">
        <w:rPr>
          <w:rFonts w:eastAsia="MinionPro-Regular" w:cs="Arial"/>
          <w:szCs w:val="20"/>
        </w:rPr>
        <w:t>, budownictw</w:t>
      </w:r>
      <w:r w:rsidR="00181525" w:rsidRPr="003478AF">
        <w:rPr>
          <w:rFonts w:eastAsia="MinionPro-Regular" w:cs="Arial"/>
          <w:szCs w:val="20"/>
        </w:rPr>
        <w:t>ie</w:t>
      </w:r>
      <w:r w:rsidR="00F94F40" w:rsidRPr="003478AF">
        <w:rPr>
          <w:rFonts w:eastAsia="MinionPro-Regular" w:cs="Arial"/>
          <w:szCs w:val="20"/>
        </w:rPr>
        <w:t>, elektroni</w:t>
      </w:r>
      <w:r w:rsidR="00181525" w:rsidRPr="003478AF">
        <w:rPr>
          <w:rFonts w:eastAsia="MinionPro-Regular" w:cs="Arial"/>
          <w:szCs w:val="20"/>
        </w:rPr>
        <w:t>ce</w:t>
      </w:r>
      <w:r w:rsidR="00F94F40" w:rsidRPr="003478AF">
        <w:rPr>
          <w:rFonts w:eastAsia="MinionPro-Regular" w:cs="Arial"/>
          <w:szCs w:val="20"/>
        </w:rPr>
        <w:t xml:space="preserve"> i tworzywa</w:t>
      </w:r>
      <w:r w:rsidR="00181525" w:rsidRPr="003478AF">
        <w:rPr>
          <w:rFonts w:eastAsia="MinionPro-Regular" w:cs="Arial"/>
          <w:szCs w:val="20"/>
        </w:rPr>
        <w:t>ch</w:t>
      </w:r>
      <w:r w:rsidR="00F94F40" w:rsidRPr="003478AF">
        <w:rPr>
          <w:rFonts w:eastAsia="MinionPro-Regular" w:cs="Arial"/>
          <w:szCs w:val="20"/>
        </w:rPr>
        <w:t xml:space="preserve"> sztuczn</w:t>
      </w:r>
      <w:r w:rsidR="00181525" w:rsidRPr="003478AF">
        <w:rPr>
          <w:rFonts w:eastAsia="MinionPro-Regular" w:cs="Arial"/>
          <w:szCs w:val="20"/>
        </w:rPr>
        <w:t>ych</w:t>
      </w:r>
      <w:r w:rsidR="00F94F40" w:rsidRPr="003478AF">
        <w:rPr>
          <w:rFonts w:eastAsia="MinionPro-Regular" w:cs="Arial"/>
          <w:szCs w:val="20"/>
        </w:rPr>
        <w:t xml:space="preserve">. </w:t>
      </w:r>
      <w:r w:rsidRPr="003478AF">
        <w:rPr>
          <w:rFonts w:eastAsia="MinionPro-Regular" w:cs="Arial"/>
          <w:szCs w:val="20"/>
        </w:rPr>
        <w:t xml:space="preserve">Plan </w:t>
      </w:r>
      <w:r w:rsidR="00DE7347" w:rsidRPr="003478AF">
        <w:rPr>
          <w:rFonts w:eastAsia="MinionPro-Regular" w:cs="Arial"/>
          <w:szCs w:val="20"/>
        </w:rPr>
        <w:t xml:space="preserve">działania obejmuje politykę „zrównoważonych produktów”, które </w:t>
      </w:r>
      <w:r w:rsidR="003F552E" w:rsidRPr="003478AF">
        <w:rPr>
          <w:rFonts w:eastAsia="MinionPro-Regular" w:cs="Arial"/>
          <w:szCs w:val="20"/>
        </w:rPr>
        <w:t>wiążą</w:t>
      </w:r>
      <w:r w:rsidR="00DE7347" w:rsidRPr="003478AF">
        <w:rPr>
          <w:rFonts w:eastAsia="MinionPro-Regular" w:cs="Arial"/>
          <w:szCs w:val="20"/>
        </w:rPr>
        <w:t xml:space="preserve"> się z wdrożeniem </w:t>
      </w:r>
      <w:r w:rsidR="003F552E" w:rsidRPr="003478AF">
        <w:rPr>
          <w:rFonts w:eastAsia="MinionPro-Regular" w:cs="Arial"/>
          <w:szCs w:val="20"/>
        </w:rPr>
        <w:t>ekoprojektowania</w:t>
      </w:r>
      <w:r w:rsidR="00DE7347" w:rsidRPr="003478AF">
        <w:rPr>
          <w:rFonts w:eastAsia="MinionPro-Regular" w:cs="Arial"/>
          <w:szCs w:val="20"/>
        </w:rPr>
        <w:t xml:space="preserve"> według spójnych </w:t>
      </w:r>
      <w:r w:rsidR="00181525" w:rsidRPr="003478AF">
        <w:rPr>
          <w:rFonts w:eastAsia="MinionPro-Regular" w:cs="Arial"/>
          <w:szCs w:val="20"/>
        </w:rPr>
        <w:t xml:space="preserve">metod </w:t>
      </w:r>
      <w:r w:rsidR="00F94F40" w:rsidRPr="003478AF">
        <w:rPr>
          <w:rFonts w:eastAsia="MinionPro-Regular" w:cs="Arial"/>
          <w:szCs w:val="20"/>
        </w:rPr>
        <w:t>oraz</w:t>
      </w:r>
      <w:r w:rsidRPr="003478AF">
        <w:rPr>
          <w:rFonts w:eastAsia="MinionPro-Regular" w:cs="Arial"/>
          <w:szCs w:val="20"/>
        </w:rPr>
        <w:t xml:space="preserve"> r</w:t>
      </w:r>
      <w:r w:rsidR="00DE7347" w:rsidRPr="003478AF">
        <w:rPr>
          <w:rFonts w:eastAsia="MinionPro-Regular" w:cs="Arial"/>
          <w:szCs w:val="20"/>
        </w:rPr>
        <w:t>ozszerz</w:t>
      </w:r>
      <w:r w:rsidRPr="003478AF">
        <w:rPr>
          <w:rFonts w:eastAsia="MinionPro-Regular" w:cs="Arial"/>
          <w:szCs w:val="20"/>
        </w:rPr>
        <w:t xml:space="preserve">eniem </w:t>
      </w:r>
      <w:r w:rsidR="00DE7347" w:rsidRPr="003478AF">
        <w:rPr>
          <w:rFonts w:eastAsia="MinionPro-Regular" w:cs="Arial"/>
          <w:szCs w:val="20"/>
        </w:rPr>
        <w:t>odp</w:t>
      </w:r>
      <w:r w:rsidR="003F552E" w:rsidRPr="003478AF">
        <w:rPr>
          <w:rFonts w:eastAsia="MinionPro-Regular" w:cs="Arial"/>
          <w:szCs w:val="20"/>
        </w:rPr>
        <w:t>o</w:t>
      </w:r>
      <w:r w:rsidR="00DE7347" w:rsidRPr="003478AF">
        <w:rPr>
          <w:rFonts w:eastAsia="MinionPro-Regular" w:cs="Arial"/>
          <w:szCs w:val="20"/>
        </w:rPr>
        <w:t>w</w:t>
      </w:r>
      <w:r w:rsidR="003F552E" w:rsidRPr="003478AF">
        <w:rPr>
          <w:rFonts w:eastAsia="MinionPro-Regular" w:cs="Arial"/>
          <w:szCs w:val="20"/>
        </w:rPr>
        <w:t>ie</w:t>
      </w:r>
      <w:r w:rsidR="00DE7347" w:rsidRPr="003478AF">
        <w:rPr>
          <w:rFonts w:eastAsia="MinionPro-Regular" w:cs="Arial"/>
          <w:szCs w:val="20"/>
        </w:rPr>
        <w:t>dzi</w:t>
      </w:r>
      <w:r w:rsidR="003F552E" w:rsidRPr="003478AF">
        <w:rPr>
          <w:rFonts w:eastAsia="MinionPro-Regular" w:cs="Arial"/>
          <w:szCs w:val="20"/>
        </w:rPr>
        <w:t>a</w:t>
      </w:r>
      <w:r w:rsidR="00DE7347" w:rsidRPr="003478AF">
        <w:rPr>
          <w:rFonts w:eastAsia="MinionPro-Regular" w:cs="Arial"/>
          <w:szCs w:val="20"/>
        </w:rPr>
        <w:t>lnoś</w:t>
      </w:r>
      <w:r w:rsidRPr="003478AF">
        <w:rPr>
          <w:rFonts w:eastAsia="MinionPro-Regular" w:cs="Arial"/>
          <w:szCs w:val="20"/>
        </w:rPr>
        <w:t>ci</w:t>
      </w:r>
      <w:r w:rsidR="00DE7347" w:rsidRPr="003478AF">
        <w:rPr>
          <w:rFonts w:eastAsia="MinionPro-Regular" w:cs="Arial"/>
          <w:szCs w:val="20"/>
        </w:rPr>
        <w:t xml:space="preserve"> producentów</w:t>
      </w:r>
      <w:r w:rsidRPr="003478AF">
        <w:rPr>
          <w:rFonts w:eastAsia="MinionPro-Regular" w:cs="Arial"/>
          <w:szCs w:val="20"/>
        </w:rPr>
        <w:t>.</w:t>
      </w:r>
      <w:r w:rsidR="00F94F40" w:rsidRPr="003478AF">
        <w:rPr>
          <w:rFonts w:eastAsia="MinionPro-Regular" w:cs="Arial"/>
          <w:szCs w:val="20"/>
        </w:rPr>
        <w:t xml:space="preserve"> Istotna pozostaje także kwestia </w:t>
      </w:r>
      <w:r w:rsidR="002304D1" w:rsidRPr="003478AF">
        <w:rPr>
          <w:rFonts w:eastAsia="MinionPro-Regular" w:cs="Arial"/>
          <w:szCs w:val="20"/>
        </w:rPr>
        <w:t xml:space="preserve">zachęcania przedsiębiorstw do oferowania produktów wielokrotnego użytku, jak i </w:t>
      </w:r>
      <w:r w:rsidR="00F94F40" w:rsidRPr="003478AF">
        <w:rPr>
          <w:rFonts w:eastAsia="MinionPro-Regular" w:cs="Arial"/>
          <w:szCs w:val="20"/>
        </w:rPr>
        <w:t xml:space="preserve">konsumentów, zarówno w zakresie </w:t>
      </w:r>
      <w:r w:rsidR="002304D1" w:rsidRPr="003478AF">
        <w:rPr>
          <w:rFonts w:eastAsia="MinionPro-Regular" w:cs="Arial"/>
          <w:szCs w:val="20"/>
        </w:rPr>
        <w:t xml:space="preserve">umożliwienia im takich wyborów, jak i </w:t>
      </w:r>
      <w:r w:rsidR="00081057" w:rsidRPr="003478AF">
        <w:rPr>
          <w:rFonts w:eastAsia="MinionPro-Regular" w:cs="Arial"/>
          <w:szCs w:val="20"/>
        </w:rPr>
        <w:t>ochrony konsumenckiej.</w:t>
      </w:r>
    </w:p>
    <w:p w14:paraId="6D92E5FF" w14:textId="5E4CB067" w:rsidR="00081057" w:rsidRPr="003478AF" w:rsidRDefault="00081057" w:rsidP="0074167E">
      <w:pPr>
        <w:autoSpaceDE w:val="0"/>
        <w:autoSpaceDN w:val="0"/>
        <w:adjustRightInd w:val="0"/>
        <w:rPr>
          <w:rFonts w:eastAsia="MinionPro-Regular" w:cs="Arial"/>
          <w:szCs w:val="20"/>
        </w:rPr>
      </w:pPr>
      <w:r w:rsidRPr="003478AF">
        <w:rPr>
          <w:rFonts w:eastAsia="MinionPro-Regular" w:cs="Arial"/>
          <w:szCs w:val="20"/>
        </w:rPr>
        <w:t>Kolejn</w:t>
      </w:r>
      <w:r w:rsidR="005D205D" w:rsidRPr="003478AF">
        <w:rPr>
          <w:rFonts w:eastAsia="MinionPro-Regular" w:cs="Arial"/>
          <w:szCs w:val="20"/>
        </w:rPr>
        <w:t>e</w:t>
      </w:r>
      <w:r w:rsidRPr="003478AF">
        <w:rPr>
          <w:rFonts w:eastAsia="MinionPro-Regular" w:cs="Arial"/>
          <w:szCs w:val="20"/>
        </w:rPr>
        <w:t xml:space="preserve"> działania i strategi</w:t>
      </w:r>
      <w:r w:rsidR="00E838B7" w:rsidRPr="003478AF">
        <w:rPr>
          <w:rFonts w:eastAsia="MinionPro-Regular" w:cs="Arial"/>
          <w:szCs w:val="20"/>
        </w:rPr>
        <w:t>e</w:t>
      </w:r>
      <w:r w:rsidR="00603772" w:rsidRPr="003478AF">
        <w:rPr>
          <w:rFonts w:eastAsia="MinionPro-Regular" w:cs="Arial"/>
          <w:szCs w:val="20"/>
        </w:rPr>
        <w:t>,</w:t>
      </w:r>
      <w:r w:rsidR="00E838B7" w:rsidRPr="003478AF">
        <w:rPr>
          <w:rFonts w:eastAsia="MinionPro-Regular" w:cs="Arial"/>
          <w:szCs w:val="20"/>
        </w:rPr>
        <w:t xml:space="preserve"> zgodne z Europejskim Zielonym Ładem</w:t>
      </w:r>
      <w:r w:rsidR="00603772" w:rsidRPr="003478AF">
        <w:rPr>
          <w:rFonts w:eastAsia="MinionPro-Regular" w:cs="Arial"/>
          <w:szCs w:val="20"/>
        </w:rPr>
        <w:t xml:space="preserve"> w ramach realizacji modelu GOZ,</w:t>
      </w:r>
      <w:r w:rsidR="005D205D" w:rsidRPr="003478AF">
        <w:rPr>
          <w:rFonts w:eastAsia="MinionPro-Regular" w:cs="Arial"/>
          <w:szCs w:val="20"/>
        </w:rPr>
        <w:t xml:space="preserve"> obejmowały wybrane obszary polityki, m.in. sposoby na bardziej zrównoważony łańcuch żywnościowy (</w:t>
      </w:r>
      <w:r w:rsidR="00B94D61" w:rsidRPr="003478AF">
        <w:rPr>
          <w:rFonts w:eastAsia="MinionPro-Regular" w:cs="Arial"/>
          <w:b/>
          <w:bCs/>
          <w:szCs w:val="20"/>
        </w:rPr>
        <w:t xml:space="preserve">Strategia „od pola do stołu” na rzecz sprawiedliwego, zdrowego </w:t>
      </w:r>
      <w:r w:rsidR="00181525" w:rsidRPr="003478AF">
        <w:rPr>
          <w:rFonts w:eastAsia="MinionPro-Regular" w:cs="Arial"/>
          <w:b/>
          <w:bCs/>
          <w:szCs w:val="20"/>
        </w:rPr>
        <w:br/>
      </w:r>
      <w:r w:rsidR="00BA0F96" w:rsidRPr="003478AF">
        <w:rPr>
          <w:rFonts w:eastAsia="MinionPro-Regular" w:cs="Arial"/>
          <w:b/>
          <w:bCs/>
          <w:szCs w:val="20"/>
        </w:rPr>
        <w:lastRenderedPageBreak/>
        <w:t>i</w:t>
      </w:r>
      <w:r w:rsidR="00181525" w:rsidRPr="003478AF">
        <w:rPr>
          <w:rFonts w:eastAsia="MinionPro-Regular" w:cs="Arial"/>
          <w:b/>
          <w:bCs/>
          <w:szCs w:val="20"/>
        </w:rPr>
        <w:t xml:space="preserve"> </w:t>
      </w:r>
      <w:r w:rsidR="00B94D61" w:rsidRPr="003478AF">
        <w:rPr>
          <w:rFonts w:eastAsia="MinionPro-Regular" w:cs="Arial"/>
          <w:b/>
          <w:bCs/>
          <w:szCs w:val="20"/>
        </w:rPr>
        <w:t>przyjaznego dla środowiska systemu żywnościowego</w:t>
      </w:r>
      <w:r w:rsidR="00E25B70" w:rsidRPr="003478AF">
        <w:rPr>
          <w:rStyle w:val="Odwoanieprzypisudolnego"/>
          <w:rFonts w:eastAsia="MinionPro-Regular" w:cs="Arial"/>
          <w:b/>
          <w:bCs/>
          <w:szCs w:val="20"/>
        </w:rPr>
        <w:footnoteReference w:id="37"/>
      </w:r>
      <w:r w:rsidR="00B94D61" w:rsidRPr="003478AF">
        <w:rPr>
          <w:rFonts w:eastAsia="MinionPro-Regular" w:cs="Arial"/>
          <w:szCs w:val="20"/>
        </w:rPr>
        <w:t>)</w:t>
      </w:r>
      <w:r w:rsidR="005D205D" w:rsidRPr="003478AF">
        <w:rPr>
          <w:rFonts w:eastAsia="MinionPro-Regular" w:cs="Arial"/>
          <w:szCs w:val="20"/>
        </w:rPr>
        <w:t>, ochron</w:t>
      </w:r>
      <w:r w:rsidR="00E838B7" w:rsidRPr="003478AF">
        <w:rPr>
          <w:rFonts w:eastAsia="MinionPro-Regular" w:cs="Arial"/>
          <w:szCs w:val="20"/>
        </w:rPr>
        <w:t>ę</w:t>
      </w:r>
      <w:r w:rsidR="005D205D" w:rsidRPr="003478AF">
        <w:rPr>
          <w:rFonts w:eastAsia="MinionPro-Regular" w:cs="Arial"/>
          <w:szCs w:val="20"/>
        </w:rPr>
        <w:t xml:space="preserve"> ekosystemów (</w:t>
      </w:r>
      <w:r w:rsidR="00B94D61" w:rsidRPr="003478AF">
        <w:rPr>
          <w:rFonts w:eastAsia="MinionPro-Regular" w:cs="Arial"/>
          <w:b/>
          <w:bCs/>
          <w:szCs w:val="20"/>
        </w:rPr>
        <w:t>Unijna strategia na rzecz bioróżnorodności 2030. Przywracanie przyrody do naszego życia</w:t>
      </w:r>
      <w:r w:rsidR="00E25B70" w:rsidRPr="003478AF">
        <w:rPr>
          <w:rStyle w:val="Odwoanieprzypisudolnego"/>
          <w:rFonts w:eastAsia="MinionPro-Regular" w:cs="Arial"/>
          <w:b/>
          <w:bCs/>
          <w:szCs w:val="20"/>
        </w:rPr>
        <w:footnoteReference w:id="38"/>
      </w:r>
      <w:r w:rsidR="005D205D" w:rsidRPr="003478AF">
        <w:rPr>
          <w:rFonts w:eastAsia="MinionPro-Regular" w:cs="Arial"/>
          <w:szCs w:val="20"/>
        </w:rPr>
        <w:t>)</w:t>
      </w:r>
      <w:r w:rsidR="00E838B7" w:rsidRPr="003478AF">
        <w:rPr>
          <w:rFonts w:eastAsia="MinionPro-Regular" w:cs="Arial"/>
          <w:szCs w:val="20"/>
        </w:rPr>
        <w:t>, zrównoważony rozwój rolnictwa i zwiększenie produkcji produktów ekologicznych (</w:t>
      </w:r>
      <w:r w:rsidR="00B94D61" w:rsidRPr="003478AF">
        <w:rPr>
          <w:rFonts w:eastAsia="MinionPro-Regular" w:cs="Arial"/>
          <w:b/>
          <w:bCs/>
          <w:szCs w:val="20"/>
        </w:rPr>
        <w:t>Plan działania na rzecz rozwoju produkcji ekologicznej</w:t>
      </w:r>
      <w:r w:rsidR="00E25B70" w:rsidRPr="003478AF">
        <w:rPr>
          <w:rStyle w:val="Odwoanieprzypisudolnego"/>
          <w:rFonts w:eastAsia="MinionPro-Regular" w:cs="Arial"/>
          <w:b/>
          <w:bCs/>
          <w:szCs w:val="20"/>
        </w:rPr>
        <w:footnoteReference w:id="39"/>
      </w:r>
      <w:r w:rsidR="00E838B7" w:rsidRPr="003478AF">
        <w:rPr>
          <w:rFonts w:eastAsia="MinionPro-Regular" w:cs="Arial"/>
          <w:szCs w:val="20"/>
        </w:rPr>
        <w:t>)</w:t>
      </w:r>
      <w:r w:rsidR="0074167E" w:rsidRPr="003478AF">
        <w:rPr>
          <w:rFonts w:eastAsia="MinionPro-Regular" w:cs="Arial"/>
          <w:szCs w:val="20"/>
        </w:rPr>
        <w:t>, redukcj</w:t>
      </w:r>
      <w:r w:rsidR="009D1E84" w:rsidRPr="003478AF">
        <w:rPr>
          <w:rFonts w:eastAsia="MinionPro-Regular" w:cs="Arial"/>
          <w:szCs w:val="20"/>
        </w:rPr>
        <w:t>ę</w:t>
      </w:r>
      <w:r w:rsidR="0074167E" w:rsidRPr="003478AF">
        <w:rPr>
          <w:rFonts w:eastAsia="MinionPro-Regular" w:cs="Arial"/>
          <w:szCs w:val="20"/>
        </w:rPr>
        <w:t xml:space="preserve"> emisji </w:t>
      </w:r>
      <w:r w:rsidR="00451355" w:rsidRPr="003478AF">
        <w:rPr>
          <w:rFonts w:eastAsia="MinionPro-Regular" w:cs="Arial"/>
          <w:szCs w:val="20"/>
        </w:rPr>
        <w:t xml:space="preserve">pochodzących </w:t>
      </w:r>
      <w:r w:rsidR="001B0CB3" w:rsidRPr="003478AF">
        <w:rPr>
          <w:rFonts w:eastAsia="MinionPro-Regular" w:cs="Arial"/>
          <w:szCs w:val="20"/>
        </w:rPr>
        <w:br/>
      </w:r>
      <w:r w:rsidR="0074167E" w:rsidRPr="003478AF">
        <w:rPr>
          <w:rFonts w:eastAsia="MinionPro-Regular" w:cs="Arial"/>
          <w:szCs w:val="20"/>
        </w:rPr>
        <w:t xml:space="preserve">z </w:t>
      </w:r>
      <w:r w:rsidR="00451355" w:rsidRPr="003478AF">
        <w:rPr>
          <w:rFonts w:eastAsia="MinionPro-Regular" w:cs="Arial"/>
          <w:szCs w:val="20"/>
        </w:rPr>
        <w:t xml:space="preserve">sektorów </w:t>
      </w:r>
      <w:r w:rsidR="0074167E" w:rsidRPr="003478AF">
        <w:rPr>
          <w:rFonts w:eastAsia="MinionPro-Regular" w:cs="Arial"/>
          <w:szCs w:val="20"/>
        </w:rPr>
        <w:t xml:space="preserve">rolnictwa, </w:t>
      </w:r>
      <w:r w:rsidR="00451355" w:rsidRPr="003478AF">
        <w:rPr>
          <w:rFonts w:eastAsia="MinionPro-Regular" w:cs="Arial"/>
          <w:szCs w:val="20"/>
        </w:rPr>
        <w:t xml:space="preserve">gospodarki </w:t>
      </w:r>
      <w:r w:rsidR="0074167E" w:rsidRPr="003478AF">
        <w:rPr>
          <w:rFonts w:eastAsia="MinionPro-Regular" w:cs="Arial"/>
          <w:szCs w:val="20"/>
        </w:rPr>
        <w:t>odpad</w:t>
      </w:r>
      <w:r w:rsidR="00451355" w:rsidRPr="003478AF">
        <w:rPr>
          <w:rFonts w:eastAsia="MinionPro-Regular" w:cs="Arial"/>
          <w:szCs w:val="20"/>
        </w:rPr>
        <w:t>ami</w:t>
      </w:r>
      <w:r w:rsidR="0074167E" w:rsidRPr="003478AF">
        <w:rPr>
          <w:rFonts w:eastAsia="MinionPro-Regular" w:cs="Arial"/>
          <w:szCs w:val="20"/>
        </w:rPr>
        <w:t xml:space="preserve"> </w:t>
      </w:r>
      <w:r w:rsidR="00451355" w:rsidRPr="003478AF">
        <w:rPr>
          <w:rFonts w:eastAsia="MinionPro-Regular" w:cs="Arial"/>
          <w:szCs w:val="20"/>
        </w:rPr>
        <w:t xml:space="preserve">i </w:t>
      </w:r>
      <w:r w:rsidR="0074167E" w:rsidRPr="003478AF">
        <w:rPr>
          <w:rFonts w:eastAsia="MinionPro-Regular" w:cs="Arial"/>
          <w:szCs w:val="20"/>
        </w:rPr>
        <w:t>energii (</w:t>
      </w:r>
      <w:r w:rsidR="00B94D61" w:rsidRPr="003478AF">
        <w:rPr>
          <w:rFonts w:eastAsia="MinionPro-Regular" w:cs="Arial"/>
          <w:b/>
          <w:bCs/>
          <w:szCs w:val="20"/>
        </w:rPr>
        <w:t>Strategia UE na rzecz ograniczenia emisji metanu</w:t>
      </w:r>
      <w:r w:rsidR="00E25B70" w:rsidRPr="003478AF">
        <w:rPr>
          <w:rStyle w:val="Odwoanieprzypisudolnego"/>
          <w:rFonts w:eastAsia="MinionPro-Regular" w:cs="Arial"/>
          <w:b/>
          <w:bCs/>
          <w:szCs w:val="20"/>
        </w:rPr>
        <w:footnoteReference w:id="40"/>
      </w:r>
      <w:r w:rsidR="0074167E" w:rsidRPr="003478AF">
        <w:rPr>
          <w:rFonts w:eastAsia="MinionPro-Regular" w:cs="Arial"/>
          <w:szCs w:val="20"/>
        </w:rPr>
        <w:t xml:space="preserve">), </w:t>
      </w:r>
      <w:r w:rsidR="00603772" w:rsidRPr="003478AF">
        <w:rPr>
          <w:rFonts w:eastAsia="MinionPro-Regular" w:cs="Arial"/>
          <w:szCs w:val="20"/>
        </w:rPr>
        <w:t>stymulację rozwoju sektora odnawialnego</w:t>
      </w:r>
      <w:r w:rsidR="007B3136" w:rsidRPr="003478AF">
        <w:rPr>
          <w:rFonts w:eastAsia="MinionPro-Regular" w:cs="Arial"/>
          <w:szCs w:val="20"/>
        </w:rPr>
        <w:t xml:space="preserve">, w tym </w:t>
      </w:r>
      <w:r w:rsidR="00603772" w:rsidRPr="003478AF">
        <w:rPr>
          <w:rFonts w:eastAsia="MinionPro-Regular" w:cs="Arial"/>
          <w:szCs w:val="20"/>
        </w:rPr>
        <w:t>zielonego wodoru (</w:t>
      </w:r>
      <w:r w:rsidR="00B94D61" w:rsidRPr="003478AF">
        <w:rPr>
          <w:rFonts w:eastAsia="MinionPro-Regular" w:cs="Arial"/>
          <w:b/>
          <w:bCs/>
          <w:szCs w:val="20"/>
        </w:rPr>
        <w:t>S</w:t>
      </w:r>
      <w:r w:rsidR="00603772" w:rsidRPr="003478AF">
        <w:rPr>
          <w:rFonts w:eastAsia="MinionPro-Regular" w:cs="Arial"/>
          <w:b/>
          <w:bCs/>
          <w:szCs w:val="20"/>
        </w:rPr>
        <w:t>trategia w zakresie wodoru na rzecz Europy neutralnej dla klimatu</w:t>
      </w:r>
      <w:r w:rsidR="00E25B70" w:rsidRPr="003478AF">
        <w:rPr>
          <w:rStyle w:val="Odwoanieprzypisudolnego"/>
          <w:rFonts w:eastAsia="MinionPro-Regular" w:cs="Arial"/>
          <w:b/>
          <w:bCs/>
          <w:szCs w:val="20"/>
        </w:rPr>
        <w:footnoteReference w:id="41"/>
      </w:r>
      <w:r w:rsidR="00603772" w:rsidRPr="003478AF">
        <w:rPr>
          <w:rFonts w:eastAsia="MinionPro-Regular" w:cs="Arial"/>
          <w:szCs w:val="20"/>
        </w:rPr>
        <w:t>).</w:t>
      </w:r>
    </w:p>
    <w:p w14:paraId="4E857856" w14:textId="77777777" w:rsidR="00B91DF8" w:rsidRPr="003478AF" w:rsidRDefault="00B91DF8" w:rsidP="0074167E">
      <w:pPr>
        <w:autoSpaceDE w:val="0"/>
        <w:autoSpaceDN w:val="0"/>
        <w:adjustRightInd w:val="0"/>
        <w:rPr>
          <w:rFonts w:eastAsia="MinionPro-Regular" w:cs="Arial"/>
          <w:szCs w:val="20"/>
        </w:rPr>
      </w:pPr>
    </w:p>
    <w:p w14:paraId="2C10C919" w14:textId="6345184C" w:rsidR="00880B14" w:rsidRPr="003478AF" w:rsidRDefault="00B931B0" w:rsidP="00194CA4">
      <w:pPr>
        <w:pStyle w:val="Nagwek3"/>
      </w:pPr>
      <w:bookmarkStart w:id="28" w:name="_Toc82159991"/>
      <w:r w:rsidRPr="003478AF">
        <w:t xml:space="preserve">2.2.2. </w:t>
      </w:r>
      <w:r w:rsidR="00880B14" w:rsidRPr="003478AF">
        <w:t>Poziom krajowy</w:t>
      </w:r>
      <w:bookmarkEnd w:id="28"/>
    </w:p>
    <w:p w14:paraId="5DFD6152" w14:textId="5BD82FF8" w:rsidR="00181525" w:rsidRPr="003478AF" w:rsidRDefault="00651C9C" w:rsidP="00ED6B06">
      <w:pPr>
        <w:rPr>
          <w:rFonts w:eastAsia="MinionPro-Regular" w:cs="Arial"/>
          <w:szCs w:val="20"/>
        </w:rPr>
      </w:pPr>
      <w:r w:rsidRPr="003478AF">
        <w:rPr>
          <w:rFonts w:eastAsia="MinionPro-Regular" w:cs="Arial"/>
        </w:rPr>
        <w:t xml:space="preserve">Legislacja unijna </w:t>
      </w:r>
      <w:r w:rsidR="00646125" w:rsidRPr="003478AF">
        <w:rPr>
          <w:rFonts w:eastAsia="MinionPro-Regular" w:cs="Arial"/>
        </w:rPr>
        <w:t xml:space="preserve">stanowi siłę napędową zmian w zakresie transformacji </w:t>
      </w:r>
      <w:r w:rsidRPr="003478AF">
        <w:rPr>
          <w:rFonts w:eastAsia="MinionPro-Regular" w:cs="Arial"/>
        </w:rPr>
        <w:t xml:space="preserve">gospodarki linearnej </w:t>
      </w:r>
      <w:r w:rsidR="00646125" w:rsidRPr="003478AF">
        <w:rPr>
          <w:rFonts w:eastAsia="MinionPro-Regular" w:cs="Arial"/>
        </w:rPr>
        <w:t xml:space="preserve">w stronę gospodarki </w:t>
      </w:r>
      <w:r w:rsidR="00181525" w:rsidRPr="003478AF">
        <w:rPr>
          <w:rFonts w:eastAsia="MinionPro-Regular" w:cs="Arial"/>
        </w:rPr>
        <w:t>cyrkularnej</w:t>
      </w:r>
      <w:r w:rsidRPr="003478AF">
        <w:rPr>
          <w:rFonts w:eastAsia="MinionPro-Regular" w:cs="Arial"/>
          <w:szCs w:val="20"/>
        </w:rPr>
        <w:t xml:space="preserve"> i zobowiązuje jednocześnie do dopasowania regulacji krajowych, które posłużą do </w:t>
      </w:r>
      <w:r w:rsidRPr="003478AF">
        <w:rPr>
          <w:rFonts w:cs="Arial"/>
          <w:color w:val="000000"/>
          <w:szCs w:val="20"/>
        </w:rPr>
        <w:t>implementacji celów UE w kierunku</w:t>
      </w:r>
      <w:r w:rsidR="0090529B" w:rsidRPr="003478AF">
        <w:rPr>
          <w:rFonts w:cs="Arial"/>
          <w:color w:val="000000"/>
          <w:szCs w:val="20"/>
        </w:rPr>
        <w:t xml:space="preserve"> GOZ</w:t>
      </w:r>
      <w:r w:rsidR="00646125" w:rsidRPr="003478AF">
        <w:rPr>
          <w:rFonts w:eastAsia="MinionPro-Regular" w:cs="Arial"/>
          <w:szCs w:val="20"/>
        </w:rPr>
        <w:t>.</w:t>
      </w:r>
      <w:r w:rsidR="00181525" w:rsidRPr="003478AF">
        <w:rPr>
          <w:rFonts w:eastAsia="MinionPro-Regular" w:cs="Arial"/>
          <w:szCs w:val="20"/>
        </w:rPr>
        <w:t xml:space="preserve"> </w:t>
      </w:r>
    </w:p>
    <w:p w14:paraId="38E1175D" w14:textId="05283870" w:rsidR="00F816C6" w:rsidRPr="003478AF" w:rsidRDefault="00AB66E8" w:rsidP="00ED6B06">
      <w:pPr>
        <w:rPr>
          <w:rFonts w:eastAsia="MinionPro-Regular" w:cs="Arial"/>
          <w:szCs w:val="20"/>
        </w:rPr>
      </w:pPr>
      <w:r w:rsidRPr="003478AF">
        <w:rPr>
          <w:rFonts w:eastAsia="MinionPro-Regular" w:cs="Arial"/>
          <w:szCs w:val="20"/>
        </w:rPr>
        <w:t>W</w:t>
      </w:r>
      <w:r w:rsidR="00880B14" w:rsidRPr="003478AF">
        <w:rPr>
          <w:rFonts w:eastAsia="MinionPro-Regular" w:cs="Arial"/>
          <w:szCs w:val="20"/>
        </w:rPr>
        <w:t>drażani</w:t>
      </w:r>
      <w:r w:rsidRPr="003478AF">
        <w:rPr>
          <w:rFonts w:eastAsia="MinionPro-Regular" w:cs="Arial"/>
          <w:szCs w:val="20"/>
        </w:rPr>
        <w:t>e</w:t>
      </w:r>
      <w:r w:rsidR="00880B14" w:rsidRPr="003478AF">
        <w:rPr>
          <w:rFonts w:eastAsia="MinionPro-Regular" w:cs="Arial"/>
          <w:szCs w:val="20"/>
        </w:rPr>
        <w:t xml:space="preserve"> modelu gospodarczego opartego na obiegu zamkniętym </w:t>
      </w:r>
      <w:r w:rsidRPr="003478AF">
        <w:rPr>
          <w:rFonts w:eastAsia="MinionPro-Regular" w:cs="Arial"/>
          <w:szCs w:val="20"/>
        </w:rPr>
        <w:t xml:space="preserve">jest ściśle powiązane ze </w:t>
      </w:r>
      <w:r w:rsidR="00880B14" w:rsidRPr="003478AF">
        <w:rPr>
          <w:rFonts w:eastAsia="MinionPro-Regular" w:cs="Arial"/>
          <w:b/>
          <w:bCs/>
          <w:szCs w:val="20"/>
        </w:rPr>
        <w:t>Strategi</w:t>
      </w:r>
      <w:r w:rsidRPr="003478AF">
        <w:rPr>
          <w:rFonts w:eastAsia="MinionPro-Regular" w:cs="Arial"/>
          <w:b/>
          <w:bCs/>
          <w:szCs w:val="20"/>
        </w:rPr>
        <w:t>ą</w:t>
      </w:r>
      <w:r w:rsidR="00880B14" w:rsidRPr="003478AF">
        <w:rPr>
          <w:rFonts w:eastAsia="MinionPro-Regular" w:cs="Arial"/>
          <w:b/>
          <w:bCs/>
          <w:szCs w:val="20"/>
        </w:rPr>
        <w:t xml:space="preserve"> na rzecz Odpowiedzialnego Rozwoju</w:t>
      </w:r>
      <w:r w:rsidR="00880B14" w:rsidRPr="003478AF">
        <w:rPr>
          <w:rFonts w:eastAsia="MinionPro-Regular" w:cs="Arial"/>
          <w:szCs w:val="20"/>
        </w:rPr>
        <w:t xml:space="preserve"> (SOR)</w:t>
      </w:r>
      <w:r w:rsidR="00FC43A6" w:rsidRPr="003478AF">
        <w:rPr>
          <w:rStyle w:val="Odwoanieprzypisudolnego"/>
        </w:rPr>
        <w:footnoteReference w:id="42"/>
      </w:r>
      <w:r w:rsidRPr="003478AF">
        <w:rPr>
          <w:rFonts w:eastAsia="MinionPro-Regular" w:cs="Arial"/>
          <w:szCs w:val="20"/>
        </w:rPr>
        <w:t xml:space="preserve">. </w:t>
      </w:r>
      <w:r w:rsidR="00217794" w:rsidRPr="003478AF">
        <w:rPr>
          <w:rFonts w:eastAsia="MinionPro-Regular" w:cs="Arial"/>
          <w:szCs w:val="20"/>
        </w:rPr>
        <w:t xml:space="preserve">Dokument </w:t>
      </w:r>
      <w:r w:rsidR="00236846" w:rsidRPr="003478AF">
        <w:rPr>
          <w:rFonts w:eastAsia="MinionPro-Regular" w:cs="Arial"/>
          <w:szCs w:val="20"/>
        </w:rPr>
        <w:t>ten</w:t>
      </w:r>
      <w:r w:rsidR="004D3144" w:rsidRPr="003478AF">
        <w:rPr>
          <w:rFonts w:eastAsia="MinionPro-Regular" w:cs="Arial"/>
          <w:szCs w:val="20"/>
        </w:rPr>
        <w:t xml:space="preserve"> określa wielowymiarowe priorytety rozwoju kraju w zakresie gospodarczym, społecznym </w:t>
      </w:r>
      <w:r w:rsidR="001B0CB3" w:rsidRPr="003478AF">
        <w:rPr>
          <w:rFonts w:eastAsia="MinionPro-Regular" w:cs="Arial"/>
          <w:szCs w:val="20"/>
        </w:rPr>
        <w:br/>
      </w:r>
      <w:r w:rsidR="004D3144" w:rsidRPr="003478AF">
        <w:rPr>
          <w:rFonts w:eastAsia="MinionPro-Regular" w:cs="Arial"/>
          <w:szCs w:val="20"/>
        </w:rPr>
        <w:t xml:space="preserve">i przestrzennym. </w:t>
      </w:r>
      <w:r w:rsidR="00F6249B" w:rsidRPr="003478AF">
        <w:rPr>
          <w:rFonts w:eastAsia="MinionPro-Regular" w:cs="Arial"/>
          <w:szCs w:val="20"/>
        </w:rPr>
        <w:t>Wskazan</w:t>
      </w:r>
      <w:r w:rsidR="00FC43A6" w:rsidRPr="003478AF">
        <w:rPr>
          <w:rFonts w:eastAsia="MinionPro-Regular" w:cs="Arial"/>
          <w:szCs w:val="20"/>
        </w:rPr>
        <w:t>e</w:t>
      </w:r>
      <w:r w:rsidR="00F6249B" w:rsidRPr="003478AF">
        <w:rPr>
          <w:rFonts w:eastAsia="MinionPro-Regular" w:cs="Arial"/>
          <w:szCs w:val="20"/>
        </w:rPr>
        <w:t xml:space="preserve"> możliwe </w:t>
      </w:r>
      <w:r w:rsidR="00FC43A6" w:rsidRPr="003478AF">
        <w:rPr>
          <w:rFonts w:eastAsia="MinionPro-Regular" w:cs="Arial"/>
          <w:szCs w:val="20"/>
        </w:rPr>
        <w:t>kroki</w:t>
      </w:r>
      <w:r w:rsidR="00F6249B" w:rsidRPr="003478AF">
        <w:rPr>
          <w:rFonts w:eastAsia="MinionPro-Regular" w:cs="Arial"/>
          <w:szCs w:val="20"/>
        </w:rPr>
        <w:t xml:space="preserve">, związane ze wsparciem w ramach programów rządowych, kładą nacisk m.in. na rozwój </w:t>
      </w:r>
      <w:r w:rsidR="00FC43A6" w:rsidRPr="003478AF">
        <w:rPr>
          <w:rFonts w:eastAsia="MinionPro-Regular" w:cs="Arial"/>
          <w:szCs w:val="20"/>
        </w:rPr>
        <w:t>działań</w:t>
      </w:r>
      <w:r w:rsidR="00F6249B" w:rsidRPr="003478AF">
        <w:rPr>
          <w:rFonts w:eastAsia="MinionPro-Regular" w:cs="Arial"/>
          <w:szCs w:val="20"/>
        </w:rPr>
        <w:t xml:space="preserve"> sprzyjających transformacji w kierunku niskoemisyjnej gospodarki o obiegu zamkniętym.</w:t>
      </w:r>
      <w:r w:rsidR="00752407" w:rsidRPr="003478AF">
        <w:rPr>
          <w:rFonts w:eastAsia="MinionPro-Regular" w:cs="Arial"/>
          <w:szCs w:val="20"/>
        </w:rPr>
        <w:t xml:space="preserve"> </w:t>
      </w:r>
      <w:r w:rsidR="00F816C6" w:rsidRPr="003478AF">
        <w:rPr>
          <w:rFonts w:eastAsia="MinionPro-Regular" w:cs="Arial"/>
          <w:szCs w:val="20"/>
        </w:rPr>
        <w:t xml:space="preserve">W SOR określono gospodarkę odpadami jako jeden z głównych kierunków interwencji. Działania na jakie kładziony jest nacisk to gospodarowanie odpadami zgodnie z hierarchią sposobów postępowania z odpadami, rozwijanie recyklingu odpadów oraz dążenie do maksymalizacji wykorzystywania odpadów jako surowców. Kolejnym kierunkiem interwencji </w:t>
      </w:r>
      <w:r w:rsidR="00181525" w:rsidRPr="003478AF">
        <w:rPr>
          <w:rFonts w:eastAsia="MinionPro-Regular" w:cs="Arial"/>
          <w:szCs w:val="20"/>
        </w:rPr>
        <w:t xml:space="preserve">wskazanym </w:t>
      </w:r>
      <w:r w:rsidR="00F816C6" w:rsidRPr="003478AF">
        <w:rPr>
          <w:rFonts w:eastAsia="MinionPro-Regular" w:cs="Arial"/>
          <w:szCs w:val="20"/>
        </w:rPr>
        <w:t xml:space="preserve">w SOR </w:t>
      </w:r>
      <w:r w:rsidR="00181525" w:rsidRPr="003478AF">
        <w:rPr>
          <w:rFonts w:eastAsia="MinionPro-Regular" w:cs="Arial"/>
          <w:szCs w:val="20"/>
        </w:rPr>
        <w:t>jest</w:t>
      </w:r>
      <w:r w:rsidR="00F816C6" w:rsidRPr="003478AF">
        <w:rPr>
          <w:rFonts w:eastAsia="MinionPro-Regular" w:cs="Arial"/>
          <w:szCs w:val="20"/>
        </w:rPr>
        <w:t xml:space="preserve"> </w:t>
      </w:r>
      <w:r w:rsidR="004218C5" w:rsidRPr="003478AF">
        <w:rPr>
          <w:rFonts w:eastAsia="MinionPro-Regular" w:cs="Arial"/>
          <w:szCs w:val="20"/>
        </w:rPr>
        <w:t>z</w:t>
      </w:r>
      <w:r w:rsidR="00F816C6" w:rsidRPr="003478AF">
        <w:rPr>
          <w:rFonts w:eastAsia="MinionPro-Regular" w:cs="Arial"/>
          <w:szCs w:val="20"/>
        </w:rPr>
        <w:t>arządzanie zasobami geologicznymi, gdzie kluczow</w:t>
      </w:r>
      <w:r w:rsidR="00B43B34" w:rsidRPr="003478AF">
        <w:rPr>
          <w:rFonts w:eastAsia="MinionPro-Regular" w:cs="Arial"/>
          <w:szCs w:val="20"/>
        </w:rPr>
        <w:t>e</w:t>
      </w:r>
      <w:r w:rsidR="00F816C6" w:rsidRPr="003478AF">
        <w:rPr>
          <w:rFonts w:eastAsia="MinionPro-Regular" w:cs="Arial"/>
          <w:szCs w:val="20"/>
        </w:rPr>
        <w:t xml:space="preserve"> znaczenie dla wysiłków na rzecz bardziej efektywnego gospodarowania zasobami ma wdrażanie GOZ.</w:t>
      </w:r>
    </w:p>
    <w:p w14:paraId="66FA2FEE" w14:textId="2C1E0DFE" w:rsidR="009256F8" w:rsidRPr="003478AF" w:rsidRDefault="00752407" w:rsidP="00752407">
      <w:pPr>
        <w:autoSpaceDE w:val="0"/>
        <w:autoSpaceDN w:val="0"/>
        <w:adjustRightInd w:val="0"/>
        <w:rPr>
          <w:rFonts w:eastAsia="MinionPro-Regular" w:cs="Arial"/>
          <w:szCs w:val="20"/>
        </w:rPr>
      </w:pPr>
      <w:r w:rsidRPr="003478AF">
        <w:rPr>
          <w:rFonts w:eastAsia="MinionPro-Regular" w:cs="Arial"/>
          <w:szCs w:val="20"/>
        </w:rPr>
        <w:t xml:space="preserve">Cele polityki regionalnej dotyczące zrównoważonego rozwoju rozszerzono w ramach </w:t>
      </w:r>
      <w:r w:rsidRPr="003478AF">
        <w:rPr>
          <w:rFonts w:eastAsia="MinionPro-Regular" w:cs="Arial"/>
          <w:b/>
          <w:bCs/>
          <w:szCs w:val="20"/>
        </w:rPr>
        <w:t>Krajowej Strategii Rozwoju Regionalnego 2030</w:t>
      </w:r>
      <w:r w:rsidR="00A21EBA" w:rsidRPr="003478AF">
        <w:rPr>
          <w:rStyle w:val="Odwoanieprzypisudolnego"/>
        </w:rPr>
        <w:footnoteReference w:id="43"/>
      </w:r>
      <w:r w:rsidRPr="003478AF">
        <w:rPr>
          <w:rFonts w:eastAsia="MinionPro-Regular" w:cs="Arial"/>
          <w:szCs w:val="20"/>
        </w:rPr>
        <w:t xml:space="preserve">. Strategia wskazuje działania </w:t>
      </w:r>
      <w:r w:rsidR="009256F8" w:rsidRPr="003478AF">
        <w:rPr>
          <w:rFonts w:eastAsia="MinionPro-Regular" w:cs="Arial"/>
          <w:szCs w:val="20"/>
        </w:rPr>
        <w:t>możliwe do podjęcia</w:t>
      </w:r>
      <w:r w:rsidRPr="003478AF">
        <w:rPr>
          <w:rFonts w:eastAsia="MinionPro-Regular" w:cs="Arial"/>
          <w:szCs w:val="20"/>
        </w:rPr>
        <w:t xml:space="preserve">, m.in. </w:t>
      </w:r>
      <w:r w:rsidR="009256F8" w:rsidRPr="003478AF">
        <w:rPr>
          <w:rFonts w:eastAsia="MinionPro-Regular" w:cs="Arial"/>
          <w:szCs w:val="20"/>
        </w:rPr>
        <w:t xml:space="preserve">przez </w:t>
      </w:r>
      <w:r w:rsidRPr="003478AF">
        <w:rPr>
          <w:rFonts w:eastAsia="MinionPro-Regular" w:cs="Arial"/>
          <w:szCs w:val="20"/>
        </w:rPr>
        <w:t xml:space="preserve">samorząd terytorialny w ramach zasad polityki regionalnej. Jedną z nich jest zasada </w:t>
      </w:r>
      <w:r w:rsidR="004218C5" w:rsidRPr="003478AF">
        <w:rPr>
          <w:rFonts w:eastAsia="MinionPro-Regular" w:cs="Arial"/>
          <w:szCs w:val="20"/>
        </w:rPr>
        <w:t>„z</w:t>
      </w:r>
      <w:r w:rsidRPr="003478AF">
        <w:rPr>
          <w:rFonts w:eastAsia="MinionPro-Regular" w:cs="Arial"/>
          <w:szCs w:val="20"/>
        </w:rPr>
        <w:t>równoważonego inwestowania</w:t>
      </w:r>
      <w:r w:rsidR="004218C5" w:rsidRPr="003478AF">
        <w:rPr>
          <w:rFonts w:eastAsia="MinionPro-Regular" w:cs="Arial"/>
          <w:i/>
          <w:iCs/>
          <w:szCs w:val="20"/>
        </w:rPr>
        <w:t>”</w:t>
      </w:r>
      <w:r w:rsidRPr="003478AF">
        <w:rPr>
          <w:rFonts w:eastAsia="MinionPro-Regular" w:cs="Arial"/>
          <w:szCs w:val="20"/>
        </w:rPr>
        <w:t xml:space="preserve">, która promuje budowanie </w:t>
      </w:r>
      <w:r w:rsidR="00C92174" w:rsidRPr="003478AF">
        <w:rPr>
          <w:rFonts w:eastAsia="MinionPro-Regular" w:cs="Arial"/>
          <w:szCs w:val="20"/>
        </w:rPr>
        <w:t>GOZ</w:t>
      </w:r>
      <w:r w:rsidRPr="003478AF">
        <w:rPr>
          <w:rFonts w:eastAsia="MinionPro-Regular" w:cs="Arial"/>
          <w:szCs w:val="20"/>
        </w:rPr>
        <w:t xml:space="preserve">. Głównym jej założeniem jest efektywne wykorzystanie zasobów i ograniczenie wytwarzania odpadów. Podkreślono również znaczenie GOZ odnośnie możliwości wprowadzenia innowacyjnych rozwiązań w gospodarce wodno-ściekowej i technologiach recyklingu. Jako niezbędne </w:t>
      </w:r>
      <w:r w:rsidR="009256F8" w:rsidRPr="003478AF">
        <w:rPr>
          <w:rFonts w:eastAsia="MinionPro-Regular" w:cs="Arial"/>
          <w:szCs w:val="20"/>
        </w:rPr>
        <w:t xml:space="preserve">kroki </w:t>
      </w:r>
      <w:r w:rsidRPr="003478AF">
        <w:rPr>
          <w:rFonts w:eastAsia="MinionPro-Regular" w:cs="Arial"/>
          <w:szCs w:val="20"/>
        </w:rPr>
        <w:lastRenderedPageBreak/>
        <w:t>wskazano przedsięwzięcia w zakresie selektywnego zbierania odpadów komunalnych oraz rozwoju instalacji do przetwarzania bioodpadów</w:t>
      </w:r>
      <w:r w:rsidR="009256F8" w:rsidRPr="003478AF">
        <w:rPr>
          <w:rFonts w:eastAsia="MinionPro-Regular" w:cs="Arial"/>
          <w:szCs w:val="20"/>
        </w:rPr>
        <w:t>. Budowa gospodarki cyrkularnej postrzegana jest także jako metoda wzmacniania regionalnych przewag konkurencyjnych, rozwoju przedsiębiorczości i innowacyjności.</w:t>
      </w:r>
    </w:p>
    <w:p w14:paraId="5060956E" w14:textId="5C872532" w:rsidR="009A600A" w:rsidRPr="003478AF" w:rsidRDefault="00E02824" w:rsidP="00BD3663">
      <w:pPr>
        <w:autoSpaceDE w:val="0"/>
        <w:autoSpaceDN w:val="0"/>
        <w:adjustRightInd w:val="0"/>
        <w:rPr>
          <w:rFonts w:eastAsia="MinionPro-Regular" w:cs="Arial"/>
          <w:szCs w:val="20"/>
        </w:rPr>
      </w:pPr>
      <w:r w:rsidRPr="003478AF">
        <w:rPr>
          <w:rFonts w:eastAsia="MinionPro-Regular" w:cs="Arial"/>
          <w:szCs w:val="20"/>
        </w:rPr>
        <w:t>Projektem</w:t>
      </w:r>
      <w:r w:rsidR="009A600A" w:rsidRPr="003478AF">
        <w:rPr>
          <w:rFonts w:eastAsia="MinionPro-Regular" w:cs="Arial"/>
          <w:szCs w:val="20"/>
        </w:rPr>
        <w:t xml:space="preserve"> </w:t>
      </w:r>
      <w:r w:rsidR="00E62FF6" w:rsidRPr="003478AF">
        <w:rPr>
          <w:rFonts w:eastAsia="MinionPro-Regular" w:cs="Arial"/>
          <w:szCs w:val="20"/>
        </w:rPr>
        <w:t xml:space="preserve">kluczowym </w:t>
      </w:r>
      <w:r w:rsidR="007F29CE" w:rsidRPr="003478AF">
        <w:rPr>
          <w:rFonts w:eastAsia="MinionPro-Regular" w:cs="Arial"/>
          <w:szCs w:val="20"/>
        </w:rPr>
        <w:t>w ramach</w:t>
      </w:r>
      <w:r w:rsidR="009A600A" w:rsidRPr="003478AF">
        <w:rPr>
          <w:rFonts w:eastAsia="MinionPro-Regular" w:cs="Arial"/>
          <w:szCs w:val="20"/>
        </w:rPr>
        <w:t xml:space="preserve"> </w:t>
      </w:r>
      <w:r w:rsidR="00880B14" w:rsidRPr="003478AF">
        <w:rPr>
          <w:rFonts w:eastAsia="MinionPro-Regular" w:cs="Arial"/>
          <w:szCs w:val="20"/>
        </w:rPr>
        <w:t xml:space="preserve">SOR w kontekście </w:t>
      </w:r>
      <w:r w:rsidR="00AB66E8" w:rsidRPr="003478AF">
        <w:rPr>
          <w:rFonts w:eastAsia="MinionPro-Regular" w:cs="Arial"/>
          <w:szCs w:val="20"/>
        </w:rPr>
        <w:t>GOZ</w:t>
      </w:r>
      <w:r w:rsidR="00880B14" w:rsidRPr="003478AF">
        <w:rPr>
          <w:rFonts w:eastAsia="MinionPro-Regular" w:cs="Arial"/>
          <w:szCs w:val="20"/>
        </w:rPr>
        <w:t xml:space="preserve"> </w:t>
      </w:r>
      <w:r w:rsidR="00E62FF6" w:rsidRPr="003478AF">
        <w:rPr>
          <w:rFonts w:eastAsia="MinionPro-Regular" w:cs="Arial"/>
          <w:szCs w:val="20"/>
        </w:rPr>
        <w:t xml:space="preserve">jest </w:t>
      </w:r>
      <w:r w:rsidR="009A600A" w:rsidRPr="003478AF">
        <w:rPr>
          <w:rFonts w:eastAsia="MinionPro-Regular" w:cs="Arial"/>
          <w:b/>
          <w:bCs/>
          <w:szCs w:val="20"/>
        </w:rPr>
        <w:t>Map</w:t>
      </w:r>
      <w:r w:rsidR="00E62FF6" w:rsidRPr="003478AF">
        <w:rPr>
          <w:rFonts w:eastAsia="MinionPro-Regular" w:cs="Arial"/>
          <w:b/>
          <w:bCs/>
          <w:szCs w:val="20"/>
        </w:rPr>
        <w:t>a</w:t>
      </w:r>
      <w:r w:rsidR="009A600A" w:rsidRPr="003478AF">
        <w:rPr>
          <w:rFonts w:eastAsia="MinionPro-Regular" w:cs="Arial"/>
          <w:b/>
          <w:bCs/>
          <w:szCs w:val="20"/>
        </w:rPr>
        <w:t xml:space="preserve"> </w:t>
      </w:r>
      <w:r w:rsidR="00FE614B" w:rsidRPr="003478AF">
        <w:rPr>
          <w:rFonts w:eastAsia="MinionPro-Regular" w:cs="Arial"/>
          <w:b/>
          <w:bCs/>
          <w:szCs w:val="20"/>
        </w:rPr>
        <w:t>D</w:t>
      </w:r>
      <w:r w:rsidR="009A600A" w:rsidRPr="003478AF">
        <w:rPr>
          <w:rFonts w:eastAsia="MinionPro-Regular" w:cs="Arial"/>
          <w:b/>
          <w:bCs/>
          <w:szCs w:val="20"/>
        </w:rPr>
        <w:t>rogo</w:t>
      </w:r>
      <w:r w:rsidR="005D6309" w:rsidRPr="003478AF">
        <w:rPr>
          <w:rFonts w:eastAsia="MinionPro-Regular" w:cs="Arial"/>
          <w:b/>
          <w:bCs/>
          <w:szCs w:val="20"/>
        </w:rPr>
        <w:t>wa</w:t>
      </w:r>
      <w:r w:rsidR="009A600A" w:rsidRPr="003478AF">
        <w:rPr>
          <w:rFonts w:eastAsia="MinionPro-Regular" w:cs="Arial"/>
          <w:b/>
          <w:bCs/>
          <w:szCs w:val="20"/>
        </w:rPr>
        <w:t xml:space="preserve"> transformacji w kierunku gospodarki o obiegu zamkniętym</w:t>
      </w:r>
      <w:r w:rsidR="00FE614B" w:rsidRPr="003478AF">
        <w:rPr>
          <w:rFonts w:eastAsia="MinionPro-Regular" w:cs="Arial"/>
          <w:b/>
          <w:bCs/>
          <w:szCs w:val="20"/>
        </w:rPr>
        <w:t xml:space="preserve"> (Mapa D</w:t>
      </w:r>
      <w:r w:rsidR="00E62FF6" w:rsidRPr="003478AF">
        <w:rPr>
          <w:rFonts w:eastAsia="MinionPro-Regular" w:cs="Arial"/>
          <w:b/>
          <w:bCs/>
          <w:szCs w:val="20"/>
        </w:rPr>
        <w:t>rogowa GOZ)</w:t>
      </w:r>
      <w:r w:rsidR="00373D7A" w:rsidRPr="003478AF">
        <w:rPr>
          <w:rStyle w:val="Odwoanieprzypisudolnego"/>
        </w:rPr>
        <w:footnoteReference w:id="44"/>
      </w:r>
      <w:r w:rsidR="00E52684" w:rsidRPr="003478AF">
        <w:rPr>
          <w:rFonts w:eastAsia="MinionPro-Regular" w:cs="Arial"/>
          <w:szCs w:val="20"/>
        </w:rPr>
        <w:t xml:space="preserve">. </w:t>
      </w:r>
      <w:r w:rsidR="00C92174" w:rsidRPr="003478AF">
        <w:rPr>
          <w:rFonts w:eastAsia="MinionPro-Regular" w:cs="Arial"/>
          <w:szCs w:val="20"/>
        </w:rPr>
        <w:t>Wskazane w niej d</w:t>
      </w:r>
      <w:r w:rsidR="00347459" w:rsidRPr="003478AF">
        <w:rPr>
          <w:rFonts w:eastAsia="MinionPro-Regular" w:cs="Arial"/>
          <w:szCs w:val="20"/>
        </w:rPr>
        <w:t>ziałania</w:t>
      </w:r>
      <w:r w:rsidR="00952274" w:rsidRPr="003478AF">
        <w:rPr>
          <w:rFonts w:eastAsia="MinionPro-Regular" w:cs="Arial"/>
          <w:szCs w:val="20"/>
        </w:rPr>
        <w:t xml:space="preserve"> </w:t>
      </w:r>
      <w:r w:rsidR="00347459" w:rsidRPr="003478AF">
        <w:rPr>
          <w:rFonts w:eastAsia="MinionPro-Regular" w:cs="Arial"/>
          <w:szCs w:val="20"/>
        </w:rPr>
        <w:t xml:space="preserve">związane są z realizacją głównych priorytetów w zakresie </w:t>
      </w:r>
      <w:r w:rsidR="00952274" w:rsidRPr="003478AF">
        <w:rPr>
          <w:rFonts w:eastAsia="MinionPro-Regular" w:cs="Arial"/>
          <w:szCs w:val="20"/>
        </w:rPr>
        <w:t xml:space="preserve">gospodarki </w:t>
      </w:r>
      <w:r w:rsidR="00C92174" w:rsidRPr="003478AF">
        <w:rPr>
          <w:rFonts w:eastAsia="MinionPro-Regular" w:cs="Arial"/>
          <w:szCs w:val="20"/>
        </w:rPr>
        <w:t>cyrkularnej</w:t>
      </w:r>
      <w:r w:rsidR="001413D0" w:rsidRPr="003478AF">
        <w:rPr>
          <w:rFonts w:eastAsia="MinionPro-Regular" w:cs="Arial"/>
          <w:szCs w:val="20"/>
        </w:rPr>
        <w:t>, tj.</w:t>
      </w:r>
      <w:r w:rsidR="00347459" w:rsidRPr="003478AF">
        <w:rPr>
          <w:rFonts w:eastAsia="MinionPro-Regular" w:cs="Arial"/>
          <w:szCs w:val="20"/>
        </w:rPr>
        <w:t>:</w:t>
      </w:r>
      <w:r w:rsidR="001C16D6" w:rsidRPr="003478AF">
        <w:rPr>
          <w:rFonts w:eastAsia="MinionPro-Regular" w:cs="Arial"/>
          <w:szCs w:val="20"/>
        </w:rPr>
        <w:t xml:space="preserve"> </w:t>
      </w:r>
    </w:p>
    <w:p w14:paraId="203B5225" w14:textId="60FE2ECE" w:rsidR="00347459" w:rsidRPr="003478AF" w:rsidRDefault="00347459" w:rsidP="00B13D49">
      <w:pPr>
        <w:pStyle w:val="Akapitzlist"/>
        <w:numPr>
          <w:ilvl w:val="0"/>
          <w:numId w:val="38"/>
        </w:numPr>
        <w:autoSpaceDE w:val="0"/>
        <w:autoSpaceDN w:val="0"/>
        <w:adjustRightInd w:val="0"/>
        <w:rPr>
          <w:rFonts w:eastAsia="MinionPro-Regular" w:cs="Arial"/>
          <w:szCs w:val="20"/>
        </w:rPr>
      </w:pPr>
      <w:r w:rsidRPr="003478AF">
        <w:rPr>
          <w:rFonts w:eastAsia="MinionPro-Regular" w:cs="Arial"/>
          <w:szCs w:val="20"/>
        </w:rPr>
        <w:t xml:space="preserve">innowacyjność, wzmocnienie współpracy pomiędzy przemysłem i sektorem nauki, </w:t>
      </w:r>
      <w:r w:rsidR="001B0CB3" w:rsidRPr="003478AF">
        <w:rPr>
          <w:rFonts w:eastAsia="MinionPro-Regular" w:cs="Arial"/>
          <w:szCs w:val="20"/>
        </w:rPr>
        <w:br/>
      </w:r>
      <w:r w:rsidRPr="003478AF">
        <w:rPr>
          <w:rFonts w:eastAsia="MinionPro-Regular" w:cs="Arial"/>
          <w:szCs w:val="20"/>
        </w:rPr>
        <w:t>a w efekcie wdrażanie innowacyjnych rozwiązań w gospodarce,</w:t>
      </w:r>
    </w:p>
    <w:p w14:paraId="1ECB2731" w14:textId="6A2A056C" w:rsidR="00347459" w:rsidRPr="003478AF" w:rsidRDefault="00347459" w:rsidP="00B13D49">
      <w:pPr>
        <w:pStyle w:val="Akapitzlist"/>
        <w:numPr>
          <w:ilvl w:val="0"/>
          <w:numId w:val="38"/>
        </w:numPr>
        <w:autoSpaceDE w:val="0"/>
        <w:autoSpaceDN w:val="0"/>
        <w:adjustRightInd w:val="0"/>
        <w:rPr>
          <w:rFonts w:eastAsia="MinionPro-Regular" w:cs="Arial"/>
          <w:szCs w:val="20"/>
        </w:rPr>
      </w:pPr>
      <w:r w:rsidRPr="003478AF">
        <w:rPr>
          <w:rFonts w:eastAsia="MinionPro-Regular" w:cs="Arial"/>
          <w:szCs w:val="20"/>
        </w:rPr>
        <w:t>stworzenie europejskiego rynku na surowce wtórne,</w:t>
      </w:r>
    </w:p>
    <w:p w14:paraId="72AB3CCB" w14:textId="6235FED4" w:rsidR="00347459" w:rsidRPr="003478AF" w:rsidRDefault="00347459" w:rsidP="00B13D49">
      <w:pPr>
        <w:pStyle w:val="Akapitzlist"/>
        <w:numPr>
          <w:ilvl w:val="0"/>
          <w:numId w:val="38"/>
        </w:numPr>
        <w:autoSpaceDE w:val="0"/>
        <w:autoSpaceDN w:val="0"/>
        <w:adjustRightInd w:val="0"/>
        <w:rPr>
          <w:rFonts w:eastAsia="MinionPro-Regular" w:cs="Arial"/>
          <w:szCs w:val="20"/>
        </w:rPr>
      </w:pPr>
      <w:r w:rsidRPr="003478AF">
        <w:rPr>
          <w:rFonts w:eastAsia="MinionPro-Regular" w:cs="Arial"/>
          <w:szCs w:val="20"/>
        </w:rPr>
        <w:t>zapewnienie wysokiej jakości surowców wtórnych,</w:t>
      </w:r>
    </w:p>
    <w:p w14:paraId="529125A6" w14:textId="4FACF05C" w:rsidR="00347459" w:rsidRPr="003478AF" w:rsidRDefault="00347459" w:rsidP="00B13D49">
      <w:pPr>
        <w:pStyle w:val="Akapitzlist"/>
        <w:numPr>
          <w:ilvl w:val="0"/>
          <w:numId w:val="38"/>
        </w:numPr>
        <w:autoSpaceDE w:val="0"/>
        <w:autoSpaceDN w:val="0"/>
        <w:adjustRightInd w:val="0"/>
        <w:rPr>
          <w:rFonts w:eastAsia="MinionPro-Regular" w:cs="Arial"/>
          <w:szCs w:val="20"/>
        </w:rPr>
      </w:pPr>
      <w:r w:rsidRPr="003478AF">
        <w:rPr>
          <w:rFonts w:eastAsia="MinionPro-Regular" w:cs="Arial"/>
          <w:szCs w:val="20"/>
        </w:rPr>
        <w:t>rozwój sektora usług.</w:t>
      </w:r>
    </w:p>
    <w:p w14:paraId="746EE8EE" w14:textId="4757F703" w:rsidR="00347459" w:rsidRPr="003478AF" w:rsidRDefault="0090529B" w:rsidP="00FC43A6">
      <w:pPr>
        <w:autoSpaceDE w:val="0"/>
        <w:autoSpaceDN w:val="0"/>
        <w:adjustRightInd w:val="0"/>
        <w:ind w:firstLine="0"/>
        <w:rPr>
          <w:rFonts w:eastAsia="MinionPro-Regular" w:cs="Arial"/>
          <w:szCs w:val="20"/>
        </w:rPr>
      </w:pPr>
      <w:r w:rsidRPr="003478AF">
        <w:rPr>
          <w:rFonts w:eastAsia="MinionPro-Regular" w:cs="Arial"/>
          <w:szCs w:val="20"/>
        </w:rPr>
        <w:t xml:space="preserve">W Mapie Drogowej GOZ wskazano konieczność przeorganizowania modelu funkcjonowania poszczególnych uczestników rynku, w tym przedsiębiorców, instytucji publicznych </w:t>
      </w:r>
      <w:r w:rsidR="00CB7DB0" w:rsidRPr="003478AF">
        <w:rPr>
          <w:rFonts w:eastAsia="MinionPro-Regular" w:cs="Arial"/>
          <w:szCs w:val="20"/>
        </w:rPr>
        <w:br/>
      </w:r>
      <w:r w:rsidRPr="003478AF">
        <w:rPr>
          <w:rFonts w:eastAsia="MinionPro-Regular" w:cs="Arial"/>
          <w:szCs w:val="20"/>
        </w:rPr>
        <w:t xml:space="preserve">i konsumentów. </w:t>
      </w:r>
      <w:r w:rsidR="00E702E3" w:rsidRPr="003478AF">
        <w:rPr>
          <w:rFonts w:eastAsia="MinionPro-Regular" w:cs="Arial"/>
          <w:szCs w:val="20"/>
        </w:rPr>
        <w:t>Dokonano ponadto p</w:t>
      </w:r>
      <w:r w:rsidR="00E5109D" w:rsidRPr="003478AF">
        <w:rPr>
          <w:rFonts w:eastAsia="MinionPro-Regular" w:cs="Arial"/>
          <w:szCs w:val="20"/>
        </w:rPr>
        <w:t>r</w:t>
      </w:r>
      <w:r w:rsidR="00E702E3" w:rsidRPr="003478AF">
        <w:rPr>
          <w:rFonts w:eastAsia="MinionPro-Regular" w:cs="Arial"/>
          <w:szCs w:val="20"/>
        </w:rPr>
        <w:t>iorytetyzacji obszarów</w:t>
      </w:r>
      <w:r w:rsidR="00C733E5" w:rsidRPr="003478AF">
        <w:rPr>
          <w:rFonts w:eastAsia="MinionPro-Regular" w:cs="Arial"/>
          <w:szCs w:val="20"/>
        </w:rPr>
        <w:t xml:space="preserve"> </w:t>
      </w:r>
      <w:r w:rsidRPr="003478AF">
        <w:rPr>
          <w:rFonts w:eastAsia="MinionPro-Regular" w:cs="Arial"/>
          <w:szCs w:val="20"/>
        </w:rPr>
        <w:t xml:space="preserve">przedstawionych na </w:t>
      </w:r>
      <w:r w:rsidR="00381971" w:rsidRPr="003478AF">
        <w:rPr>
          <w:rFonts w:eastAsia="MinionPro-Regular" w:cs="Arial"/>
          <w:szCs w:val="20"/>
        </w:rPr>
        <w:t>ryc.</w:t>
      </w:r>
      <w:r w:rsidR="00844C70" w:rsidRPr="003478AF">
        <w:rPr>
          <w:rFonts w:eastAsia="MinionPro-Regular" w:cs="Arial"/>
          <w:szCs w:val="20"/>
        </w:rPr>
        <w:t xml:space="preserve"> </w:t>
      </w:r>
      <w:r w:rsidR="00E5109D" w:rsidRPr="003478AF">
        <w:rPr>
          <w:rFonts w:eastAsia="MinionPro-Regular" w:cs="Arial"/>
          <w:szCs w:val="20"/>
        </w:rPr>
        <w:t>2</w:t>
      </w:r>
      <w:r w:rsidR="00844C70" w:rsidRPr="003478AF">
        <w:rPr>
          <w:rFonts w:eastAsia="MinionPro-Regular" w:cs="Arial"/>
          <w:szCs w:val="20"/>
        </w:rPr>
        <w:t>.</w:t>
      </w:r>
      <w:r w:rsidR="00E5109D" w:rsidRPr="003478AF">
        <w:rPr>
          <w:rFonts w:eastAsia="MinionPro-Regular" w:cs="Arial"/>
          <w:szCs w:val="20"/>
        </w:rPr>
        <w:t>4</w:t>
      </w:r>
      <w:r w:rsidR="00844C70" w:rsidRPr="003478AF">
        <w:rPr>
          <w:rFonts w:eastAsia="MinionPro-Regular" w:cs="Arial"/>
          <w:szCs w:val="20"/>
        </w:rPr>
        <w:t>.</w:t>
      </w:r>
    </w:p>
    <w:p w14:paraId="1006DDC9" w14:textId="77777777" w:rsidR="00F85E5E" w:rsidRPr="003478AF" w:rsidRDefault="00F85E5E" w:rsidP="00C733E5">
      <w:pPr>
        <w:autoSpaceDE w:val="0"/>
        <w:autoSpaceDN w:val="0"/>
        <w:adjustRightInd w:val="0"/>
        <w:rPr>
          <w:rFonts w:eastAsia="MinionPro-Regular" w:cs="Arial"/>
          <w:szCs w:val="20"/>
        </w:rPr>
      </w:pPr>
    </w:p>
    <w:p w14:paraId="2E104C93" w14:textId="1E9385A3" w:rsidR="00CB028F" w:rsidRPr="003478AF" w:rsidRDefault="00CB028F" w:rsidP="00986D40">
      <w:pPr>
        <w:pStyle w:val="ARYCINA"/>
      </w:pPr>
      <w:r w:rsidRPr="003478AF">
        <w:t>Ryc.</w:t>
      </w:r>
      <w:r w:rsidR="00E5109D" w:rsidRPr="003478AF">
        <w:t xml:space="preserve"> 2.4</w:t>
      </w:r>
      <w:r w:rsidRPr="003478AF">
        <w:t xml:space="preserve"> Obszary priorytetowe określone w Mapie Drogowej GOZ</w:t>
      </w:r>
    </w:p>
    <w:p w14:paraId="03619FF9" w14:textId="77777777" w:rsidR="00C733E5" w:rsidRPr="003478AF" w:rsidRDefault="00C733E5" w:rsidP="00432B63">
      <w:pPr>
        <w:autoSpaceDE w:val="0"/>
        <w:autoSpaceDN w:val="0"/>
        <w:adjustRightInd w:val="0"/>
        <w:ind w:firstLine="0"/>
        <w:rPr>
          <w:rFonts w:eastAsia="MinionPro-Regular" w:cs="Arial"/>
          <w:szCs w:val="20"/>
        </w:rPr>
      </w:pPr>
      <w:r w:rsidRPr="003478AF">
        <w:rPr>
          <w:rFonts w:eastAsia="MinionPro-Regular" w:cs="Arial"/>
          <w:noProof/>
          <w:szCs w:val="20"/>
          <w:lang w:eastAsia="pl-PL"/>
        </w:rPr>
        <w:drawing>
          <wp:inline distT="0" distB="0" distL="0" distR="0" wp14:anchorId="5342D445" wp14:editId="139956B4">
            <wp:extent cx="4865370" cy="2794000"/>
            <wp:effectExtent l="0" t="0" r="30480" b="6350"/>
            <wp:docPr id="3" name="Diagram 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9" r:lo="rId30" r:qs="rId31" r:cs="rId32"/>
              </a:graphicData>
            </a:graphic>
          </wp:inline>
        </w:drawing>
      </w:r>
    </w:p>
    <w:p w14:paraId="767DEF2F" w14:textId="619DF7BB" w:rsidR="000D275D" w:rsidRPr="003478AF" w:rsidRDefault="000D275D" w:rsidP="00986D40">
      <w:pPr>
        <w:pStyle w:val="AZRODLO"/>
      </w:pPr>
      <w:r w:rsidRPr="003478AF">
        <w:t>Źródło: opracowanie własne na podstawie Mapy Drogowej GOZ</w:t>
      </w:r>
    </w:p>
    <w:p w14:paraId="1508324A" w14:textId="77777777" w:rsidR="000D275D" w:rsidRPr="003478AF" w:rsidRDefault="000D275D" w:rsidP="00F1574F"/>
    <w:p w14:paraId="03E463A1" w14:textId="04C74FCC" w:rsidR="00BD3663" w:rsidRPr="003478AF" w:rsidRDefault="00FF6CB7" w:rsidP="00BD3663">
      <w:pPr>
        <w:autoSpaceDE w:val="0"/>
        <w:autoSpaceDN w:val="0"/>
        <w:adjustRightInd w:val="0"/>
        <w:rPr>
          <w:rFonts w:eastAsia="MinionPro-Regular" w:cs="Arial"/>
          <w:szCs w:val="20"/>
        </w:rPr>
      </w:pPr>
      <w:r w:rsidRPr="003478AF">
        <w:rPr>
          <w:rFonts w:eastAsia="MinionPro-Regular" w:cs="Arial"/>
          <w:szCs w:val="20"/>
        </w:rPr>
        <w:t xml:space="preserve">Wskazanie priorytetów gospodarczych w zakresie </w:t>
      </w:r>
      <w:r w:rsidR="00553C3A" w:rsidRPr="003478AF">
        <w:rPr>
          <w:rFonts w:eastAsia="MinionPro-Regular" w:cs="Arial"/>
          <w:szCs w:val="20"/>
        </w:rPr>
        <w:t xml:space="preserve">wsparcia </w:t>
      </w:r>
      <w:r w:rsidRPr="003478AF">
        <w:rPr>
          <w:rFonts w:eastAsia="MinionPro-Regular" w:cs="Arial"/>
          <w:szCs w:val="20"/>
        </w:rPr>
        <w:t xml:space="preserve">prac badawczych, rozwojowych i innowacyjności w obszarze GOZ możliwe jest także dzięki </w:t>
      </w:r>
      <w:r w:rsidRPr="003478AF">
        <w:rPr>
          <w:rFonts w:eastAsia="MinionPro-Regular" w:cs="Arial"/>
          <w:b/>
          <w:bCs/>
          <w:szCs w:val="20"/>
        </w:rPr>
        <w:t>Krajowym Inteligentnym Specjalizacjom</w:t>
      </w:r>
      <w:r w:rsidR="001413D0" w:rsidRPr="003478AF">
        <w:rPr>
          <w:rFonts w:eastAsia="MinionPro-Regular" w:cs="Arial"/>
          <w:b/>
          <w:bCs/>
          <w:szCs w:val="20"/>
        </w:rPr>
        <w:t xml:space="preserve"> </w:t>
      </w:r>
      <w:r w:rsidR="001413D0" w:rsidRPr="003478AF">
        <w:rPr>
          <w:rFonts w:eastAsia="MinionPro-Regular" w:cs="Arial"/>
          <w:bCs/>
          <w:szCs w:val="20"/>
        </w:rPr>
        <w:t>(KIS)</w:t>
      </w:r>
      <w:r w:rsidRPr="003478AF">
        <w:rPr>
          <w:rFonts w:eastAsia="MinionPro-Regular" w:cs="Arial"/>
          <w:szCs w:val="20"/>
        </w:rPr>
        <w:t xml:space="preserve">. </w:t>
      </w:r>
      <w:r w:rsidR="00BD3663" w:rsidRPr="003478AF">
        <w:rPr>
          <w:rFonts w:eastAsia="MinionPro-Regular" w:cs="Arial"/>
          <w:szCs w:val="20"/>
        </w:rPr>
        <w:t xml:space="preserve">W ramach analizy obszarów </w:t>
      </w:r>
      <w:r w:rsidR="005A5E0B" w:rsidRPr="003478AF">
        <w:rPr>
          <w:rFonts w:eastAsia="MinionPro-Regular" w:cs="Arial"/>
          <w:szCs w:val="20"/>
        </w:rPr>
        <w:t>strategicznych</w:t>
      </w:r>
      <w:r w:rsidR="00BD3663" w:rsidRPr="003478AF">
        <w:rPr>
          <w:rFonts w:eastAsia="MinionPro-Regular" w:cs="Arial"/>
          <w:szCs w:val="20"/>
        </w:rPr>
        <w:t xml:space="preserve"> dla polskiej gospodarki w latach 2017-2018 utworzono Krajową Inteligentną Specjalizację </w:t>
      </w:r>
      <w:r w:rsidR="00FC7F95" w:rsidRPr="003478AF">
        <w:rPr>
          <w:rFonts w:eastAsia="MinionPro-Regular" w:cs="Arial"/>
          <w:szCs w:val="20"/>
        </w:rPr>
        <w:t>–</w:t>
      </w:r>
      <w:r w:rsidR="00BD3663" w:rsidRPr="003478AF">
        <w:rPr>
          <w:rFonts w:eastAsia="MinionPro-Regular" w:cs="Arial"/>
          <w:szCs w:val="20"/>
        </w:rPr>
        <w:t xml:space="preserve"> Gospodarka </w:t>
      </w:r>
      <w:r w:rsidR="00CB7DB0" w:rsidRPr="003478AF">
        <w:rPr>
          <w:rFonts w:eastAsia="MinionPro-Regular" w:cs="Arial"/>
          <w:szCs w:val="20"/>
        </w:rPr>
        <w:br/>
      </w:r>
      <w:r w:rsidR="00BD3663" w:rsidRPr="003478AF">
        <w:rPr>
          <w:rFonts w:eastAsia="MinionPro-Regular" w:cs="Arial"/>
          <w:szCs w:val="20"/>
        </w:rPr>
        <w:lastRenderedPageBreak/>
        <w:t>o obiegu zamkniętym – woda, surowce kopalne, odpady (KIS 7)</w:t>
      </w:r>
      <w:r w:rsidR="00254A86" w:rsidRPr="003478AF">
        <w:rPr>
          <w:rStyle w:val="Odwoanieprzypisudolnego"/>
        </w:rPr>
        <w:footnoteReference w:id="45"/>
      </w:r>
      <w:r w:rsidR="00BD3663" w:rsidRPr="003478AF">
        <w:rPr>
          <w:rFonts w:eastAsia="MinionPro-Regular" w:cs="Arial"/>
          <w:szCs w:val="20"/>
        </w:rPr>
        <w:t>.</w:t>
      </w:r>
      <w:r w:rsidRPr="003478AF">
        <w:rPr>
          <w:rFonts w:eastAsia="MinionPro-Regular" w:cs="Arial"/>
          <w:szCs w:val="20"/>
        </w:rPr>
        <w:t xml:space="preserve"> </w:t>
      </w:r>
      <w:r w:rsidR="00BD3663" w:rsidRPr="003478AF">
        <w:rPr>
          <w:rFonts w:eastAsia="MinionPro-Regular" w:cs="Arial"/>
          <w:szCs w:val="20"/>
        </w:rPr>
        <w:t xml:space="preserve">Priorytety rozwojowe wskazane w obszarze </w:t>
      </w:r>
      <w:r w:rsidR="00FC7F95" w:rsidRPr="003478AF">
        <w:rPr>
          <w:rFonts w:eastAsia="MinionPro-Regular" w:cs="Arial"/>
          <w:szCs w:val="20"/>
        </w:rPr>
        <w:t>tej specjalizacji</w:t>
      </w:r>
      <w:r w:rsidR="00BD3663" w:rsidRPr="003478AF">
        <w:rPr>
          <w:rFonts w:eastAsia="MinionPro-Regular" w:cs="Arial"/>
          <w:szCs w:val="20"/>
        </w:rPr>
        <w:t xml:space="preserve"> to:</w:t>
      </w:r>
    </w:p>
    <w:p w14:paraId="6BCEC4AB" w14:textId="6D4D059F" w:rsidR="00BD3663" w:rsidRPr="003478AF" w:rsidRDefault="00BD3663" w:rsidP="00B13D49">
      <w:pPr>
        <w:pStyle w:val="Akapitzlist"/>
        <w:numPr>
          <w:ilvl w:val="0"/>
          <w:numId w:val="37"/>
        </w:numPr>
      </w:pPr>
      <w:r w:rsidRPr="003478AF">
        <w:t>rozwój technologii zagospodarowania odpadów nieprzydatnych do ponownego wykorzystania lub recyklingu materiałowego,</w:t>
      </w:r>
    </w:p>
    <w:p w14:paraId="765BC243" w14:textId="3EDD8DA9" w:rsidR="00BD3663" w:rsidRPr="003478AF" w:rsidRDefault="00BD3663" w:rsidP="00B13D49">
      <w:pPr>
        <w:pStyle w:val="Akapitzlist"/>
        <w:numPr>
          <w:ilvl w:val="0"/>
          <w:numId w:val="37"/>
        </w:numPr>
        <w:autoSpaceDE w:val="0"/>
        <w:autoSpaceDN w:val="0"/>
        <w:adjustRightInd w:val="0"/>
        <w:rPr>
          <w:rFonts w:eastAsia="MinionPro-Regular" w:cs="Arial"/>
          <w:szCs w:val="20"/>
        </w:rPr>
      </w:pPr>
      <w:r w:rsidRPr="003478AF">
        <w:rPr>
          <w:rFonts w:eastAsia="MinionPro-Regular" w:cs="Arial"/>
          <w:szCs w:val="20"/>
        </w:rPr>
        <w:t>projektowanie wyrobów pod kątem minimalizacji odpadów,</w:t>
      </w:r>
    </w:p>
    <w:p w14:paraId="39388524" w14:textId="5490719F" w:rsidR="00BD3663" w:rsidRPr="003478AF" w:rsidRDefault="00BD3663" w:rsidP="00B13D49">
      <w:pPr>
        <w:pStyle w:val="Akapitzlist"/>
        <w:numPr>
          <w:ilvl w:val="0"/>
          <w:numId w:val="37"/>
        </w:numPr>
        <w:autoSpaceDE w:val="0"/>
        <w:autoSpaceDN w:val="0"/>
        <w:adjustRightInd w:val="0"/>
        <w:rPr>
          <w:rFonts w:eastAsia="MinionPro-Regular" w:cs="Arial"/>
          <w:szCs w:val="20"/>
        </w:rPr>
      </w:pPr>
      <w:r w:rsidRPr="003478AF">
        <w:rPr>
          <w:rFonts w:eastAsia="MinionPro-Regular" w:cs="Arial"/>
          <w:szCs w:val="20"/>
        </w:rPr>
        <w:t>bezemisyjność lub minimalna emisja do środowiska,</w:t>
      </w:r>
    </w:p>
    <w:p w14:paraId="361320CA" w14:textId="4463C9D0" w:rsidR="003C3A5F" w:rsidRPr="003478AF" w:rsidRDefault="00BD3663" w:rsidP="00B13D49">
      <w:pPr>
        <w:pStyle w:val="Akapitzlist"/>
        <w:numPr>
          <w:ilvl w:val="0"/>
          <w:numId w:val="37"/>
        </w:numPr>
        <w:autoSpaceDE w:val="0"/>
        <w:autoSpaceDN w:val="0"/>
        <w:adjustRightInd w:val="0"/>
        <w:rPr>
          <w:rFonts w:eastAsia="MinionPro-Regular" w:cs="Arial"/>
          <w:szCs w:val="20"/>
        </w:rPr>
      </w:pPr>
      <w:r w:rsidRPr="003478AF">
        <w:rPr>
          <w:rFonts w:eastAsia="MinionPro-Regular" w:cs="Arial"/>
          <w:szCs w:val="20"/>
        </w:rPr>
        <w:t>zrównoważenie obiegu wody.</w:t>
      </w:r>
    </w:p>
    <w:p w14:paraId="76AA296B" w14:textId="6D69483C" w:rsidR="00281682" w:rsidRPr="003478AF" w:rsidRDefault="00281682" w:rsidP="003C3A5F">
      <w:pPr>
        <w:autoSpaceDE w:val="0"/>
        <w:autoSpaceDN w:val="0"/>
        <w:adjustRightInd w:val="0"/>
      </w:pPr>
      <w:r w:rsidRPr="003478AF">
        <w:rPr>
          <w:rFonts w:eastAsia="MinionPro-Regular" w:cs="Arial"/>
          <w:szCs w:val="20"/>
        </w:rPr>
        <w:t>Ponadto</w:t>
      </w:r>
      <w:r w:rsidR="001413D0" w:rsidRPr="003478AF">
        <w:rPr>
          <w:rFonts w:eastAsia="MinionPro-Regular" w:cs="Arial"/>
          <w:szCs w:val="20"/>
        </w:rPr>
        <w:t xml:space="preserve"> również </w:t>
      </w:r>
      <w:r w:rsidRPr="003478AF">
        <w:rPr>
          <w:rFonts w:eastAsia="MinionPro-Regular" w:cs="Arial"/>
          <w:b/>
          <w:bCs/>
          <w:szCs w:val="20"/>
        </w:rPr>
        <w:t>Strategia Produktywności</w:t>
      </w:r>
      <w:r w:rsidR="00471A20" w:rsidRPr="003478AF">
        <w:rPr>
          <w:rStyle w:val="Odwoanieprzypisudolnego"/>
        </w:rPr>
        <w:footnoteReference w:id="46"/>
      </w:r>
      <w:r w:rsidRPr="003478AF">
        <w:rPr>
          <w:rFonts w:eastAsia="MinionPro-Regular" w:cs="Arial"/>
          <w:szCs w:val="20"/>
        </w:rPr>
        <w:t xml:space="preserve"> wskazuje na </w:t>
      </w:r>
      <w:r w:rsidR="002241F2" w:rsidRPr="003478AF">
        <w:rPr>
          <w:rFonts w:eastAsia="MinionPro-Regular" w:cs="Arial"/>
          <w:szCs w:val="20"/>
        </w:rPr>
        <w:t>GOZ</w:t>
      </w:r>
      <w:r w:rsidRPr="003478AF">
        <w:rPr>
          <w:rFonts w:eastAsia="MinionPro-Regular" w:cs="Arial"/>
          <w:szCs w:val="20"/>
        </w:rPr>
        <w:t xml:space="preserve"> jako kluczow</w:t>
      </w:r>
      <w:r w:rsidR="002241F2" w:rsidRPr="003478AF">
        <w:rPr>
          <w:rFonts w:eastAsia="MinionPro-Regular" w:cs="Arial"/>
          <w:szCs w:val="20"/>
        </w:rPr>
        <w:t>e</w:t>
      </w:r>
      <w:r w:rsidRPr="003478AF">
        <w:rPr>
          <w:rFonts w:eastAsia="MinionPro-Regular" w:cs="Arial"/>
          <w:szCs w:val="20"/>
        </w:rPr>
        <w:t xml:space="preserve"> wyzwani</w:t>
      </w:r>
      <w:r w:rsidR="002241F2" w:rsidRPr="003478AF">
        <w:rPr>
          <w:rFonts w:eastAsia="MinionPro-Regular" w:cs="Arial"/>
          <w:szCs w:val="20"/>
        </w:rPr>
        <w:t>e</w:t>
      </w:r>
      <w:r w:rsidRPr="003478AF">
        <w:rPr>
          <w:rFonts w:eastAsia="MinionPro-Regular" w:cs="Arial"/>
          <w:szCs w:val="20"/>
        </w:rPr>
        <w:t xml:space="preserve"> rozwojow</w:t>
      </w:r>
      <w:r w:rsidR="002241F2" w:rsidRPr="003478AF">
        <w:rPr>
          <w:rFonts w:eastAsia="MinionPro-Regular" w:cs="Arial"/>
          <w:szCs w:val="20"/>
        </w:rPr>
        <w:t>e</w:t>
      </w:r>
      <w:r w:rsidRPr="003478AF">
        <w:rPr>
          <w:rFonts w:eastAsia="MinionPro-Regular" w:cs="Arial"/>
          <w:szCs w:val="20"/>
        </w:rPr>
        <w:t xml:space="preserve">. Głównym założeniem </w:t>
      </w:r>
      <w:r w:rsidR="002D098A" w:rsidRPr="003478AF">
        <w:rPr>
          <w:rFonts w:eastAsia="MinionPro-Regular" w:cs="Arial"/>
          <w:szCs w:val="20"/>
        </w:rPr>
        <w:t>s</w:t>
      </w:r>
      <w:r w:rsidRPr="003478AF">
        <w:rPr>
          <w:rFonts w:eastAsia="MinionPro-Regular" w:cs="Arial"/>
          <w:szCs w:val="20"/>
        </w:rPr>
        <w:t xml:space="preserve">trategii jest </w:t>
      </w:r>
      <w:r w:rsidR="001413D0" w:rsidRPr="003478AF">
        <w:t>„</w:t>
      </w:r>
      <w:r w:rsidRPr="003478AF">
        <w:t>progresywny wzrost produktywności w warunkach gospodarki: neutralnej klimatycznie, o obiegu zamkniętym, opartej na danych”.</w:t>
      </w:r>
    </w:p>
    <w:p w14:paraId="67DBAD37" w14:textId="65E4F38F" w:rsidR="00B46858" w:rsidRPr="003478AF" w:rsidRDefault="002D098A" w:rsidP="00773D64">
      <w:pPr>
        <w:rPr>
          <w:szCs w:val="20"/>
          <w:lang w:eastAsia="pl-PL"/>
        </w:rPr>
      </w:pPr>
      <w:r w:rsidRPr="003478AF">
        <w:t>K</w:t>
      </w:r>
      <w:r w:rsidR="004B174D" w:rsidRPr="003478AF">
        <w:t>luczowy</w:t>
      </w:r>
      <w:r w:rsidRPr="003478AF">
        <w:t>m</w:t>
      </w:r>
      <w:r w:rsidR="004B174D" w:rsidRPr="003478AF">
        <w:t xml:space="preserve"> obsza</w:t>
      </w:r>
      <w:r w:rsidRPr="003478AF">
        <w:t>rem</w:t>
      </w:r>
      <w:r w:rsidR="004B174D" w:rsidRPr="003478AF">
        <w:t xml:space="preserve"> wdrażania GOZ jest gospodarka odpadami</w:t>
      </w:r>
      <w:r w:rsidRPr="003478AF">
        <w:t xml:space="preserve">, której </w:t>
      </w:r>
      <w:r w:rsidR="00B92A43" w:rsidRPr="003478AF">
        <w:t>celem jest oddzielenie</w:t>
      </w:r>
      <w:r w:rsidR="001C16D6" w:rsidRPr="003478AF">
        <w:t xml:space="preserve"> </w:t>
      </w:r>
      <w:r w:rsidRPr="003478AF">
        <w:t xml:space="preserve">powiązań </w:t>
      </w:r>
      <w:r w:rsidR="00B92A43" w:rsidRPr="003478AF">
        <w:t>między</w:t>
      </w:r>
      <w:r w:rsidR="001C16D6" w:rsidRPr="003478AF">
        <w:t xml:space="preserve"> </w:t>
      </w:r>
      <w:r w:rsidR="00B92A43" w:rsidRPr="003478AF">
        <w:t>wzrostem gospodarczym</w:t>
      </w:r>
      <w:r w:rsidR="001C16D6" w:rsidRPr="003478AF">
        <w:t xml:space="preserve"> </w:t>
      </w:r>
      <w:r w:rsidRPr="003478AF">
        <w:t>a</w:t>
      </w:r>
      <w:r w:rsidR="001C16D6" w:rsidRPr="003478AF">
        <w:t xml:space="preserve"> </w:t>
      </w:r>
      <w:r w:rsidR="00B92A43" w:rsidRPr="003478AF">
        <w:t>wytwarzaniem</w:t>
      </w:r>
      <w:r w:rsidR="001C16D6" w:rsidRPr="003478AF">
        <w:t xml:space="preserve"> </w:t>
      </w:r>
      <w:r w:rsidR="00B92A43" w:rsidRPr="003478AF">
        <w:t>odpadów</w:t>
      </w:r>
      <w:r w:rsidRPr="003478AF">
        <w:t xml:space="preserve"> </w:t>
      </w:r>
      <w:r w:rsidR="004C5BDE" w:rsidRPr="003478AF">
        <w:br/>
      </w:r>
      <w:r w:rsidRPr="003478AF">
        <w:t>i</w:t>
      </w:r>
      <w:r w:rsidR="00B92A43" w:rsidRPr="003478AF">
        <w:t xml:space="preserve"> wykorzystanie ich</w:t>
      </w:r>
      <w:r w:rsidR="004B174D" w:rsidRPr="003478AF">
        <w:t xml:space="preserve"> </w:t>
      </w:r>
      <w:r w:rsidR="00B92A43" w:rsidRPr="003478AF">
        <w:t>zamiast surowców pierwotnych.</w:t>
      </w:r>
      <w:r w:rsidR="004B174D" w:rsidRPr="003478AF">
        <w:t xml:space="preserve"> </w:t>
      </w:r>
      <w:r w:rsidR="00B92A43" w:rsidRPr="003478AF">
        <w:t xml:space="preserve">Podstawowym dokumentem </w:t>
      </w:r>
      <w:r w:rsidR="00B23C9C" w:rsidRPr="003478AF">
        <w:t>z tego zakresu</w:t>
      </w:r>
      <w:r w:rsidR="00B92A43" w:rsidRPr="003478AF">
        <w:t xml:space="preserve"> jest </w:t>
      </w:r>
      <w:r w:rsidR="00B92A43" w:rsidRPr="003478AF">
        <w:rPr>
          <w:b/>
          <w:bCs/>
        </w:rPr>
        <w:t>Krajowy</w:t>
      </w:r>
      <w:r w:rsidR="004B174D" w:rsidRPr="003478AF">
        <w:rPr>
          <w:b/>
          <w:bCs/>
        </w:rPr>
        <w:t xml:space="preserve"> </w:t>
      </w:r>
      <w:r w:rsidR="00B92A43" w:rsidRPr="003478AF">
        <w:rPr>
          <w:b/>
          <w:bCs/>
        </w:rPr>
        <w:t>Plan Gospodarki Odpadami</w:t>
      </w:r>
      <w:r w:rsidR="00B92A43" w:rsidRPr="003478AF">
        <w:rPr>
          <w:rStyle w:val="Odwoanieprzypisudolnego"/>
        </w:rPr>
        <w:footnoteReference w:id="47"/>
      </w:r>
      <w:r w:rsidR="00B92A43" w:rsidRPr="003478AF">
        <w:rPr>
          <w:b/>
          <w:bCs/>
        </w:rPr>
        <w:t xml:space="preserve"> (KPGO)</w:t>
      </w:r>
      <w:r w:rsidR="00B92A43" w:rsidRPr="003478AF">
        <w:t xml:space="preserve">. W </w:t>
      </w:r>
      <w:r w:rsidR="00B23C9C" w:rsidRPr="003478AF">
        <w:t>jego r</w:t>
      </w:r>
      <w:r w:rsidR="00B92A43" w:rsidRPr="003478AF">
        <w:t>amach szczególny nacisk kładziony jest na zapobiegani</w:t>
      </w:r>
      <w:r w:rsidR="004B174D" w:rsidRPr="003478AF">
        <w:t>e</w:t>
      </w:r>
      <w:r w:rsidR="00B92A43" w:rsidRPr="003478AF">
        <w:t xml:space="preserve"> powstawani</w:t>
      </w:r>
      <w:r w:rsidR="008A1C05" w:rsidRPr="003478AF">
        <w:t>u</w:t>
      </w:r>
      <w:r w:rsidR="00B92A43" w:rsidRPr="003478AF">
        <w:t xml:space="preserve"> odpadów, następnie na ich zagospodarowani</w:t>
      </w:r>
      <w:r w:rsidR="004B174D" w:rsidRPr="003478AF">
        <w:t>e</w:t>
      </w:r>
      <w:r w:rsidR="00B92A43" w:rsidRPr="003478AF">
        <w:t xml:space="preserve"> w</w:t>
      </w:r>
      <w:r w:rsidR="004B174D" w:rsidRPr="003478AF">
        <w:t>edłu</w:t>
      </w:r>
      <w:r w:rsidR="00B92A43" w:rsidRPr="003478AF">
        <w:t xml:space="preserve">g określonej hierarchii. Zgodnie z założeniami KPGO, jak </w:t>
      </w:r>
      <w:r w:rsidR="001B0CB3" w:rsidRPr="003478AF">
        <w:br/>
      </w:r>
      <w:r w:rsidR="00B92A43" w:rsidRPr="003478AF">
        <w:t xml:space="preserve">i gospodarki cyrkularnej, podstawą systemu przetwarzania odpadów jest infrastruktura mająca na celu </w:t>
      </w:r>
      <w:r w:rsidR="005405C1" w:rsidRPr="003478AF">
        <w:t>m</w:t>
      </w:r>
      <w:r w:rsidR="00E5109D" w:rsidRPr="003478AF">
        <w:t>i</w:t>
      </w:r>
      <w:r w:rsidR="005405C1" w:rsidRPr="003478AF">
        <w:t>nimalizowanie</w:t>
      </w:r>
      <w:r w:rsidR="00B92A43" w:rsidRPr="003478AF">
        <w:t xml:space="preserve"> odpadów, natomiast infrastruktura związana </w:t>
      </w:r>
      <w:r w:rsidR="00BA0F96" w:rsidRPr="003478AF">
        <w:t>z</w:t>
      </w:r>
      <w:r w:rsidR="00B23C9C" w:rsidRPr="003478AF">
        <w:t xml:space="preserve"> </w:t>
      </w:r>
      <w:r w:rsidR="00B92A43" w:rsidRPr="003478AF">
        <w:t>przekształcaniem termicznym oraz mechaniczno-biologicznym przetwarzaniem odpadów traktowana jest jako uzupełnienie systemu. Poprzez zapobieganie powstawani</w:t>
      </w:r>
      <w:r w:rsidR="008A1C05" w:rsidRPr="003478AF">
        <w:t>u</w:t>
      </w:r>
      <w:r w:rsidR="00B92A43" w:rsidRPr="003478AF">
        <w:t xml:space="preserve"> odpadów rozumie się środki </w:t>
      </w:r>
      <w:r w:rsidR="001B0CB3" w:rsidRPr="003478AF">
        <w:br/>
      </w:r>
      <w:r w:rsidR="00B92A43" w:rsidRPr="003478AF">
        <w:t>w zakresie przygotowania do ponownego ich użycia, np. poprzez sieci napraw i ponownego użycia oraz selektywnej zbiórki (PSZOK</w:t>
      </w:r>
      <w:r w:rsidR="00B23C9C" w:rsidRPr="003478AF">
        <w:t xml:space="preserve"> – </w:t>
      </w:r>
      <w:r w:rsidR="00B92A43" w:rsidRPr="003478AF">
        <w:t xml:space="preserve">sortownie odpadów selektywnie zbieranych). </w:t>
      </w:r>
      <w:r w:rsidR="001B0CB3" w:rsidRPr="003478AF">
        <w:br/>
      </w:r>
      <w:r w:rsidR="00B92A43" w:rsidRPr="003478AF">
        <w:rPr>
          <w:rFonts w:cs="Arial"/>
          <w:szCs w:val="20"/>
          <w:lang w:eastAsia="pl-PL"/>
        </w:rPr>
        <w:t>W ramach K</w:t>
      </w:r>
      <w:r w:rsidR="004B174D" w:rsidRPr="003478AF">
        <w:rPr>
          <w:rFonts w:cs="Arial"/>
          <w:szCs w:val="20"/>
          <w:lang w:eastAsia="pl-PL"/>
        </w:rPr>
        <w:t>PGO</w:t>
      </w:r>
      <w:r w:rsidR="00B92A43" w:rsidRPr="003478AF">
        <w:rPr>
          <w:rFonts w:cs="Arial"/>
          <w:szCs w:val="20"/>
          <w:lang w:eastAsia="pl-PL"/>
        </w:rPr>
        <w:t xml:space="preserve"> wskazuje się także na</w:t>
      </w:r>
      <w:r w:rsidR="004B174D" w:rsidRPr="003478AF">
        <w:rPr>
          <w:rFonts w:cs="Arial"/>
          <w:szCs w:val="20"/>
          <w:lang w:eastAsia="pl-PL"/>
        </w:rPr>
        <w:t xml:space="preserve"> </w:t>
      </w:r>
      <w:r w:rsidR="00B92A43" w:rsidRPr="003478AF">
        <w:rPr>
          <w:rFonts w:cs="Arial"/>
          <w:szCs w:val="20"/>
          <w:lang w:eastAsia="pl-PL"/>
        </w:rPr>
        <w:t>działania mające na celu stymulowanie rozwoju rynku surowców wtórnych</w:t>
      </w:r>
      <w:r w:rsidR="00B46858" w:rsidRPr="003478AF">
        <w:rPr>
          <w:rFonts w:cs="Arial"/>
          <w:szCs w:val="20"/>
          <w:lang w:eastAsia="pl-PL"/>
        </w:rPr>
        <w:t xml:space="preserve">. Istotne </w:t>
      </w:r>
      <w:r w:rsidR="004B174D" w:rsidRPr="003478AF">
        <w:rPr>
          <w:rFonts w:cs="Arial"/>
          <w:szCs w:val="20"/>
          <w:lang w:eastAsia="pl-PL"/>
        </w:rPr>
        <w:t>jest</w:t>
      </w:r>
      <w:r w:rsidR="00B46858" w:rsidRPr="003478AF">
        <w:rPr>
          <w:rFonts w:cs="Arial"/>
          <w:szCs w:val="20"/>
          <w:lang w:eastAsia="pl-PL"/>
        </w:rPr>
        <w:t xml:space="preserve"> </w:t>
      </w:r>
      <w:r w:rsidR="00B23C9C" w:rsidRPr="003478AF">
        <w:rPr>
          <w:rFonts w:cs="Arial"/>
          <w:szCs w:val="20"/>
          <w:lang w:eastAsia="pl-PL"/>
        </w:rPr>
        <w:t xml:space="preserve">ponadto </w:t>
      </w:r>
      <w:r w:rsidR="00B46858" w:rsidRPr="003478AF">
        <w:rPr>
          <w:rFonts w:cs="Arial"/>
          <w:szCs w:val="20"/>
          <w:lang w:eastAsia="pl-PL"/>
        </w:rPr>
        <w:t>propagowani</w:t>
      </w:r>
      <w:r w:rsidR="004B174D" w:rsidRPr="003478AF">
        <w:rPr>
          <w:rFonts w:cs="Arial"/>
          <w:szCs w:val="20"/>
          <w:lang w:eastAsia="pl-PL"/>
        </w:rPr>
        <w:t xml:space="preserve">e </w:t>
      </w:r>
      <w:r w:rsidR="00B46858" w:rsidRPr="003478AF">
        <w:rPr>
          <w:rFonts w:cs="Arial"/>
          <w:szCs w:val="20"/>
          <w:lang w:eastAsia="pl-PL"/>
        </w:rPr>
        <w:t>badań nad</w:t>
      </w:r>
      <w:r w:rsidR="004B174D" w:rsidRPr="003478AF">
        <w:rPr>
          <w:rFonts w:cs="Arial"/>
          <w:szCs w:val="20"/>
          <w:lang w:eastAsia="pl-PL"/>
        </w:rPr>
        <w:t xml:space="preserve"> </w:t>
      </w:r>
      <w:r w:rsidR="00B46858" w:rsidRPr="003478AF">
        <w:rPr>
          <w:lang w:eastAsia="pl-PL"/>
        </w:rPr>
        <w:t xml:space="preserve">technologiami </w:t>
      </w:r>
      <w:r w:rsidR="00773D64" w:rsidRPr="003478AF">
        <w:rPr>
          <w:lang w:eastAsia="pl-PL"/>
        </w:rPr>
        <w:t xml:space="preserve">maksymalizacji procesów </w:t>
      </w:r>
      <w:r w:rsidR="00B46858" w:rsidRPr="003478AF">
        <w:rPr>
          <w:lang w:eastAsia="pl-PL"/>
        </w:rPr>
        <w:t xml:space="preserve">odzysku </w:t>
      </w:r>
      <w:r w:rsidR="00773D64" w:rsidRPr="003478AF">
        <w:rPr>
          <w:lang w:eastAsia="pl-PL"/>
        </w:rPr>
        <w:t xml:space="preserve">i recyklingu </w:t>
      </w:r>
      <w:r w:rsidR="00B46858" w:rsidRPr="003478AF">
        <w:rPr>
          <w:lang w:eastAsia="pl-PL"/>
        </w:rPr>
        <w:t>odpadów, rozwoju i udoskonalenia istniejącego systemu zbierania i transportu</w:t>
      </w:r>
      <w:r w:rsidR="004B174D" w:rsidRPr="003478AF">
        <w:rPr>
          <w:lang w:eastAsia="pl-PL"/>
        </w:rPr>
        <w:t xml:space="preserve"> odpadów. </w:t>
      </w:r>
      <w:r w:rsidR="00B46858" w:rsidRPr="003478AF">
        <w:rPr>
          <w:lang w:eastAsia="pl-PL"/>
        </w:rPr>
        <w:t>Szczególn</w:t>
      </w:r>
      <w:r w:rsidR="00773D64" w:rsidRPr="003478AF">
        <w:rPr>
          <w:lang w:eastAsia="pl-PL"/>
        </w:rPr>
        <w:t>ą</w:t>
      </w:r>
      <w:r w:rsidR="00B46858" w:rsidRPr="003478AF">
        <w:rPr>
          <w:lang w:eastAsia="pl-PL"/>
        </w:rPr>
        <w:t xml:space="preserve"> uwagę zwrócon</w:t>
      </w:r>
      <w:r w:rsidR="00773D64" w:rsidRPr="003478AF">
        <w:rPr>
          <w:lang w:eastAsia="pl-PL"/>
        </w:rPr>
        <w:t>o</w:t>
      </w:r>
      <w:r w:rsidR="00B46858" w:rsidRPr="003478AF">
        <w:rPr>
          <w:lang w:eastAsia="pl-PL"/>
        </w:rPr>
        <w:t xml:space="preserve"> na działania z zakresu ekoprojektowania jako kluczowe</w:t>
      </w:r>
      <w:r w:rsidR="00773D64" w:rsidRPr="003478AF">
        <w:rPr>
          <w:lang w:eastAsia="pl-PL"/>
        </w:rPr>
        <w:t>go</w:t>
      </w:r>
      <w:r w:rsidR="00B46858" w:rsidRPr="003478AF">
        <w:rPr>
          <w:lang w:eastAsia="pl-PL"/>
        </w:rPr>
        <w:t xml:space="preserve"> narzędzi</w:t>
      </w:r>
      <w:r w:rsidR="00773D64" w:rsidRPr="003478AF">
        <w:rPr>
          <w:lang w:eastAsia="pl-PL"/>
        </w:rPr>
        <w:t>a</w:t>
      </w:r>
      <w:r w:rsidR="00B46858" w:rsidRPr="003478AF">
        <w:rPr>
          <w:lang w:eastAsia="pl-PL"/>
        </w:rPr>
        <w:t xml:space="preserve"> do ograniczania zużycia zasobów</w:t>
      </w:r>
      <w:r w:rsidR="00C9791E" w:rsidRPr="003478AF">
        <w:rPr>
          <w:lang w:eastAsia="pl-PL"/>
        </w:rPr>
        <w:t>.</w:t>
      </w:r>
      <w:r w:rsidR="00B23C9C" w:rsidRPr="003478AF">
        <w:rPr>
          <w:szCs w:val="20"/>
          <w:lang w:eastAsia="pl-PL"/>
        </w:rPr>
        <w:t xml:space="preserve"> </w:t>
      </w:r>
      <w:r w:rsidR="00B46858" w:rsidRPr="003478AF">
        <w:rPr>
          <w:szCs w:val="20"/>
          <w:lang w:eastAsia="pl-PL"/>
        </w:rPr>
        <w:t xml:space="preserve">Przedsięwzięciom inwestycyjnym </w:t>
      </w:r>
      <w:r w:rsidR="00773D64" w:rsidRPr="003478AF">
        <w:rPr>
          <w:szCs w:val="20"/>
          <w:lang w:eastAsia="pl-PL"/>
        </w:rPr>
        <w:t xml:space="preserve">w ramach KPGO </w:t>
      </w:r>
      <w:r w:rsidR="00B46858" w:rsidRPr="003478AF">
        <w:rPr>
          <w:szCs w:val="20"/>
          <w:lang w:eastAsia="pl-PL"/>
        </w:rPr>
        <w:t xml:space="preserve">towarzyszyć mają działania miękkie </w:t>
      </w:r>
      <w:r w:rsidR="00773D64" w:rsidRPr="003478AF">
        <w:rPr>
          <w:szCs w:val="20"/>
          <w:lang w:eastAsia="pl-PL"/>
        </w:rPr>
        <w:t>- d</w:t>
      </w:r>
      <w:r w:rsidR="00B46858" w:rsidRPr="003478AF">
        <w:rPr>
          <w:szCs w:val="20"/>
          <w:lang w:eastAsia="pl-PL"/>
        </w:rPr>
        <w:t>ziała</w:t>
      </w:r>
      <w:r w:rsidR="00773D64" w:rsidRPr="003478AF">
        <w:rPr>
          <w:szCs w:val="20"/>
          <w:lang w:eastAsia="pl-PL"/>
        </w:rPr>
        <w:t>nia</w:t>
      </w:r>
      <w:r w:rsidR="00B46858" w:rsidRPr="003478AF">
        <w:rPr>
          <w:szCs w:val="20"/>
          <w:lang w:eastAsia="pl-PL"/>
        </w:rPr>
        <w:t xml:space="preserve"> edukacyjn</w:t>
      </w:r>
      <w:r w:rsidR="00773D64" w:rsidRPr="003478AF">
        <w:rPr>
          <w:szCs w:val="20"/>
          <w:lang w:eastAsia="pl-PL"/>
        </w:rPr>
        <w:t>e</w:t>
      </w:r>
      <w:r w:rsidR="00B46858" w:rsidRPr="003478AF">
        <w:rPr>
          <w:szCs w:val="20"/>
          <w:lang w:eastAsia="pl-PL"/>
        </w:rPr>
        <w:t xml:space="preserve"> mając</w:t>
      </w:r>
      <w:r w:rsidR="00773D64" w:rsidRPr="003478AF">
        <w:rPr>
          <w:szCs w:val="20"/>
          <w:lang w:eastAsia="pl-PL"/>
        </w:rPr>
        <w:t>e</w:t>
      </w:r>
      <w:r w:rsidR="00B46858" w:rsidRPr="003478AF">
        <w:rPr>
          <w:szCs w:val="20"/>
          <w:lang w:eastAsia="pl-PL"/>
        </w:rPr>
        <w:t xml:space="preserve"> na celu wdrożenie zasad poprawnej segregacji odpadów</w:t>
      </w:r>
      <w:r w:rsidR="00773D64" w:rsidRPr="003478AF">
        <w:rPr>
          <w:szCs w:val="20"/>
          <w:lang w:eastAsia="pl-PL"/>
        </w:rPr>
        <w:t>,</w:t>
      </w:r>
      <w:r w:rsidR="00B46858" w:rsidRPr="003478AF">
        <w:rPr>
          <w:szCs w:val="20"/>
          <w:lang w:eastAsia="pl-PL"/>
        </w:rPr>
        <w:t xml:space="preserve"> właściwe sposoby postępowania z różnymi typami odpadów, </w:t>
      </w:r>
      <w:r w:rsidR="00773D64" w:rsidRPr="003478AF">
        <w:rPr>
          <w:lang w:eastAsia="pl-PL"/>
        </w:rPr>
        <w:t>promowanie i realizacja działań na rzecz przygotowania do ponownego użycia oraz recyklingu.</w:t>
      </w:r>
    </w:p>
    <w:p w14:paraId="418E1585" w14:textId="47DAF03D" w:rsidR="00F816C6" w:rsidRPr="003478AF" w:rsidRDefault="0086377C" w:rsidP="00F816C6">
      <w:pPr>
        <w:autoSpaceDE w:val="0"/>
        <w:autoSpaceDN w:val="0"/>
        <w:adjustRightInd w:val="0"/>
        <w:rPr>
          <w:rFonts w:eastAsia="MinionPro-Regular" w:cs="Arial"/>
          <w:szCs w:val="20"/>
        </w:rPr>
      </w:pPr>
      <w:r w:rsidRPr="003478AF">
        <w:rPr>
          <w:rFonts w:eastAsia="MinionPro-Regular" w:cs="Arial"/>
          <w:szCs w:val="20"/>
        </w:rPr>
        <w:t xml:space="preserve">Gospodarka odpadami w kierunku </w:t>
      </w:r>
      <w:r w:rsidR="00B23C9C" w:rsidRPr="003478AF">
        <w:rPr>
          <w:rFonts w:eastAsia="MinionPro-Regular" w:cs="Arial"/>
          <w:szCs w:val="20"/>
        </w:rPr>
        <w:t>GOZ</w:t>
      </w:r>
      <w:r w:rsidRPr="003478AF">
        <w:rPr>
          <w:rFonts w:eastAsia="MinionPro-Regular" w:cs="Arial"/>
          <w:szCs w:val="20"/>
        </w:rPr>
        <w:t xml:space="preserve"> wraz z edukacją ekologiczną, w tym kształtowanie</w:t>
      </w:r>
      <w:r w:rsidR="0053249A" w:rsidRPr="003478AF">
        <w:rPr>
          <w:rFonts w:eastAsia="MinionPro-Regular" w:cs="Arial"/>
          <w:szCs w:val="20"/>
        </w:rPr>
        <w:t>m</w:t>
      </w:r>
      <w:r w:rsidRPr="003478AF">
        <w:rPr>
          <w:rFonts w:eastAsia="MinionPro-Regular" w:cs="Arial"/>
          <w:szCs w:val="20"/>
        </w:rPr>
        <w:t xml:space="preserve"> wzorców zrównoważonej konsumpcji</w:t>
      </w:r>
      <w:r w:rsidR="0053249A" w:rsidRPr="003478AF">
        <w:rPr>
          <w:rFonts w:eastAsia="MinionPro-Regular" w:cs="Arial"/>
          <w:szCs w:val="20"/>
        </w:rPr>
        <w:t xml:space="preserve"> należą </w:t>
      </w:r>
      <w:r w:rsidR="00773D64" w:rsidRPr="003478AF">
        <w:rPr>
          <w:rFonts w:eastAsia="MinionPro-Regular" w:cs="Arial"/>
          <w:szCs w:val="20"/>
        </w:rPr>
        <w:t xml:space="preserve">także </w:t>
      </w:r>
      <w:r w:rsidR="0053249A" w:rsidRPr="003478AF">
        <w:rPr>
          <w:rFonts w:eastAsia="MinionPro-Regular" w:cs="Arial"/>
          <w:szCs w:val="20"/>
        </w:rPr>
        <w:t xml:space="preserve">do grupy </w:t>
      </w:r>
      <w:r w:rsidRPr="003478AF">
        <w:rPr>
          <w:rFonts w:eastAsia="MinionPro-Regular" w:cs="Arial"/>
          <w:szCs w:val="20"/>
        </w:rPr>
        <w:t>kierunków interwencji</w:t>
      </w:r>
      <w:r w:rsidR="0053249A" w:rsidRPr="003478AF">
        <w:rPr>
          <w:rFonts w:eastAsia="MinionPro-Regular" w:cs="Arial"/>
          <w:szCs w:val="20"/>
        </w:rPr>
        <w:t xml:space="preserve"> w ramach </w:t>
      </w:r>
      <w:r w:rsidR="0053249A" w:rsidRPr="003478AF">
        <w:rPr>
          <w:rFonts w:eastAsia="MinionPro-Regular" w:cs="Arial"/>
          <w:b/>
          <w:bCs/>
          <w:szCs w:val="20"/>
        </w:rPr>
        <w:t>Polityki Ekologicznej Państwa 2030</w:t>
      </w:r>
      <w:r w:rsidR="0049642F" w:rsidRPr="003478AF">
        <w:rPr>
          <w:rStyle w:val="Odwoanieprzypisudolnego"/>
        </w:rPr>
        <w:footnoteReference w:id="48"/>
      </w:r>
      <w:r w:rsidR="0053249A" w:rsidRPr="003478AF">
        <w:rPr>
          <w:rFonts w:eastAsia="MinionPro-Regular" w:cs="Arial"/>
          <w:szCs w:val="20"/>
        </w:rPr>
        <w:t>.</w:t>
      </w:r>
    </w:p>
    <w:p w14:paraId="79D3F71C" w14:textId="398D0482" w:rsidR="00CA1478" w:rsidRPr="003478AF" w:rsidRDefault="001F5009" w:rsidP="00C13404">
      <w:pPr>
        <w:autoSpaceDE w:val="0"/>
        <w:autoSpaceDN w:val="0"/>
        <w:adjustRightInd w:val="0"/>
        <w:rPr>
          <w:rFonts w:eastAsia="MinionPro-Regular" w:cs="Arial"/>
          <w:szCs w:val="20"/>
        </w:rPr>
      </w:pPr>
      <w:r w:rsidRPr="003478AF">
        <w:rPr>
          <w:rFonts w:eastAsia="MinionPro-Regular" w:cs="Arial"/>
          <w:szCs w:val="20"/>
        </w:rPr>
        <w:t xml:space="preserve">Kwestie odpadów w kontekście ich </w:t>
      </w:r>
      <w:r w:rsidR="00AF7A59" w:rsidRPr="003478AF">
        <w:rPr>
          <w:rFonts w:eastAsia="MinionPro-Regular" w:cs="Arial"/>
          <w:szCs w:val="20"/>
        </w:rPr>
        <w:t>ponownego</w:t>
      </w:r>
      <w:r w:rsidRPr="003478AF">
        <w:rPr>
          <w:rFonts w:eastAsia="MinionPro-Regular" w:cs="Arial"/>
          <w:szCs w:val="20"/>
        </w:rPr>
        <w:t xml:space="preserve"> </w:t>
      </w:r>
      <w:r w:rsidR="00AF7A59" w:rsidRPr="003478AF">
        <w:rPr>
          <w:rFonts w:eastAsia="MinionPro-Regular" w:cs="Arial"/>
          <w:szCs w:val="20"/>
        </w:rPr>
        <w:t>wykorzystania</w:t>
      </w:r>
      <w:r w:rsidR="00DD72E8" w:rsidRPr="003478AF">
        <w:rPr>
          <w:rFonts w:eastAsia="MinionPro-Regular" w:cs="Arial"/>
          <w:szCs w:val="20"/>
        </w:rPr>
        <w:t xml:space="preserve"> jako surowce</w:t>
      </w:r>
      <w:r w:rsidR="00AF7A59" w:rsidRPr="003478AF">
        <w:rPr>
          <w:rFonts w:eastAsia="MinionPro-Regular" w:cs="Arial"/>
          <w:szCs w:val="20"/>
        </w:rPr>
        <w:t xml:space="preserve"> zawiera </w:t>
      </w:r>
      <w:r w:rsidR="00B23C9C" w:rsidRPr="003478AF">
        <w:rPr>
          <w:rFonts w:eastAsia="MinionPro-Regular" w:cs="Arial"/>
          <w:szCs w:val="20"/>
        </w:rPr>
        <w:t xml:space="preserve">także </w:t>
      </w:r>
      <w:r w:rsidR="00DD72E8" w:rsidRPr="003478AF">
        <w:rPr>
          <w:rFonts w:eastAsia="MinionPro-Regular" w:cs="Arial"/>
          <w:szCs w:val="20"/>
        </w:rPr>
        <w:t>p</w:t>
      </w:r>
      <w:r w:rsidR="000D5EC3" w:rsidRPr="003478AF">
        <w:rPr>
          <w:rFonts w:eastAsia="MinionPro-Regular" w:cs="Arial"/>
          <w:szCs w:val="20"/>
        </w:rPr>
        <w:t xml:space="preserve">rojekt </w:t>
      </w:r>
      <w:r w:rsidR="000D5EC3" w:rsidRPr="003478AF">
        <w:rPr>
          <w:rFonts w:eastAsia="MinionPro-Regular" w:cs="Arial"/>
          <w:b/>
          <w:bCs/>
          <w:szCs w:val="20"/>
        </w:rPr>
        <w:t>Polityki Surowcowej Państwa</w:t>
      </w:r>
      <w:r w:rsidR="00067387" w:rsidRPr="003478AF">
        <w:rPr>
          <w:rStyle w:val="Odwoanieprzypisudolnego"/>
        </w:rPr>
        <w:footnoteReference w:id="49"/>
      </w:r>
      <w:r w:rsidR="00AF7A59" w:rsidRPr="003478AF">
        <w:rPr>
          <w:rFonts w:eastAsia="MinionPro-Regular" w:cs="Arial"/>
          <w:szCs w:val="20"/>
        </w:rPr>
        <w:t xml:space="preserve">. </w:t>
      </w:r>
      <w:r w:rsidR="007A1690" w:rsidRPr="003478AF">
        <w:rPr>
          <w:rFonts w:eastAsia="MinionPro-Regular" w:cs="Arial"/>
          <w:szCs w:val="20"/>
        </w:rPr>
        <w:t xml:space="preserve">Jednym z </w:t>
      </w:r>
      <w:r w:rsidR="00DD72E8" w:rsidRPr="003478AF">
        <w:rPr>
          <w:rFonts w:eastAsia="MinionPro-Regular" w:cs="Arial"/>
          <w:szCs w:val="20"/>
        </w:rPr>
        <w:t xml:space="preserve">jej </w:t>
      </w:r>
      <w:r w:rsidR="007A1690" w:rsidRPr="003478AF">
        <w:rPr>
          <w:rFonts w:eastAsia="MinionPro-Regular" w:cs="Arial"/>
          <w:szCs w:val="20"/>
        </w:rPr>
        <w:t xml:space="preserve">głównych celów w </w:t>
      </w:r>
      <w:r w:rsidR="00CA1478" w:rsidRPr="003478AF">
        <w:rPr>
          <w:rFonts w:eastAsia="MinionPro-Regular" w:cs="Arial"/>
          <w:szCs w:val="20"/>
        </w:rPr>
        <w:t>zakresie</w:t>
      </w:r>
      <w:r w:rsidR="007A1690" w:rsidRPr="003478AF">
        <w:rPr>
          <w:rFonts w:eastAsia="MinionPro-Regular" w:cs="Arial"/>
          <w:szCs w:val="20"/>
        </w:rPr>
        <w:t xml:space="preserve"> </w:t>
      </w:r>
      <w:r w:rsidR="00CA1478" w:rsidRPr="003478AF">
        <w:rPr>
          <w:rFonts w:eastAsia="MinionPro-Regular" w:cs="Arial"/>
          <w:szCs w:val="20"/>
        </w:rPr>
        <w:t xml:space="preserve">pozyskiwania surowców ze </w:t>
      </w:r>
      <w:r w:rsidR="007A1690" w:rsidRPr="003478AF">
        <w:rPr>
          <w:rFonts w:eastAsia="MinionPro-Regular" w:cs="Arial"/>
          <w:szCs w:val="20"/>
        </w:rPr>
        <w:t xml:space="preserve">źródeł wtórnych jest transformacja gospodarki w </w:t>
      </w:r>
      <w:r w:rsidR="005405C1" w:rsidRPr="003478AF">
        <w:rPr>
          <w:rFonts w:eastAsia="MinionPro-Regular" w:cs="Arial"/>
          <w:szCs w:val="20"/>
        </w:rPr>
        <w:t>kierunku</w:t>
      </w:r>
      <w:r w:rsidR="007A1690" w:rsidRPr="003478AF">
        <w:rPr>
          <w:rFonts w:eastAsia="MinionPro-Regular" w:cs="Arial"/>
          <w:szCs w:val="20"/>
        </w:rPr>
        <w:t xml:space="preserve"> obiegu zamknię</w:t>
      </w:r>
      <w:r w:rsidR="005405C1" w:rsidRPr="003478AF">
        <w:rPr>
          <w:rFonts w:eastAsia="MinionPro-Regular" w:cs="Arial"/>
          <w:szCs w:val="20"/>
        </w:rPr>
        <w:t>tego</w:t>
      </w:r>
      <w:r w:rsidR="007A1690" w:rsidRPr="003478AF">
        <w:rPr>
          <w:rFonts w:eastAsia="MinionPro-Regular" w:cs="Arial"/>
          <w:szCs w:val="20"/>
        </w:rPr>
        <w:t>, przy założeni</w:t>
      </w:r>
      <w:r w:rsidR="00CA1478" w:rsidRPr="003478AF">
        <w:rPr>
          <w:rFonts w:eastAsia="MinionPro-Regular" w:cs="Arial"/>
          <w:szCs w:val="20"/>
        </w:rPr>
        <w:t>u, iż</w:t>
      </w:r>
      <w:r w:rsidR="007A1690" w:rsidRPr="003478AF">
        <w:rPr>
          <w:rFonts w:eastAsia="MinionPro-Regular" w:cs="Arial"/>
          <w:szCs w:val="20"/>
        </w:rPr>
        <w:t xml:space="preserve"> </w:t>
      </w:r>
      <w:r w:rsidR="00CA1478" w:rsidRPr="003478AF">
        <w:rPr>
          <w:rFonts w:eastAsia="MinionPro-Regular" w:cs="Arial"/>
          <w:szCs w:val="20"/>
        </w:rPr>
        <w:t>wszystkie</w:t>
      </w:r>
      <w:r w:rsidR="007A1690" w:rsidRPr="003478AF">
        <w:rPr>
          <w:rFonts w:eastAsia="MinionPro-Regular" w:cs="Arial"/>
          <w:szCs w:val="20"/>
        </w:rPr>
        <w:t xml:space="preserve"> odpady </w:t>
      </w:r>
      <w:r w:rsidR="00CA1478" w:rsidRPr="003478AF">
        <w:rPr>
          <w:rFonts w:eastAsia="MinionPro-Regular" w:cs="Arial"/>
          <w:szCs w:val="20"/>
        </w:rPr>
        <w:t>to</w:t>
      </w:r>
      <w:r w:rsidR="007A1690" w:rsidRPr="003478AF">
        <w:rPr>
          <w:rFonts w:eastAsia="MinionPro-Regular" w:cs="Arial"/>
          <w:szCs w:val="20"/>
        </w:rPr>
        <w:t xml:space="preserve"> potencjalne surowce.</w:t>
      </w:r>
      <w:r w:rsidR="00CA1478" w:rsidRPr="003478AF">
        <w:rPr>
          <w:rFonts w:eastAsia="MinionPro-Regular" w:cs="Arial"/>
          <w:szCs w:val="20"/>
        </w:rPr>
        <w:t xml:space="preserve"> Wdrażani</w:t>
      </w:r>
      <w:r w:rsidR="00AF7A59" w:rsidRPr="003478AF">
        <w:rPr>
          <w:rFonts w:eastAsia="MinionPro-Regular" w:cs="Arial"/>
          <w:szCs w:val="20"/>
        </w:rPr>
        <w:t>u</w:t>
      </w:r>
      <w:r w:rsidR="00CA1478" w:rsidRPr="003478AF">
        <w:rPr>
          <w:rFonts w:eastAsia="MinionPro-Regular" w:cs="Arial"/>
          <w:szCs w:val="20"/>
        </w:rPr>
        <w:t xml:space="preserve"> tej </w:t>
      </w:r>
      <w:r w:rsidR="00CA1478" w:rsidRPr="003478AF">
        <w:rPr>
          <w:rFonts w:eastAsia="MinionPro-Regular" w:cs="Arial"/>
          <w:szCs w:val="20"/>
        </w:rPr>
        <w:lastRenderedPageBreak/>
        <w:t xml:space="preserve">koncepcji ma służyć rozwój systemu </w:t>
      </w:r>
      <w:r w:rsidR="00C239B7" w:rsidRPr="003478AF">
        <w:rPr>
          <w:rFonts w:eastAsia="MinionPro-Regular" w:cs="Arial"/>
          <w:szCs w:val="20"/>
        </w:rPr>
        <w:t>inwentaryzacji składowisk</w:t>
      </w:r>
      <w:r w:rsidR="00CA1478" w:rsidRPr="003478AF">
        <w:rPr>
          <w:rFonts w:eastAsia="MinionPro-Regular" w:cs="Arial"/>
          <w:szCs w:val="20"/>
        </w:rPr>
        <w:t xml:space="preserve"> odpadów</w:t>
      </w:r>
      <w:r w:rsidR="00C239B7" w:rsidRPr="003478AF">
        <w:rPr>
          <w:rFonts w:eastAsia="MinionPro-Regular" w:cs="Arial"/>
          <w:szCs w:val="20"/>
        </w:rPr>
        <w:t xml:space="preserve"> wydobywczych</w:t>
      </w:r>
      <w:r w:rsidR="00CA1478" w:rsidRPr="003478AF">
        <w:rPr>
          <w:rFonts w:eastAsia="MinionPro-Regular" w:cs="Arial"/>
          <w:szCs w:val="20"/>
        </w:rPr>
        <w:t xml:space="preserve">. </w:t>
      </w:r>
      <w:r w:rsidR="007A1690" w:rsidRPr="003478AF">
        <w:rPr>
          <w:rFonts w:eastAsia="MinionPro-Regular" w:cs="Arial"/>
          <w:szCs w:val="20"/>
        </w:rPr>
        <w:t>Efektywne wykorzystanie zasobów</w:t>
      </w:r>
      <w:r w:rsidR="00CA1478" w:rsidRPr="003478AF">
        <w:rPr>
          <w:rFonts w:eastAsia="MinionPro-Regular" w:cs="Arial"/>
          <w:szCs w:val="20"/>
        </w:rPr>
        <w:t xml:space="preserve"> odbywa się poprzez maksymalizację odzysku surowców</w:t>
      </w:r>
      <w:r w:rsidR="007A1690" w:rsidRPr="003478AF">
        <w:rPr>
          <w:rFonts w:eastAsia="MinionPro-Regular" w:cs="Arial"/>
          <w:szCs w:val="20"/>
        </w:rPr>
        <w:t xml:space="preserve"> </w:t>
      </w:r>
      <w:r w:rsidR="00CA1478" w:rsidRPr="003478AF">
        <w:rPr>
          <w:rFonts w:eastAsia="MinionPro-Regular" w:cs="Arial"/>
          <w:szCs w:val="20"/>
        </w:rPr>
        <w:t>oraz minimalizacj</w:t>
      </w:r>
      <w:r w:rsidR="00DD72E8" w:rsidRPr="003478AF">
        <w:rPr>
          <w:rFonts w:eastAsia="MinionPro-Regular" w:cs="Arial"/>
          <w:szCs w:val="20"/>
        </w:rPr>
        <w:t>ę</w:t>
      </w:r>
      <w:r w:rsidR="00CA1478" w:rsidRPr="003478AF">
        <w:rPr>
          <w:rFonts w:eastAsia="MinionPro-Regular" w:cs="Arial"/>
          <w:szCs w:val="20"/>
        </w:rPr>
        <w:t xml:space="preserve"> wytwarzanych odpadów. Kluczowe </w:t>
      </w:r>
      <w:r w:rsidR="00C239B7" w:rsidRPr="003478AF">
        <w:rPr>
          <w:rFonts w:eastAsia="MinionPro-Regular" w:cs="Arial"/>
          <w:szCs w:val="20"/>
        </w:rPr>
        <w:t>działania</w:t>
      </w:r>
      <w:r w:rsidR="00CA1478" w:rsidRPr="003478AF">
        <w:rPr>
          <w:rFonts w:eastAsia="MinionPro-Regular" w:cs="Arial"/>
          <w:szCs w:val="20"/>
        </w:rPr>
        <w:t xml:space="preserve"> </w:t>
      </w:r>
      <w:r w:rsidR="00AF7A59" w:rsidRPr="003478AF">
        <w:rPr>
          <w:rFonts w:eastAsia="MinionPro-Regular" w:cs="Arial"/>
          <w:szCs w:val="20"/>
        </w:rPr>
        <w:t xml:space="preserve">związane z GOZ </w:t>
      </w:r>
      <w:r w:rsidR="0032604C" w:rsidRPr="003478AF">
        <w:rPr>
          <w:rFonts w:eastAsia="MinionPro-Regular" w:cs="Arial"/>
          <w:szCs w:val="20"/>
        </w:rPr>
        <w:t>wskazano</w:t>
      </w:r>
      <w:r w:rsidR="00AF7A59" w:rsidRPr="003478AF">
        <w:rPr>
          <w:rFonts w:eastAsia="MinionPro-Regular" w:cs="Arial"/>
          <w:szCs w:val="20"/>
        </w:rPr>
        <w:t xml:space="preserve"> </w:t>
      </w:r>
      <w:r w:rsidR="001B0CB3" w:rsidRPr="003478AF">
        <w:rPr>
          <w:rFonts w:eastAsia="MinionPro-Regular" w:cs="Arial"/>
          <w:szCs w:val="20"/>
        </w:rPr>
        <w:br/>
      </w:r>
      <w:r w:rsidR="00AF7A59" w:rsidRPr="003478AF">
        <w:rPr>
          <w:rFonts w:eastAsia="MinionPro-Regular" w:cs="Arial"/>
          <w:szCs w:val="20"/>
        </w:rPr>
        <w:t xml:space="preserve">w ramach </w:t>
      </w:r>
      <w:r w:rsidR="00C239B7" w:rsidRPr="003478AF">
        <w:rPr>
          <w:rFonts w:eastAsia="MinionPro-Regular" w:cs="Arial"/>
          <w:szCs w:val="20"/>
        </w:rPr>
        <w:t>Celu szczegółowego</w:t>
      </w:r>
      <w:r w:rsidR="0032604C" w:rsidRPr="003478AF">
        <w:rPr>
          <w:rFonts w:eastAsia="MinionPro-Regular" w:cs="Arial"/>
          <w:szCs w:val="20"/>
        </w:rPr>
        <w:t xml:space="preserve"> </w:t>
      </w:r>
      <w:r w:rsidR="00DE4904" w:rsidRPr="003478AF">
        <w:rPr>
          <w:rFonts w:eastAsia="MinionPro-Regular" w:cs="Arial"/>
          <w:szCs w:val="20"/>
        </w:rPr>
        <w:t xml:space="preserve">6 – </w:t>
      </w:r>
      <w:r w:rsidR="00C239B7" w:rsidRPr="003478AF">
        <w:rPr>
          <w:rFonts w:eastAsia="MinionPro-Regular" w:cs="Arial"/>
          <w:szCs w:val="20"/>
        </w:rPr>
        <w:t xml:space="preserve">Pozyskiwanie surowców ze złóż antropogenicznych oraz wspieranie rozwoju gospodarki o obiegu zamkniętym. </w:t>
      </w:r>
      <w:r w:rsidR="00C13404" w:rsidRPr="003478AF">
        <w:rPr>
          <w:rFonts w:eastAsia="MinionPro-Regular" w:cs="Arial"/>
          <w:szCs w:val="20"/>
        </w:rPr>
        <w:t>Są to</w:t>
      </w:r>
      <w:r w:rsidR="00C239B7" w:rsidRPr="003478AF">
        <w:rPr>
          <w:rFonts w:eastAsia="MinionPro-Regular" w:cs="Arial"/>
          <w:szCs w:val="20"/>
        </w:rPr>
        <w:t>:</w:t>
      </w:r>
      <w:r w:rsidR="00C13404" w:rsidRPr="003478AF">
        <w:rPr>
          <w:rFonts w:eastAsia="MinionPro-Regular" w:cs="Arial"/>
          <w:szCs w:val="20"/>
        </w:rPr>
        <w:t xml:space="preserve"> </w:t>
      </w:r>
      <w:r w:rsidR="00C239B7" w:rsidRPr="003478AF">
        <w:rPr>
          <w:rFonts w:eastAsia="MinionPro-Regular" w:cs="Arial"/>
          <w:szCs w:val="20"/>
        </w:rPr>
        <w:t xml:space="preserve">inwentaryzacje hałd, ocena możliwości wykorzystania składowisk odpadów wydobywczych, budowa bazy wiedzy odnośnie zastosowań i klasyfikacji </w:t>
      </w:r>
      <w:r w:rsidR="008D2EA0" w:rsidRPr="003478AF">
        <w:rPr>
          <w:rFonts w:eastAsia="MinionPro-Regular" w:cs="Arial"/>
          <w:szCs w:val="20"/>
        </w:rPr>
        <w:t xml:space="preserve">surowców z odpadów oraz działania na rzecz rozwoju ich odzysku, </w:t>
      </w:r>
      <w:r w:rsidR="001B0CB3" w:rsidRPr="003478AF">
        <w:rPr>
          <w:rFonts w:eastAsia="MinionPro-Regular" w:cs="Arial"/>
          <w:szCs w:val="20"/>
        </w:rPr>
        <w:br/>
      </w:r>
      <w:r w:rsidR="008D2EA0" w:rsidRPr="003478AF">
        <w:rPr>
          <w:rFonts w:eastAsia="MinionPro-Regular" w:cs="Arial"/>
          <w:szCs w:val="20"/>
        </w:rPr>
        <w:t>w tym rozwój technologii przetwórstwa.</w:t>
      </w:r>
    </w:p>
    <w:p w14:paraId="1F43ABB4" w14:textId="72022BBA" w:rsidR="00C501DE" w:rsidRPr="003478AF" w:rsidRDefault="0020649B" w:rsidP="009824A5">
      <w:pPr>
        <w:autoSpaceDE w:val="0"/>
        <w:autoSpaceDN w:val="0"/>
        <w:adjustRightInd w:val="0"/>
        <w:rPr>
          <w:rFonts w:eastAsia="MinionPro-Regular" w:cs="Arial"/>
          <w:szCs w:val="20"/>
        </w:rPr>
      </w:pPr>
      <w:r w:rsidRPr="003478AF">
        <w:rPr>
          <w:rFonts w:eastAsia="MinionPro-Regular" w:cs="Arial"/>
          <w:szCs w:val="20"/>
        </w:rPr>
        <w:t>Aspekt</w:t>
      </w:r>
      <w:r w:rsidR="00A2371A" w:rsidRPr="003478AF">
        <w:rPr>
          <w:rFonts w:eastAsia="MinionPro-Regular" w:cs="Arial"/>
          <w:szCs w:val="20"/>
        </w:rPr>
        <w:t>y</w:t>
      </w:r>
      <w:r w:rsidRPr="003478AF">
        <w:rPr>
          <w:rFonts w:eastAsia="MinionPro-Regular" w:cs="Arial"/>
          <w:szCs w:val="20"/>
        </w:rPr>
        <w:t xml:space="preserve"> energetyki w koncepcji </w:t>
      </w:r>
      <w:r w:rsidR="000D5EC3" w:rsidRPr="003478AF">
        <w:rPr>
          <w:rFonts w:eastAsia="MinionPro-Regular" w:cs="Arial"/>
          <w:szCs w:val="20"/>
        </w:rPr>
        <w:t>gospodarki</w:t>
      </w:r>
      <w:r w:rsidRPr="003478AF">
        <w:rPr>
          <w:rFonts w:eastAsia="MinionPro-Regular" w:cs="Arial"/>
          <w:szCs w:val="20"/>
        </w:rPr>
        <w:t xml:space="preserve"> cyrkularnej porusz</w:t>
      </w:r>
      <w:r w:rsidR="00DA4544" w:rsidRPr="003478AF">
        <w:rPr>
          <w:rFonts w:eastAsia="MinionPro-Regular" w:cs="Arial"/>
          <w:szCs w:val="20"/>
        </w:rPr>
        <w:t xml:space="preserve">one zostały także </w:t>
      </w:r>
      <w:r w:rsidR="004C5BDE" w:rsidRPr="003478AF">
        <w:rPr>
          <w:rFonts w:eastAsia="MinionPro-Regular" w:cs="Arial"/>
          <w:szCs w:val="20"/>
        </w:rPr>
        <w:br/>
      </w:r>
      <w:r w:rsidR="00DA4544" w:rsidRPr="003478AF">
        <w:rPr>
          <w:rFonts w:eastAsia="MinionPro-Regular" w:cs="Arial"/>
          <w:szCs w:val="20"/>
        </w:rPr>
        <w:t>w</w:t>
      </w:r>
      <w:r w:rsidRPr="003478AF">
        <w:rPr>
          <w:rFonts w:eastAsia="MinionPro-Regular" w:cs="Arial"/>
          <w:szCs w:val="20"/>
        </w:rPr>
        <w:t xml:space="preserve"> </w:t>
      </w:r>
      <w:r w:rsidR="000D5EC3" w:rsidRPr="003478AF">
        <w:rPr>
          <w:rFonts w:eastAsia="MinionPro-Regular" w:cs="Arial"/>
          <w:b/>
          <w:bCs/>
          <w:szCs w:val="20"/>
        </w:rPr>
        <w:t>Polity</w:t>
      </w:r>
      <w:r w:rsidR="00DA4544" w:rsidRPr="003478AF">
        <w:rPr>
          <w:rFonts w:eastAsia="MinionPro-Regular" w:cs="Arial"/>
          <w:b/>
          <w:bCs/>
          <w:szCs w:val="20"/>
        </w:rPr>
        <w:t>ce</w:t>
      </w:r>
      <w:r w:rsidR="000D5EC3" w:rsidRPr="003478AF">
        <w:rPr>
          <w:rFonts w:eastAsia="MinionPro-Regular" w:cs="Arial"/>
          <w:b/>
          <w:bCs/>
          <w:szCs w:val="20"/>
        </w:rPr>
        <w:t xml:space="preserve"> </w:t>
      </w:r>
      <w:r w:rsidR="00DA4544" w:rsidRPr="003478AF">
        <w:rPr>
          <w:rFonts w:eastAsia="MinionPro-Regular" w:cs="Arial"/>
          <w:b/>
          <w:bCs/>
          <w:szCs w:val="20"/>
        </w:rPr>
        <w:t>E</w:t>
      </w:r>
      <w:r w:rsidR="000D5EC3" w:rsidRPr="003478AF">
        <w:rPr>
          <w:rFonts w:eastAsia="MinionPro-Regular" w:cs="Arial"/>
          <w:b/>
          <w:bCs/>
          <w:szCs w:val="20"/>
        </w:rPr>
        <w:t>nergetyczn</w:t>
      </w:r>
      <w:r w:rsidR="00DA4544" w:rsidRPr="003478AF">
        <w:rPr>
          <w:rFonts w:eastAsia="MinionPro-Regular" w:cs="Arial"/>
          <w:b/>
          <w:bCs/>
          <w:szCs w:val="20"/>
        </w:rPr>
        <w:t>ej</w:t>
      </w:r>
      <w:r w:rsidR="000D5EC3" w:rsidRPr="003478AF">
        <w:rPr>
          <w:rFonts w:eastAsia="MinionPro-Regular" w:cs="Arial"/>
          <w:b/>
          <w:bCs/>
          <w:szCs w:val="20"/>
        </w:rPr>
        <w:t xml:space="preserve"> Polski do 2040 roku (PEP)</w:t>
      </w:r>
      <w:r w:rsidR="00C14482" w:rsidRPr="003478AF">
        <w:rPr>
          <w:rStyle w:val="Odwoanieprzypisudolnego"/>
        </w:rPr>
        <w:footnoteReference w:id="50"/>
      </w:r>
      <w:r w:rsidR="000D5EC3" w:rsidRPr="003478AF">
        <w:rPr>
          <w:rFonts w:eastAsia="MinionPro-Regular" w:cs="Arial"/>
          <w:b/>
          <w:bCs/>
          <w:szCs w:val="20"/>
        </w:rPr>
        <w:t xml:space="preserve"> oraz Krajow</w:t>
      </w:r>
      <w:r w:rsidR="00DA4544" w:rsidRPr="003478AF">
        <w:rPr>
          <w:rFonts w:eastAsia="MinionPro-Regular" w:cs="Arial"/>
          <w:b/>
          <w:bCs/>
          <w:szCs w:val="20"/>
        </w:rPr>
        <w:t>ym</w:t>
      </w:r>
      <w:r w:rsidR="000D5EC3" w:rsidRPr="003478AF">
        <w:rPr>
          <w:rFonts w:eastAsia="MinionPro-Regular" w:cs="Arial"/>
          <w:b/>
          <w:bCs/>
          <w:szCs w:val="20"/>
        </w:rPr>
        <w:t xml:space="preserve"> </w:t>
      </w:r>
      <w:r w:rsidR="00DA4544" w:rsidRPr="003478AF">
        <w:rPr>
          <w:rFonts w:eastAsia="MinionPro-Regular" w:cs="Arial"/>
          <w:b/>
          <w:bCs/>
          <w:szCs w:val="20"/>
        </w:rPr>
        <w:t>P</w:t>
      </w:r>
      <w:r w:rsidR="000D5EC3" w:rsidRPr="003478AF">
        <w:rPr>
          <w:rFonts w:eastAsia="MinionPro-Regular" w:cs="Arial"/>
          <w:b/>
          <w:bCs/>
          <w:szCs w:val="20"/>
        </w:rPr>
        <w:t>lan</w:t>
      </w:r>
      <w:r w:rsidR="00DA4544" w:rsidRPr="003478AF">
        <w:rPr>
          <w:rFonts w:eastAsia="MinionPro-Regular" w:cs="Arial"/>
          <w:b/>
          <w:bCs/>
          <w:szCs w:val="20"/>
        </w:rPr>
        <w:t>ie</w:t>
      </w:r>
      <w:r w:rsidR="000D5EC3" w:rsidRPr="003478AF">
        <w:rPr>
          <w:rFonts w:eastAsia="MinionPro-Regular" w:cs="Arial"/>
          <w:b/>
          <w:bCs/>
          <w:szCs w:val="20"/>
        </w:rPr>
        <w:t xml:space="preserve"> na </w:t>
      </w:r>
      <w:r w:rsidR="00DA4544" w:rsidRPr="003478AF">
        <w:rPr>
          <w:rFonts w:eastAsia="MinionPro-Regular" w:cs="Arial"/>
          <w:b/>
          <w:bCs/>
          <w:szCs w:val="20"/>
        </w:rPr>
        <w:t>R</w:t>
      </w:r>
      <w:r w:rsidR="000D5EC3" w:rsidRPr="003478AF">
        <w:rPr>
          <w:rFonts w:eastAsia="MinionPro-Regular" w:cs="Arial"/>
          <w:b/>
          <w:bCs/>
          <w:szCs w:val="20"/>
        </w:rPr>
        <w:t xml:space="preserve">zecz </w:t>
      </w:r>
      <w:r w:rsidR="00DA4544" w:rsidRPr="003478AF">
        <w:rPr>
          <w:rFonts w:eastAsia="MinionPro-Regular" w:cs="Arial"/>
          <w:b/>
          <w:bCs/>
          <w:szCs w:val="20"/>
        </w:rPr>
        <w:t>E</w:t>
      </w:r>
      <w:r w:rsidR="000D5EC3" w:rsidRPr="003478AF">
        <w:rPr>
          <w:rFonts w:eastAsia="MinionPro-Regular" w:cs="Arial"/>
          <w:b/>
          <w:bCs/>
          <w:szCs w:val="20"/>
        </w:rPr>
        <w:t xml:space="preserve">nergii i </w:t>
      </w:r>
      <w:r w:rsidR="00DA4544" w:rsidRPr="003478AF">
        <w:rPr>
          <w:rFonts w:eastAsia="MinionPro-Regular" w:cs="Arial"/>
          <w:b/>
          <w:bCs/>
          <w:szCs w:val="20"/>
        </w:rPr>
        <w:t>K</w:t>
      </w:r>
      <w:r w:rsidR="000D5EC3" w:rsidRPr="003478AF">
        <w:rPr>
          <w:rFonts w:eastAsia="MinionPro-Regular" w:cs="Arial"/>
          <w:b/>
          <w:bCs/>
          <w:szCs w:val="20"/>
        </w:rPr>
        <w:t>limatu na lata 2021-2030</w:t>
      </w:r>
      <w:r w:rsidR="00F91DB2" w:rsidRPr="003478AF">
        <w:rPr>
          <w:rFonts w:eastAsia="MinionPro-Regular" w:cs="Arial"/>
          <w:b/>
          <w:bCs/>
          <w:szCs w:val="20"/>
        </w:rPr>
        <w:t xml:space="preserve"> (KPEiK)</w:t>
      </w:r>
      <w:r w:rsidR="006D7B75" w:rsidRPr="003478AF">
        <w:rPr>
          <w:rStyle w:val="Odwoanieprzypisudolnego"/>
        </w:rPr>
        <w:footnoteReference w:id="51"/>
      </w:r>
      <w:r w:rsidR="000D5EC3" w:rsidRPr="003478AF">
        <w:rPr>
          <w:rFonts w:eastAsia="MinionPro-Regular" w:cs="Arial"/>
          <w:szCs w:val="20"/>
        </w:rPr>
        <w:t>.</w:t>
      </w:r>
      <w:r w:rsidR="009824A5" w:rsidRPr="003478AF">
        <w:rPr>
          <w:rFonts w:eastAsia="MinionPro-Regular" w:cs="Arial"/>
          <w:szCs w:val="20"/>
        </w:rPr>
        <w:t xml:space="preserve"> </w:t>
      </w:r>
      <w:r w:rsidR="00F91DB2" w:rsidRPr="003478AF">
        <w:rPr>
          <w:rFonts w:eastAsia="MinionPro-Regular" w:cs="Arial"/>
          <w:szCs w:val="20"/>
        </w:rPr>
        <w:t xml:space="preserve">KPEiK przedstawia założenia i cele oraz polityki i działania na rzecz realizacji </w:t>
      </w:r>
      <w:r w:rsidR="00491A8B" w:rsidRPr="003478AF">
        <w:rPr>
          <w:rFonts w:eastAsia="MinionPro-Regular" w:cs="Arial"/>
          <w:szCs w:val="20"/>
        </w:rPr>
        <w:t>pięciu</w:t>
      </w:r>
      <w:r w:rsidR="00F91DB2" w:rsidRPr="003478AF">
        <w:rPr>
          <w:rFonts w:eastAsia="MinionPro-Regular" w:cs="Arial"/>
          <w:szCs w:val="20"/>
        </w:rPr>
        <w:t xml:space="preserve"> wymiarów unii energetycznej</w:t>
      </w:r>
      <w:r w:rsidR="008A1C05" w:rsidRPr="003478AF">
        <w:rPr>
          <w:rFonts w:eastAsia="MinionPro-Regular" w:cs="Arial"/>
          <w:szCs w:val="20"/>
        </w:rPr>
        <w:t>,</w:t>
      </w:r>
      <w:r w:rsidR="00F91DB2" w:rsidRPr="003478AF">
        <w:rPr>
          <w:rFonts w:eastAsia="MinionPro-Regular" w:cs="Arial"/>
          <w:szCs w:val="20"/>
        </w:rPr>
        <w:t xml:space="preserve"> tj. bezpieczeństwa energetycznego</w:t>
      </w:r>
      <w:r w:rsidR="00C501DE" w:rsidRPr="003478AF">
        <w:rPr>
          <w:rFonts w:eastAsia="MinionPro-Regular" w:cs="Arial"/>
          <w:szCs w:val="20"/>
        </w:rPr>
        <w:t xml:space="preserve">, </w:t>
      </w:r>
      <w:r w:rsidR="00F91DB2" w:rsidRPr="003478AF">
        <w:rPr>
          <w:rFonts w:eastAsia="MinionPro-Regular" w:cs="Arial"/>
          <w:szCs w:val="20"/>
        </w:rPr>
        <w:t>wewnętrznego rynku energii</w:t>
      </w:r>
      <w:r w:rsidR="00C501DE" w:rsidRPr="003478AF">
        <w:rPr>
          <w:rFonts w:eastAsia="MinionPro-Regular" w:cs="Arial"/>
          <w:szCs w:val="20"/>
        </w:rPr>
        <w:t xml:space="preserve">, </w:t>
      </w:r>
      <w:r w:rsidR="00F91DB2" w:rsidRPr="003478AF">
        <w:rPr>
          <w:rFonts w:eastAsia="MinionPro-Regular" w:cs="Arial"/>
          <w:szCs w:val="20"/>
        </w:rPr>
        <w:t>efektywności energetycznej</w:t>
      </w:r>
      <w:r w:rsidR="00C501DE" w:rsidRPr="003478AF">
        <w:rPr>
          <w:rFonts w:eastAsia="MinionPro-Regular" w:cs="Arial"/>
          <w:szCs w:val="20"/>
        </w:rPr>
        <w:t xml:space="preserve">, </w:t>
      </w:r>
      <w:r w:rsidR="00F91DB2" w:rsidRPr="003478AF">
        <w:rPr>
          <w:rFonts w:eastAsia="MinionPro-Regular" w:cs="Arial"/>
          <w:szCs w:val="20"/>
        </w:rPr>
        <w:t>obniżenia emisyjności oraz badań naukowych, innowacji i konkurencyjności.</w:t>
      </w:r>
      <w:r w:rsidR="009824A5" w:rsidRPr="003478AF">
        <w:rPr>
          <w:rFonts w:eastAsia="MinionPro-Regular" w:cs="Arial"/>
          <w:szCs w:val="20"/>
        </w:rPr>
        <w:t xml:space="preserve"> </w:t>
      </w:r>
      <w:r w:rsidR="00911424" w:rsidRPr="003478AF">
        <w:rPr>
          <w:rFonts w:eastAsia="MinionPro-Regular" w:cs="Arial"/>
          <w:szCs w:val="20"/>
        </w:rPr>
        <w:t xml:space="preserve">W dokumencie wskazano na duży potencjał wykorzystania przetworzonych substancji mineralnych w procesie rekultywacji polskich terenów powydobywczych, po wydobyciu głębinowym i odkrywkowym. Ponadto podkreślono konieczność dopasowania celów w zakresie GOZ do branży wydobywczej. </w:t>
      </w:r>
      <w:r w:rsidR="009824A5" w:rsidRPr="003478AF">
        <w:rPr>
          <w:rFonts w:eastAsia="MinionPro-Regular" w:cs="Arial"/>
          <w:szCs w:val="20"/>
        </w:rPr>
        <w:t xml:space="preserve">Przedsiębiorstwa sektora górniczego powinny w swoich modelach funkcjonowania uwzględniać zmiany rynkowe i legislacyjne, które wpłyną bezpośrednio na ich konkurencyjność w kolejnych latach. </w:t>
      </w:r>
      <w:r w:rsidR="00911424" w:rsidRPr="003478AF">
        <w:rPr>
          <w:rFonts w:eastAsia="MinionPro-Regular" w:cs="Arial"/>
          <w:szCs w:val="20"/>
        </w:rPr>
        <w:t xml:space="preserve">Redukcja potrzeb wydobycia zasobów oraz emisji mogłaby zostać ograniczona poprzez zagospodarowanie odpadów powydobywczych </w:t>
      </w:r>
      <w:r w:rsidR="004C5BDE" w:rsidRPr="003478AF">
        <w:rPr>
          <w:rFonts w:eastAsia="MinionPro-Regular" w:cs="Arial"/>
          <w:szCs w:val="20"/>
        </w:rPr>
        <w:br/>
      </w:r>
      <w:r w:rsidR="00911424" w:rsidRPr="003478AF">
        <w:rPr>
          <w:rFonts w:eastAsia="MinionPro-Regular" w:cs="Arial"/>
          <w:szCs w:val="20"/>
        </w:rPr>
        <w:t>i ubocznych produktów spalania</w:t>
      </w:r>
      <w:r w:rsidR="009824A5" w:rsidRPr="003478AF">
        <w:rPr>
          <w:rFonts w:eastAsia="MinionPro-Regular" w:cs="Arial"/>
          <w:szCs w:val="20"/>
        </w:rPr>
        <w:t xml:space="preserve">. </w:t>
      </w:r>
    </w:p>
    <w:p w14:paraId="5AF8B8A6" w14:textId="65882D5D" w:rsidR="0020649B" w:rsidRPr="003478AF" w:rsidRDefault="00F11648" w:rsidP="00F816C6">
      <w:pPr>
        <w:autoSpaceDE w:val="0"/>
        <w:autoSpaceDN w:val="0"/>
        <w:adjustRightInd w:val="0"/>
        <w:rPr>
          <w:rFonts w:eastAsia="MinionPro-Regular" w:cs="Arial"/>
          <w:szCs w:val="20"/>
        </w:rPr>
      </w:pPr>
      <w:r w:rsidRPr="003478AF">
        <w:rPr>
          <w:rFonts w:eastAsia="MinionPro-Regular" w:cs="Arial"/>
          <w:szCs w:val="20"/>
        </w:rPr>
        <w:t xml:space="preserve">Gospodarka cyrkularna w Polityce </w:t>
      </w:r>
      <w:r w:rsidR="00491A8B" w:rsidRPr="003478AF">
        <w:rPr>
          <w:rFonts w:eastAsia="MinionPro-Regular" w:cs="Arial"/>
          <w:szCs w:val="20"/>
        </w:rPr>
        <w:t>E</w:t>
      </w:r>
      <w:r w:rsidRPr="003478AF">
        <w:rPr>
          <w:rFonts w:eastAsia="MinionPro-Regular" w:cs="Arial"/>
          <w:szCs w:val="20"/>
        </w:rPr>
        <w:t xml:space="preserve">nergetycznej Polski jest określana jako działanie proefektywnościowe minimalizujące wpływ sektora </w:t>
      </w:r>
      <w:r w:rsidR="008A1C05" w:rsidRPr="003478AF">
        <w:rPr>
          <w:rFonts w:eastAsia="MinionPro-Regular" w:cs="Arial"/>
          <w:szCs w:val="20"/>
        </w:rPr>
        <w:t xml:space="preserve">energetycznego </w:t>
      </w:r>
      <w:r w:rsidRPr="003478AF">
        <w:rPr>
          <w:rFonts w:eastAsia="MinionPro-Regular" w:cs="Arial"/>
          <w:szCs w:val="20"/>
        </w:rPr>
        <w:t xml:space="preserve">na środowisko. Instrument ten </w:t>
      </w:r>
      <w:r w:rsidR="009824A5" w:rsidRPr="003478AF">
        <w:rPr>
          <w:rFonts w:eastAsia="MinionPro-Regular" w:cs="Arial"/>
          <w:szCs w:val="20"/>
        </w:rPr>
        <w:t xml:space="preserve">również wskazuje na wykorzystanie ubocznych produktów wydobycia (metan, wodór, kopaliny), co wpłynie na wdrażanie </w:t>
      </w:r>
      <w:r w:rsidR="009C2EE6" w:rsidRPr="003478AF">
        <w:rPr>
          <w:rFonts w:eastAsia="MinionPro-Regular" w:cs="Arial"/>
          <w:szCs w:val="20"/>
        </w:rPr>
        <w:t>GOZ</w:t>
      </w:r>
      <w:r w:rsidR="00D614E3" w:rsidRPr="003478AF">
        <w:rPr>
          <w:rFonts w:eastAsia="MinionPro-Regular" w:cs="Arial"/>
          <w:szCs w:val="20"/>
        </w:rPr>
        <w:t>, jednak w aspekcie podniesienia rentowności eksploatacji węgla kamiennego.</w:t>
      </w:r>
      <w:r w:rsidR="003A2E56" w:rsidRPr="003478AF">
        <w:rPr>
          <w:rFonts w:eastAsia="MinionPro-Regular" w:cs="Arial"/>
          <w:szCs w:val="20"/>
        </w:rPr>
        <w:t xml:space="preserve"> Istotnym obiektem rozważań wpisujących się w ideę </w:t>
      </w:r>
      <w:r w:rsidR="00A1738E" w:rsidRPr="003478AF">
        <w:rPr>
          <w:rFonts w:eastAsia="MinionPro-Regular" w:cs="Arial"/>
          <w:szCs w:val="20"/>
        </w:rPr>
        <w:t>gospodarki</w:t>
      </w:r>
      <w:r w:rsidR="003A2E56" w:rsidRPr="003478AF">
        <w:rPr>
          <w:rFonts w:eastAsia="MinionPro-Regular" w:cs="Arial"/>
          <w:szCs w:val="20"/>
        </w:rPr>
        <w:t xml:space="preserve"> cy</w:t>
      </w:r>
      <w:r w:rsidR="00930E27" w:rsidRPr="003478AF">
        <w:rPr>
          <w:rFonts w:eastAsia="MinionPro-Regular" w:cs="Arial"/>
          <w:szCs w:val="20"/>
        </w:rPr>
        <w:t>r</w:t>
      </w:r>
      <w:r w:rsidR="003A2E56" w:rsidRPr="003478AF">
        <w:rPr>
          <w:rFonts w:eastAsia="MinionPro-Regular" w:cs="Arial"/>
          <w:szCs w:val="20"/>
        </w:rPr>
        <w:t>ku</w:t>
      </w:r>
      <w:r w:rsidR="00930E27" w:rsidRPr="003478AF">
        <w:rPr>
          <w:rFonts w:eastAsia="MinionPro-Regular" w:cs="Arial"/>
          <w:szCs w:val="20"/>
        </w:rPr>
        <w:t>la</w:t>
      </w:r>
      <w:r w:rsidR="003A2E56" w:rsidRPr="003478AF">
        <w:rPr>
          <w:rFonts w:eastAsia="MinionPro-Regular" w:cs="Arial"/>
          <w:szCs w:val="20"/>
        </w:rPr>
        <w:t xml:space="preserve">rnej jest biomasa. </w:t>
      </w:r>
      <w:r w:rsidR="00DE4E6C" w:rsidRPr="003478AF">
        <w:rPr>
          <w:rFonts w:eastAsia="MinionPro-Regular" w:cs="Arial"/>
          <w:szCs w:val="20"/>
        </w:rPr>
        <w:t>Uwzględniając możliwość rozpowszechnienia wizji GOZ oraz konkurencję surowcową między energetyką a przemysłem rolno-spożywczym wskazano na działanie zwiększania wykorzystania biokomponentów pochodzenia odpadowego. Ze</w:t>
      </w:r>
      <w:r w:rsidR="003A2E56" w:rsidRPr="003478AF">
        <w:rPr>
          <w:rFonts w:eastAsia="MinionPro-Regular" w:cs="Arial"/>
          <w:szCs w:val="20"/>
        </w:rPr>
        <w:t xml:space="preserve"> względu na wzrastającą k</w:t>
      </w:r>
      <w:r w:rsidR="00930E27" w:rsidRPr="003478AF">
        <w:rPr>
          <w:rFonts w:eastAsia="MinionPro-Regular" w:cs="Arial"/>
          <w:szCs w:val="20"/>
        </w:rPr>
        <w:t>on</w:t>
      </w:r>
      <w:r w:rsidR="003A2E56" w:rsidRPr="003478AF">
        <w:rPr>
          <w:rFonts w:eastAsia="MinionPro-Regular" w:cs="Arial"/>
          <w:szCs w:val="20"/>
        </w:rPr>
        <w:t>sum</w:t>
      </w:r>
      <w:r w:rsidR="00930E27" w:rsidRPr="003478AF">
        <w:rPr>
          <w:rFonts w:eastAsia="MinionPro-Regular" w:cs="Arial"/>
          <w:szCs w:val="20"/>
        </w:rPr>
        <w:t>p</w:t>
      </w:r>
      <w:r w:rsidR="003A2E56" w:rsidRPr="003478AF">
        <w:rPr>
          <w:rFonts w:eastAsia="MinionPro-Regular" w:cs="Arial"/>
          <w:szCs w:val="20"/>
        </w:rPr>
        <w:t>cję, zwiększony strumie</w:t>
      </w:r>
      <w:r w:rsidR="00E81037" w:rsidRPr="003478AF">
        <w:rPr>
          <w:rFonts w:eastAsia="MinionPro-Regular" w:cs="Arial"/>
          <w:szCs w:val="20"/>
        </w:rPr>
        <w:t>ń</w:t>
      </w:r>
      <w:r w:rsidR="003A2E56" w:rsidRPr="003478AF">
        <w:rPr>
          <w:rFonts w:eastAsia="MinionPro-Regular" w:cs="Arial"/>
          <w:szCs w:val="20"/>
        </w:rPr>
        <w:t xml:space="preserve"> </w:t>
      </w:r>
      <w:r w:rsidR="00930E27" w:rsidRPr="003478AF">
        <w:rPr>
          <w:rFonts w:eastAsia="MinionPro-Regular" w:cs="Arial"/>
          <w:szCs w:val="20"/>
        </w:rPr>
        <w:t>bioodpadów</w:t>
      </w:r>
      <w:r w:rsidR="003A2E56" w:rsidRPr="003478AF">
        <w:rPr>
          <w:rFonts w:eastAsia="MinionPro-Regular" w:cs="Arial"/>
          <w:szCs w:val="20"/>
        </w:rPr>
        <w:t xml:space="preserve"> oraz </w:t>
      </w:r>
      <w:r w:rsidR="00930E27" w:rsidRPr="003478AF">
        <w:rPr>
          <w:rFonts w:eastAsia="MinionPro-Regular" w:cs="Arial"/>
          <w:szCs w:val="20"/>
        </w:rPr>
        <w:t>regulacje</w:t>
      </w:r>
      <w:r w:rsidR="003A2E56" w:rsidRPr="003478AF">
        <w:rPr>
          <w:rFonts w:eastAsia="MinionPro-Regular" w:cs="Arial"/>
          <w:szCs w:val="20"/>
        </w:rPr>
        <w:t xml:space="preserve"> prawne </w:t>
      </w:r>
      <w:r w:rsidR="00930E27" w:rsidRPr="003478AF">
        <w:rPr>
          <w:rFonts w:eastAsia="MinionPro-Regular" w:cs="Arial"/>
          <w:szCs w:val="20"/>
        </w:rPr>
        <w:t>ograniczające</w:t>
      </w:r>
      <w:r w:rsidR="003A2E56" w:rsidRPr="003478AF">
        <w:rPr>
          <w:rFonts w:eastAsia="MinionPro-Regular" w:cs="Arial"/>
          <w:szCs w:val="20"/>
        </w:rPr>
        <w:t xml:space="preserve"> składowanie odpadów wzrasta </w:t>
      </w:r>
      <w:r w:rsidR="007446B1" w:rsidRPr="003478AF">
        <w:rPr>
          <w:rFonts w:eastAsia="MinionPro-Regular" w:cs="Arial"/>
          <w:szCs w:val="20"/>
        </w:rPr>
        <w:t>znaczenie</w:t>
      </w:r>
      <w:r w:rsidR="003A2E56" w:rsidRPr="003478AF">
        <w:rPr>
          <w:rFonts w:eastAsia="MinionPro-Regular" w:cs="Arial"/>
          <w:szCs w:val="20"/>
        </w:rPr>
        <w:t xml:space="preserve"> biomasy w </w:t>
      </w:r>
      <w:r w:rsidR="007446B1" w:rsidRPr="003478AF">
        <w:rPr>
          <w:rFonts w:eastAsia="MinionPro-Regular" w:cs="Arial"/>
          <w:szCs w:val="20"/>
        </w:rPr>
        <w:t>zakresie</w:t>
      </w:r>
      <w:r w:rsidR="003A2E56" w:rsidRPr="003478AF">
        <w:rPr>
          <w:rFonts w:eastAsia="MinionPro-Regular" w:cs="Arial"/>
          <w:szCs w:val="20"/>
        </w:rPr>
        <w:t xml:space="preserve"> jej energetycznego wykorzystania. Biomasa, która po poddaniu hierarchicznemu postępowaniu </w:t>
      </w:r>
      <w:r w:rsidR="001B0CB3" w:rsidRPr="003478AF">
        <w:rPr>
          <w:rFonts w:eastAsia="MinionPro-Regular" w:cs="Arial"/>
          <w:szCs w:val="20"/>
        </w:rPr>
        <w:br/>
      </w:r>
      <w:r w:rsidR="003A2E56" w:rsidRPr="003478AF">
        <w:rPr>
          <w:rFonts w:eastAsia="MinionPro-Regular" w:cs="Arial"/>
          <w:szCs w:val="20"/>
        </w:rPr>
        <w:t xml:space="preserve">z odpadami </w:t>
      </w:r>
      <w:r w:rsidR="002E2129" w:rsidRPr="003478AF">
        <w:rPr>
          <w:rFonts w:eastAsia="MinionPro-Regular" w:cs="Arial"/>
          <w:szCs w:val="20"/>
        </w:rPr>
        <w:t xml:space="preserve">nie została zagospodarowana w innych </w:t>
      </w:r>
      <w:r w:rsidR="007446B1" w:rsidRPr="003478AF">
        <w:rPr>
          <w:rFonts w:eastAsia="MinionPro-Regular" w:cs="Arial"/>
          <w:szCs w:val="20"/>
        </w:rPr>
        <w:t>gałęziach</w:t>
      </w:r>
      <w:r w:rsidR="002E2129" w:rsidRPr="003478AF">
        <w:rPr>
          <w:rFonts w:eastAsia="MinionPro-Regular" w:cs="Arial"/>
          <w:szCs w:val="20"/>
        </w:rPr>
        <w:t xml:space="preserve"> gospodarki, może zostać wykorzystana w celu pozyskania energii lub na potrzeby produkcji </w:t>
      </w:r>
      <w:r w:rsidR="007446B1" w:rsidRPr="003478AF">
        <w:rPr>
          <w:rFonts w:eastAsia="MinionPro-Regular" w:cs="Arial"/>
          <w:szCs w:val="20"/>
        </w:rPr>
        <w:t>biopaliw</w:t>
      </w:r>
      <w:r w:rsidR="002E2129" w:rsidRPr="003478AF">
        <w:rPr>
          <w:rFonts w:eastAsia="MinionPro-Regular" w:cs="Arial"/>
          <w:szCs w:val="20"/>
        </w:rPr>
        <w:t>.</w:t>
      </w:r>
      <w:r w:rsidR="005D3269" w:rsidRPr="003478AF">
        <w:rPr>
          <w:rFonts w:eastAsia="MinionPro-Regular" w:cs="Arial"/>
          <w:szCs w:val="20"/>
        </w:rPr>
        <w:t xml:space="preserve"> Istotne jest </w:t>
      </w:r>
      <w:r w:rsidR="007446B1" w:rsidRPr="003478AF">
        <w:rPr>
          <w:rFonts w:eastAsia="MinionPro-Regular" w:cs="Arial"/>
          <w:szCs w:val="20"/>
        </w:rPr>
        <w:t>także</w:t>
      </w:r>
      <w:r w:rsidR="005D3269" w:rsidRPr="003478AF">
        <w:rPr>
          <w:rFonts w:eastAsia="MinionPro-Regular" w:cs="Arial"/>
          <w:szCs w:val="20"/>
        </w:rPr>
        <w:t xml:space="preserve"> wykorzystanie </w:t>
      </w:r>
      <w:r w:rsidR="009C2EE6" w:rsidRPr="003478AF">
        <w:rPr>
          <w:rFonts w:eastAsia="MinionPro-Regular" w:cs="Arial"/>
          <w:szCs w:val="20"/>
        </w:rPr>
        <w:t xml:space="preserve">na cele transportowe </w:t>
      </w:r>
      <w:r w:rsidR="005D3269" w:rsidRPr="003478AF">
        <w:rPr>
          <w:rFonts w:eastAsia="MinionPro-Regular" w:cs="Arial"/>
          <w:szCs w:val="20"/>
        </w:rPr>
        <w:t>biometanu</w:t>
      </w:r>
      <w:r w:rsidR="00DE4E6C" w:rsidRPr="003478AF">
        <w:rPr>
          <w:rFonts w:eastAsia="MinionPro-Regular" w:cs="Arial"/>
          <w:szCs w:val="20"/>
        </w:rPr>
        <w:t>,</w:t>
      </w:r>
      <w:r w:rsidR="005D3269" w:rsidRPr="003478AF">
        <w:rPr>
          <w:rFonts w:eastAsia="MinionPro-Regular" w:cs="Arial"/>
          <w:szCs w:val="20"/>
        </w:rPr>
        <w:t xml:space="preserve"> wytwarzanego m.in. z odpadów komunalnych i przemysłu rolno-spożywczego</w:t>
      </w:r>
      <w:r w:rsidR="00DE4E6C" w:rsidRPr="003478AF">
        <w:rPr>
          <w:rFonts w:eastAsia="MinionPro-Regular" w:cs="Arial"/>
          <w:szCs w:val="20"/>
        </w:rPr>
        <w:t>, a także</w:t>
      </w:r>
      <w:r w:rsidR="005D3269" w:rsidRPr="003478AF">
        <w:rPr>
          <w:rFonts w:eastAsia="MinionPro-Regular" w:cs="Arial"/>
          <w:szCs w:val="20"/>
        </w:rPr>
        <w:t xml:space="preserve"> rozwój możliwości sieci </w:t>
      </w:r>
      <w:r w:rsidR="00DE4E6C" w:rsidRPr="003478AF">
        <w:rPr>
          <w:rFonts w:eastAsia="MinionPro-Regular" w:cs="Arial"/>
          <w:szCs w:val="20"/>
        </w:rPr>
        <w:t>przesyłu</w:t>
      </w:r>
      <w:r w:rsidR="005D3269" w:rsidRPr="003478AF">
        <w:rPr>
          <w:rFonts w:eastAsia="MinionPro-Regular" w:cs="Arial"/>
          <w:szCs w:val="20"/>
        </w:rPr>
        <w:t xml:space="preserve"> gazów. Zmiana struktury na rynku paliw </w:t>
      </w:r>
      <w:r w:rsidR="00DE4E6C" w:rsidRPr="003478AF">
        <w:rPr>
          <w:rFonts w:eastAsia="MinionPro-Regular" w:cs="Arial"/>
          <w:szCs w:val="20"/>
        </w:rPr>
        <w:t>związana</w:t>
      </w:r>
      <w:r w:rsidR="005D3269" w:rsidRPr="003478AF">
        <w:rPr>
          <w:rFonts w:eastAsia="MinionPro-Regular" w:cs="Arial"/>
          <w:szCs w:val="20"/>
        </w:rPr>
        <w:t xml:space="preserve"> jest także z </w:t>
      </w:r>
      <w:r w:rsidR="00DE4E6C" w:rsidRPr="003478AF">
        <w:rPr>
          <w:rFonts w:eastAsia="MinionPro-Regular" w:cs="Arial"/>
          <w:szCs w:val="20"/>
        </w:rPr>
        <w:t>możliwościami</w:t>
      </w:r>
      <w:r w:rsidR="005D3269" w:rsidRPr="003478AF">
        <w:rPr>
          <w:rFonts w:eastAsia="MinionPro-Regular" w:cs="Arial"/>
          <w:szCs w:val="20"/>
        </w:rPr>
        <w:t xml:space="preserve"> rozwoju paliw alternatywnych</w:t>
      </w:r>
      <w:r w:rsidRPr="003478AF">
        <w:rPr>
          <w:rFonts w:eastAsia="MinionPro-Regular" w:cs="Arial"/>
          <w:szCs w:val="20"/>
        </w:rPr>
        <w:t xml:space="preserve">, m.in. wodoru. Poza zielonym wodorem (na który ukierunkowane </w:t>
      </w:r>
      <w:r w:rsidR="00DE4E6C" w:rsidRPr="003478AF">
        <w:rPr>
          <w:rFonts w:eastAsia="MinionPro-Regular" w:cs="Arial"/>
          <w:szCs w:val="20"/>
        </w:rPr>
        <w:t>są</w:t>
      </w:r>
      <w:r w:rsidRPr="003478AF">
        <w:rPr>
          <w:rFonts w:eastAsia="MinionPro-Regular" w:cs="Arial"/>
          <w:szCs w:val="20"/>
        </w:rPr>
        <w:t xml:space="preserve"> st</w:t>
      </w:r>
      <w:r w:rsidR="00DE4E6C" w:rsidRPr="003478AF">
        <w:rPr>
          <w:rFonts w:eastAsia="MinionPro-Regular" w:cs="Arial"/>
          <w:szCs w:val="20"/>
        </w:rPr>
        <w:t>r</w:t>
      </w:r>
      <w:r w:rsidRPr="003478AF">
        <w:rPr>
          <w:rFonts w:eastAsia="MinionPro-Regular" w:cs="Arial"/>
          <w:szCs w:val="20"/>
        </w:rPr>
        <w:t>a</w:t>
      </w:r>
      <w:r w:rsidR="00DE4E6C" w:rsidRPr="003478AF">
        <w:rPr>
          <w:rFonts w:eastAsia="MinionPro-Regular" w:cs="Arial"/>
          <w:szCs w:val="20"/>
        </w:rPr>
        <w:t>te</w:t>
      </w:r>
      <w:r w:rsidRPr="003478AF">
        <w:rPr>
          <w:rFonts w:eastAsia="MinionPro-Regular" w:cs="Arial"/>
          <w:szCs w:val="20"/>
        </w:rPr>
        <w:t xml:space="preserve">gie </w:t>
      </w:r>
      <w:r w:rsidR="00DE4E6C" w:rsidRPr="003478AF">
        <w:rPr>
          <w:rFonts w:eastAsia="MinionPro-Regular" w:cs="Arial"/>
          <w:szCs w:val="20"/>
        </w:rPr>
        <w:t>europejskie</w:t>
      </w:r>
      <w:r w:rsidRPr="003478AF">
        <w:rPr>
          <w:rFonts w:eastAsia="MinionPro-Regular" w:cs="Arial"/>
          <w:szCs w:val="20"/>
        </w:rPr>
        <w:t>), możliw</w:t>
      </w:r>
      <w:r w:rsidR="00DE4E6C" w:rsidRPr="003478AF">
        <w:rPr>
          <w:rFonts w:eastAsia="MinionPro-Regular" w:cs="Arial"/>
          <w:szCs w:val="20"/>
        </w:rPr>
        <w:t xml:space="preserve">e </w:t>
      </w:r>
      <w:r w:rsidRPr="003478AF">
        <w:rPr>
          <w:rFonts w:eastAsia="MinionPro-Regular" w:cs="Arial"/>
          <w:szCs w:val="20"/>
        </w:rPr>
        <w:t>jest także w</w:t>
      </w:r>
      <w:r w:rsidR="00DE4E6C" w:rsidRPr="003478AF">
        <w:rPr>
          <w:rFonts w:eastAsia="MinionPro-Regular" w:cs="Arial"/>
          <w:szCs w:val="20"/>
        </w:rPr>
        <w:t xml:space="preserve"> </w:t>
      </w:r>
      <w:r w:rsidRPr="003478AF">
        <w:rPr>
          <w:rFonts w:eastAsia="MinionPro-Regular" w:cs="Arial"/>
          <w:szCs w:val="20"/>
        </w:rPr>
        <w:t xml:space="preserve">okresie przejściowym pozyskiwanie wodoru ze źródeł niskoemisyjnych, </w:t>
      </w:r>
      <w:r w:rsidR="008A1C05" w:rsidRPr="003478AF">
        <w:rPr>
          <w:rFonts w:eastAsia="MinionPro-Regular" w:cs="Arial"/>
          <w:szCs w:val="20"/>
        </w:rPr>
        <w:lastRenderedPageBreak/>
        <w:t>np</w:t>
      </w:r>
      <w:r w:rsidRPr="003478AF">
        <w:rPr>
          <w:rFonts w:eastAsia="MinionPro-Regular" w:cs="Arial"/>
          <w:szCs w:val="20"/>
        </w:rPr>
        <w:t xml:space="preserve">. z biometanu. </w:t>
      </w:r>
      <w:r w:rsidR="00DE4E6C" w:rsidRPr="003478AF">
        <w:rPr>
          <w:rFonts w:eastAsia="MinionPro-Regular" w:cs="Arial"/>
          <w:szCs w:val="20"/>
        </w:rPr>
        <w:t>Osiągnięciu</w:t>
      </w:r>
      <w:r w:rsidRPr="003478AF">
        <w:rPr>
          <w:rFonts w:eastAsia="MinionPro-Regular" w:cs="Arial"/>
          <w:szCs w:val="20"/>
        </w:rPr>
        <w:t xml:space="preserve"> celu rozwoju </w:t>
      </w:r>
      <w:r w:rsidR="00DE4E6C" w:rsidRPr="003478AF">
        <w:rPr>
          <w:rFonts w:eastAsia="MinionPro-Regular" w:cs="Arial"/>
          <w:szCs w:val="20"/>
        </w:rPr>
        <w:t>ciepłownictwa</w:t>
      </w:r>
      <w:r w:rsidRPr="003478AF">
        <w:rPr>
          <w:rFonts w:eastAsia="MinionPro-Regular" w:cs="Arial"/>
          <w:szCs w:val="20"/>
        </w:rPr>
        <w:t xml:space="preserve"> systemowego ma sprzyjać zwiększenie wykorzystania ciepła wytworzonego w instalacjach termicznego przekształcania odpadów, przy zachowaniu unijnej hierarchii sposobów postępowania z odpadami. </w:t>
      </w:r>
    </w:p>
    <w:p w14:paraId="21FAE1B4" w14:textId="07338D5C" w:rsidR="00146771" w:rsidRPr="003478AF" w:rsidRDefault="005718FE" w:rsidP="00F816C6">
      <w:pPr>
        <w:autoSpaceDE w:val="0"/>
        <w:autoSpaceDN w:val="0"/>
        <w:adjustRightInd w:val="0"/>
        <w:rPr>
          <w:rFonts w:cs="Arial"/>
          <w:szCs w:val="20"/>
          <w:lang w:eastAsia="pl-PL"/>
        </w:rPr>
      </w:pPr>
      <w:r w:rsidRPr="003478AF">
        <w:rPr>
          <w:rFonts w:cs="Arial"/>
          <w:szCs w:val="20"/>
          <w:lang w:eastAsia="pl-PL"/>
        </w:rPr>
        <w:t xml:space="preserve">Kwestie </w:t>
      </w:r>
      <w:r w:rsidR="009258E4" w:rsidRPr="003478AF">
        <w:rPr>
          <w:rFonts w:cs="Arial"/>
          <w:szCs w:val="20"/>
          <w:lang w:eastAsia="pl-PL"/>
        </w:rPr>
        <w:t>rozwinięcia</w:t>
      </w:r>
      <w:r w:rsidRPr="003478AF">
        <w:rPr>
          <w:rFonts w:cs="Arial"/>
          <w:szCs w:val="20"/>
          <w:lang w:eastAsia="pl-PL"/>
        </w:rPr>
        <w:t xml:space="preserve"> </w:t>
      </w:r>
      <w:r w:rsidR="009258E4" w:rsidRPr="003478AF">
        <w:rPr>
          <w:rFonts w:cs="Arial"/>
          <w:szCs w:val="20"/>
          <w:lang w:eastAsia="pl-PL"/>
        </w:rPr>
        <w:t xml:space="preserve">niskoemisyjnej gospodarki opartej o </w:t>
      </w:r>
      <w:r w:rsidRPr="003478AF">
        <w:rPr>
          <w:rFonts w:cs="Arial"/>
          <w:szCs w:val="20"/>
          <w:lang w:eastAsia="pl-PL"/>
        </w:rPr>
        <w:t>wod</w:t>
      </w:r>
      <w:r w:rsidR="009258E4" w:rsidRPr="003478AF">
        <w:rPr>
          <w:rFonts w:cs="Arial"/>
          <w:szCs w:val="20"/>
          <w:lang w:eastAsia="pl-PL"/>
        </w:rPr>
        <w:t>ór określa</w:t>
      </w:r>
      <w:r w:rsidRPr="003478AF">
        <w:rPr>
          <w:rFonts w:cs="Arial"/>
          <w:szCs w:val="20"/>
          <w:lang w:eastAsia="pl-PL"/>
        </w:rPr>
        <w:t xml:space="preserve"> </w:t>
      </w:r>
      <w:r w:rsidR="005C5755" w:rsidRPr="003478AF">
        <w:rPr>
          <w:rFonts w:cs="Arial"/>
          <w:szCs w:val="20"/>
          <w:lang w:eastAsia="pl-PL"/>
        </w:rPr>
        <w:t>p</w:t>
      </w:r>
      <w:r w:rsidR="006125FE" w:rsidRPr="003478AF">
        <w:rPr>
          <w:rFonts w:cs="Arial"/>
          <w:szCs w:val="20"/>
          <w:lang w:eastAsia="pl-PL"/>
        </w:rPr>
        <w:t xml:space="preserve">rojekt </w:t>
      </w:r>
      <w:r w:rsidR="006125FE" w:rsidRPr="003478AF">
        <w:rPr>
          <w:rFonts w:cs="Arial"/>
          <w:b/>
          <w:bCs/>
          <w:szCs w:val="20"/>
          <w:lang w:eastAsia="pl-PL"/>
        </w:rPr>
        <w:t>Polskiej Strategii Wodorowej do roku 2030 z perspektywą do 2040 r</w:t>
      </w:r>
      <w:r w:rsidR="00491A8B" w:rsidRPr="003478AF">
        <w:rPr>
          <w:rFonts w:cs="Arial"/>
          <w:b/>
          <w:bCs/>
          <w:szCs w:val="20"/>
          <w:lang w:eastAsia="pl-PL"/>
        </w:rPr>
        <w:t>oku</w:t>
      </w:r>
      <w:r w:rsidR="00491A8B" w:rsidRPr="003478AF">
        <w:rPr>
          <w:rStyle w:val="Odwoanieprzypisudolnego"/>
          <w:rFonts w:cs="Arial"/>
          <w:b/>
          <w:bCs/>
          <w:szCs w:val="20"/>
          <w:lang w:eastAsia="pl-PL"/>
        </w:rPr>
        <w:footnoteReference w:id="52"/>
      </w:r>
      <w:r w:rsidR="00491A8B" w:rsidRPr="003478AF">
        <w:rPr>
          <w:rFonts w:cs="Arial"/>
          <w:b/>
          <w:bCs/>
          <w:szCs w:val="20"/>
          <w:lang w:eastAsia="pl-PL"/>
        </w:rPr>
        <w:t>.</w:t>
      </w:r>
      <w:r w:rsidR="006125FE" w:rsidRPr="003478AF">
        <w:rPr>
          <w:rFonts w:cs="Arial"/>
          <w:szCs w:val="20"/>
          <w:lang w:eastAsia="pl-PL"/>
        </w:rPr>
        <w:t xml:space="preserve"> W dokumencie </w:t>
      </w:r>
      <w:r w:rsidR="009C2EE6" w:rsidRPr="003478AF">
        <w:rPr>
          <w:rFonts w:cs="Arial"/>
          <w:szCs w:val="20"/>
          <w:lang w:eastAsia="pl-PL"/>
        </w:rPr>
        <w:t xml:space="preserve">tym </w:t>
      </w:r>
      <w:r w:rsidR="006125FE" w:rsidRPr="003478AF">
        <w:rPr>
          <w:rFonts w:cs="Arial"/>
          <w:szCs w:val="20"/>
          <w:lang w:eastAsia="pl-PL"/>
        </w:rPr>
        <w:t xml:space="preserve">wskazano </w:t>
      </w:r>
      <w:r w:rsidR="00821C66" w:rsidRPr="003478AF">
        <w:rPr>
          <w:rFonts w:cs="Arial"/>
          <w:szCs w:val="20"/>
          <w:lang w:eastAsia="pl-PL"/>
        </w:rPr>
        <w:t>sze</w:t>
      </w:r>
      <w:r w:rsidR="0020649B" w:rsidRPr="003478AF">
        <w:rPr>
          <w:rFonts w:cs="Arial"/>
          <w:szCs w:val="20"/>
          <w:lang w:eastAsia="pl-PL"/>
        </w:rPr>
        <w:t>ść</w:t>
      </w:r>
      <w:r w:rsidR="006125FE" w:rsidRPr="003478AF">
        <w:rPr>
          <w:rFonts w:cs="Arial"/>
          <w:szCs w:val="20"/>
          <w:lang w:eastAsia="pl-PL"/>
        </w:rPr>
        <w:t xml:space="preserve"> celów (wdrożenie technologii wodorowych w energetyce; wykorzystanie wodoru jako paliwa alternatywnego w transporcie; wsparcie dekarbonizacji przemysłu; produkcja wodoru w nowych instalacjach; sprawna i bezpieczna dystrybucja wodoru; stworzenie stabilnego otoczenia regulacyjnego)</w:t>
      </w:r>
      <w:r w:rsidR="009258E4" w:rsidRPr="003478AF">
        <w:rPr>
          <w:rFonts w:cs="Arial"/>
          <w:szCs w:val="20"/>
          <w:lang w:eastAsia="pl-PL"/>
        </w:rPr>
        <w:t>, odnoszących się do trzech sektorów wykorzystania wodoru – energetyki, transportu i przemysłu</w:t>
      </w:r>
      <w:r w:rsidR="006125FE" w:rsidRPr="003478AF">
        <w:rPr>
          <w:rFonts w:cs="Arial"/>
          <w:szCs w:val="20"/>
          <w:lang w:eastAsia="pl-PL"/>
        </w:rPr>
        <w:t xml:space="preserve">. </w:t>
      </w:r>
      <w:r w:rsidR="00D7314A" w:rsidRPr="003478AF">
        <w:rPr>
          <w:rFonts w:cs="Arial"/>
          <w:szCs w:val="20"/>
          <w:lang w:eastAsia="pl-PL"/>
        </w:rPr>
        <w:t xml:space="preserve">W </w:t>
      </w:r>
      <w:r w:rsidR="006125FE" w:rsidRPr="003478AF">
        <w:rPr>
          <w:rFonts w:cs="Arial"/>
          <w:szCs w:val="20"/>
          <w:lang w:eastAsia="pl-PL"/>
        </w:rPr>
        <w:t>ramach wsparcia</w:t>
      </w:r>
      <w:r w:rsidR="00D7314A" w:rsidRPr="003478AF">
        <w:rPr>
          <w:rFonts w:cs="Arial"/>
          <w:szCs w:val="20"/>
          <w:lang w:eastAsia="pl-PL"/>
        </w:rPr>
        <w:t xml:space="preserve"> dekarbonizacji przemysłu przewiduje się wsparcie finansowe i organizacyjne studiów wykonalności przemysłowych dolin wodorowych w ramach budowy przemysłowych procesów o obiegu zamkniętym</w:t>
      </w:r>
      <w:r w:rsidR="00D842B7" w:rsidRPr="003478AF">
        <w:rPr>
          <w:rFonts w:cs="Arial"/>
          <w:szCs w:val="20"/>
          <w:lang w:eastAsia="pl-PL"/>
        </w:rPr>
        <w:t xml:space="preserve"> (uruchomienie Programu Wsparcia Technologii Wodorowych N</w:t>
      </w:r>
      <w:r w:rsidR="008A1C05" w:rsidRPr="003478AF">
        <w:rPr>
          <w:rFonts w:cs="Arial"/>
          <w:szCs w:val="20"/>
          <w:lang w:eastAsia="pl-PL"/>
        </w:rPr>
        <w:t>arodowego Centrum Badań i Rozwoju</w:t>
      </w:r>
      <w:r w:rsidR="00D842B7" w:rsidRPr="003478AF">
        <w:rPr>
          <w:rFonts w:cs="Arial"/>
          <w:szCs w:val="20"/>
          <w:lang w:eastAsia="pl-PL"/>
        </w:rPr>
        <w:t>).</w:t>
      </w:r>
    </w:p>
    <w:p w14:paraId="1E1BAECB" w14:textId="77777777" w:rsidR="00B91DF8" w:rsidRPr="003478AF" w:rsidRDefault="00B91DF8" w:rsidP="00F816C6">
      <w:pPr>
        <w:autoSpaceDE w:val="0"/>
        <w:autoSpaceDN w:val="0"/>
        <w:adjustRightInd w:val="0"/>
        <w:rPr>
          <w:rFonts w:cs="Arial"/>
          <w:szCs w:val="20"/>
          <w:lang w:eastAsia="pl-PL"/>
        </w:rPr>
      </w:pPr>
    </w:p>
    <w:p w14:paraId="46DA0FA1" w14:textId="77777777" w:rsidR="00146771" w:rsidRPr="003478AF" w:rsidRDefault="00146771" w:rsidP="00214AD8">
      <w:pPr>
        <w:autoSpaceDE w:val="0"/>
        <w:autoSpaceDN w:val="0"/>
        <w:adjustRightInd w:val="0"/>
        <w:spacing w:line="240" w:lineRule="auto"/>
        <w:ind w:firstLine="0"/>
        <w:rPr>
          <w:rFonts w:cs="Arial"/>
          <w:sz w:val="19"/>
          <w:szCs w:val="19"/>
          <w:lang w:eastAsia="pl-PL"/>
        </w:rPr>
      </w:pPr>
    </w:p>
    <w:p w14:paraId="48FBA41A" w14:textId="40CF3949" w:rsidR="00880B14" w:rsidRPr="003478AF" w:rsidRDefault="00B931B0" w:rsidP="00194CA4">
      <w:pPr>
        <w:pStyle w:val="Nagwek3"/>
      </w:pPr>
      <w:bookmarkStart w:id="29" w:name="_Toc82159992"/>
      <w:r w:rsidRPr="003478AF">
        <w:t>2.2.3</w:t>
      </w:r>
      <w:r w:rsidR="009565FC" w:rsidRPr="003478AF">
        <w:t>.</w:t>
      </w:r>
      <w:r w:rsidRPr="003478AF">
        <w:t xml:space="preserve"> </w:t>
      </w:r>
      <w:r w:rsidR="00880B14" w:rsidRPr="003478AF">
        <w:t>Poziom wojewódzki (regionalny)</w:t>
      </w:r>
      <w:bookmarkEnd w:id="29"/>
    </w:p>
    <w:p w14:paraId="4D8E823C" w14:textId="28BB8FFC" w:rsidR="00100534" w:rsidRPr="003478AF" w:rsidRDefault="005A0E32" w:rsidP="00AC75E7">
      <w:pPr>
        <w:autoSpaceDE w:val="0"/>
        <w:autoSpaceDN w:val="0"/>
        <w:adjustRightInd w:val="0"/>
        <w:rPr>
          <w:rFonts w:eastAsia="MinionPro-Regular" w:cs="Arial"/>
          <w:szCs w:val="20"/>
        </w:rPr>
      </w:pPr>
      <w:r w:rsidRPr="003478AF">
        <w:rPr>
          <w:rFonts w:eastAsia="MinionPro-Regular" w:cs="Arial"/>
          <w:iCs/>
        </w:rPr>
        <w:t>Opracowane na poziomie regionalny</w:t>
      </w:r>
      <w:r w:rsidR="00B92A43" w:rsidRPr="003478AF">
        <w:rPr>
          <w:rFonts w:eastAsia="MinionPro-Regular" w:cs="Arial"/>
          <w:iCs/>
        </w:rPr>
        <w:t>m</w:t>
      </w:r>
      <w:r w:rsidRPr="003478AF">
        <w:rPr>
          <w:rFonts w:eastAsia="MinionPro-Regular" w:cs="Arial"/>
          <w:iCs/>
        </w:rPr>
        <w:t xml:space="preserve"> strategie i plany działań są zgodne </w:t>
      </w:r>
      <w:r w:rsidR="00CB7DB0" w:rsidRPr="003478AF">
        <w:rPr>
          <w:rFonts w:eastAsia="MinionPro-Regular" w:cs="Arial"/>
          <w:iCs/>
        </w:rPr>
        <w:br/>
      </w:r>
      <w:r w:rsidRPr="003478AF">
        <w:rPr>
          <w:rFonts w:eastAsia="MinionPro-Regular" w:cs="Arial"/>
          <w:iCs/>
        </w:rPr>
        <w:t xml:space="preserve">z </w:t>
      </w:r>
      <w:r w:rsidR="003B32E9" w:rsidRPr="003478AF">
        <w:rPr>
          <w:rFonts w:eastAsia="MinionPro-Regular" w:cs="Arial"/>
          <w:iCs/>
        </w:rPr>
        <w:t>instrumentami</w:t>
      </w:r>
      <w:r w:rsidRPr="003478AF">
        <w:rPr>
          <w:rFonts w:eastAsia="MinionPro-Regular" w:cs="Arial"/>
          <w:iCs/>
        </w:rPr>
        <w:t xml:space="preserve"> </w:t>
      </w:r>
      <w:r w:rsidR="003B32E9" w:rsidRPr="003478AF">
        <w:rPr>
          <w:rFonts w:eastAsia="MinionPro-Regular" w:cs="Arial"/>
          <w:iCs/>
        </w:rPr>
        <w:t>wdrażanymi</w:t>
      </w:r>
      <w:r w:rsidRPr="003478AF">
        <w:rPr>
          <w:rFonts w:eastAsia="MinionPro-Regular" w:cs="Arial"/>
          <w:iCs/>
        </w:rPr>
        <w:t xml:space="preserve"> na poz</w:t>
      </w:r>
      <w:r w:rsidR="003B32E9" w:rsidRPr="003478AF">
        <w:rPr>
          <w:rFonts w:eastAsia="MinionPro-Regular" w:cs="Arial"/>
          <w:iCs/>
        </w:rPr>
        <w:t>io</w:t>
      </w:r>
      <w:r w:rsidRPr="003478AF">
        <w:rPr>
          <w:rFonts w:eastAsia="MinionPro-Regular" w:cs="Arial"/>
          <w:iCs/>
        </w:rPr>
        <w:t xml:space="preserve">mie krajowym </w:t>
      </w:r>
      <w:r w:rsidR="00821C66" w:rsidRPr="003478AF">
        <w:rPr>
          <w:rFonts w:eastAsia="MinionPro-Regular" w:cs="Arial"/>
          <w:iCs/>
        </w:rPr>
        <w:t>(</w:t>
      </w:r>
      <w:r w:rsidR="00381971" w:rsidRPr="003478AF">
        <w:rPr>
          <w:rFonts w:eastAsia="MinionPro-Regular" w:cs="Arial"/>
          <w:iCs/>
        </w:rPr>
        <w:t>ryc.</w:t>
      </w:r>
      <w:r w:rsidR="00844C70" w:rsidRPr="003478AF">
        <w:rPr>
          <w:rFonts w:eastAsia="MinionPro-Regular" w:cs="Arial"/>
          <w:iCs/>
        </w:rPr>
        <w:t xml:space="preserve"> </w:t>
      </w:r>
      <w:r w:rsidR="00E5109D" w:rsidRPr="003478AF">
        <w:rPr>
          <w:rFonts w:eastAsia="MinionPro-Regular" w:cs="Arial"/>
          <w:iCs/>
        </w:rPr>
        <w:t>2</w:t>
      </w:r>
      <w:r w:rsidR="00844C70" w:rsidRPr="003478AF">
        <w:rPr>
          <w:rFonts w:eastAsia="MinionPro-Regular" w:cs="Arial"/>
          <w:iCs/>
        </w:rPr>
        <w:t>.</w:t>
      </w:r>
      <w:r w:rsidR="00E5109D" w:rsidRPr="003478AF">
        <w:rPr>
          <w:rFonts w:eastAsia="MinionPro-Regular" w:cs="Arial"/>
          <w:iCs/>
        </w:rPr>
        <w:t>5</w:t>
      </w:r>
      <w:r w:rsidR="00821C66" w:rsidRPr="003478AF">
        <w:rPr>
          <w:rFonts w:eastAsia="MinionPro-Regular" w:cs="Arial"/>
          <w:iCs/>
        </w:rPr>
        <w:t>) oraz</w:t>
      </w:r>
      <w:r w:rsidRPr="003478AF">
        <w:rPr>
          <w:rFonts w:eastAsia="MinionPro-Regular" w:cs="Arial"/>
          <w:iCs/>
        </w:rPr>
        <w:t xml:space="preserve"> </w:t>
      </w:r>
      <w:r w:rsidR="003B32E9" w:rsidRPr="003478AF">
        <w:rPr>
          <w:rFonts w:eastAsia="MinionPro-Regular" w:cs="Arial"/>
          <w:iCs/>
        </w:rPr>
        <w:t>europejskim</w:t>
      </w:r>
      <w:r w:rsidRPr="003478AF">
        <w:rPr>
          <w:rFonts w:eastAsia="MinionPro-Regular" w:cs="Arial"/>
          <w:iCs/>
        </w:rPr>
        <w:t xml:space="preserve">. </w:t>
      </w:r>
      <w:r w:rsidR="00B92A43" w:rsidRPr="003478AF">
        <w:rPr>
          <w:rFonts w:eastAsia="MinionPro-Regular" w:cs="Arial"/>
          <w:iCs/>
        </w:rPr>
        <w:t xml:space="preserve">Kluczowym dokumentem strategicznym jest </w:t>
      </w:r>
      <w:r w:rsidR="00B92A43" w:rsidRPr="003478AF">
        <w:rPr>
          <w:rFonts w:eastAsia="MinionPro-Regular" w:cs="Arial"/>
          <w:b/>
          <w:bCs/>
          <w:szCs w:val="20"/>
        </w:rPr>
        <w:t>Strategia rozwoju województwa wielkopolskiego do 2030 roku</w:t>
      </w:r>
      <w:r w:rsidR="00B92A43" w:rsidRPr="003478AF">
        <w:rPr>
          <w:rStyle w:val="Odwoanieprzypisudolnego"/>
        </w:rPr>
        <w:footnoteReference w:id="53"/>
      </w:r>
      <w:r w:rsidR="00B92A43" w:rsidRPr="003478AF">
        <w:rPr>
          <w:rFonts w:eastAsia="MinionPro-Regular" w:cs="Arial"/>
          <w:szCs w:val="20"/>
        </w:rPr>
        <w:t xml:space="preserve"> (</w:t>
      </w:r>
      <w:r w:rsidR="000D0E90" w:rsidRPr="003478AF">
        <w:rPr>
          <w:rFonts w:eastAsia="MinionPro-Regular" w:cs="Arial"/>
          <w:szCs w:val="20"/>
        </w:rPr>
        <w:t>SRWW</w:t>
      </w:r>
      <w:r w:rsidR="00B92A43" w:rsidRPr="003478AF">
        <w:rPr>
          <w:rFonts w:eastAsia="MinionPro-Regular" w:cs="Arial"/>
          <w:szCs w:val="20"/>
        </w:rPr>
        <w:t>).</w:t>
      </w:r>
    </w:p>
    <w:p w14:paraId="3F043982" w14:textId="77777777" w:rsidR="00B91DF8" w:rsidRPr="003478AF" w:rsidRDefault="00B91DF8" w:rsidP="00B91DF8">
      <w:pPr>
        <w:autoSpaceDE w:val="0"/>
        <w:autoSpaceDN w:val="0"/>
        <w:adjustRightInd w:val="0"/>
        <w:rPr>
          <w:rFonts w:eastAsia="MinionPro-Regular" w:cs="Arial"/>
          <w:szCs w:val="20"/>
        </w:rPr>
      </w:pPr>
      <w:r w:rsidRPr="003478AF">
        <w:rPr>
          <w:rFonts w:eastAsia="MinionPro-Regular" w:cs="Arial"/>
          <w:szCs w:val="20"/>
        </w:rPr>
        <w:t xml:space="preserve">W ramach </w:t>
      </w:r>
      <w:r w:rsidRPr="003478AF">
        <w:rPr>
          <w:rFonts w:eastAsia="MinionPro-Regular" w:cs="Arial"/>
          <w:iCs/>
          <w:szCs w:val="20"/>
        </w:rPr>
        <w:t>SRWW</w:t>
      </w:r>
      <w:r w:rsidRPr="003478AF">
        <w:rPr>
          <w:rFonts w:eastAsia="MinionPro-Regular" w:cs="Arial"/>
          <w:szCs w:val="20"/>
        </w:rPr>
        <w:t xml:space="preserve"> wskazano kluczowe wyzwania dla Wielkopolski. Jednym z nich jest poprawa warunków życia z poszanowaniem środowiska przyrodniczego. Istotną rolę w tym względzie będzie odgrywało wdrażanie modelu gospodarki cyrkularnej, zmniejszającego presję na środowisko i zasoby naturalne. Wśród najważniejszych czynników egzogennych rozwoju regionu, wynikających ze światowych trendów, wskazano na szansę rozwinięcia sektorów biogospodarki, GOZ i zielonej gospodarki.</w:t>
      </w:r>
    </w:p>
    <w:p w14:paraId="201F0E30" w14:textId="6965A194" w:rsidR="00B91DF8" w:rsidRPr="003478AF" w:rsidRDefault="00B91DF8" w:rsidP="00B91DF8">
      <w:pPr>
        <w:autoSpaceDE w:val="0"/>
        <w:autoSpaceDN w:val="0"/>
        <w:adjustRightInd w:val="0"/>
        <w:rPr>
          <w:rFonts w:eastAsia="MinionPro-Regular" w:cs="Arial"/>
        </w:rPr>
      </w:pPr>
      <w:r w:rsidRPr="003478AF">
        <w:rPr>
          <w:rFonts w:eastAsia="MinionPro-Regular" w:cs="Arial"/>
        </w:rPr>
        <w:t>Priorytetowe kierunki rozwoju związane są z zasadą horyzontalną – rozwojem zrównoważonym, która stanowi podstaw</w:t>
      </w:r>
      <w:r w:rsidR="0061395C" w:rsidRPr="003478AF">
        <w:rPr>
          <w:rFonts w:eastAsia="MinionPro-Regular" w:cs="Arial"/>
        </w:rPr>
        <w:t>ę</w:t>
      </w:r>
      <w:r w:rsidRPr="003478AF">
        <w:rPr>
          <w:rFonts w:eastAsia="MinionPro-Regular" w:cs="Arial"/>
        </w:rPr>
        <w:t xml:space="preserve"> działań zapisanych w SRWW. Reindustrializacja gospodarki możliwa będzie dzięki wsparciu branż związanych z ekotechnologiami oraz rozwojem łańcucha dostaw produktów i usług zeroemisyjnych, w tym wodorowych, co przyczyni się do transformacji modeli biznesowych wielkopolskich przedsiębiorstw. </w:t>
      </w:r>
    </w:p>
    <w:p w14:paraId="627018BC" w14:textId="3923D195" w:rsidR="00B91DF8" w:rsidRPr="003478AF" w:rsidRDefault="0061395C" w:rsidP="00B91DF8">
      <w:pPr>
        <w:autoSpaceDE w:val="0"/>
        <w:autoSpaceDN w:val="0"/>
        <w:adjustRightInd w:val="0"/>
        <w:rPr>
          <w:rFonts w:eastAsia="MinionPro-Regular" w:cs="Arial"/>
        </w:rPr>
      </w:pPr>
      <w:r w:rsidRPr="003478AF">
        <w:rPr>
          <w:rFonts w:eastAsia="MinionPro-Regular" w:cs="Arial"/>
        </w:rPr>
        <w:t>P</w:t>
      </w:r>
      <w:r w:rsidR="00B91DF8" w:rsidRPr="003478AF">
        <w:rPr>
          <w:rFonts w:eastAsia="MinionPro-Regular" w:cs="Arial"/>
        </w:rPr>
        <w:t xml:space="preserve">otencjału rolnictwa w Wielkopolsce jest również podkreślany szczególnie </w:t>
      </w:r>
      <w:r w:rsidR="00B91DF8" w:rsidRPr="003478AF">
        <w:rPr>
          <w:rFonts w:eastAsia="MinionPro-Regular" w:cs="Arial"/>
        </w:rPr>
        <w:br/>
        <w:t xml:space="preserve">w </w:t>
      </w:r>
      <w:r w:rsidRPr="003478AF">
        <w:rPr>
          <w:rFonts w:eastAsia="MinionPro-Regular" w:cs="Arial"/>
        </w:rPr>
        <w:t>aspekcie</w:t>
      </w:r>
      <w:r w:rsidR="00B91DF8" w:rsidRPr="003478AF">
        <w:rPr>
          <w:rFonts w:eastAsia="MinionPro-Regular" w:cs="Arial"/>
        </w:rPr>
        <w:t xml:space="preserve"> możliwości absorpcji innowacji, rolnictwa ekologicznego i zdrowej żywności oraz ograniczania marnotrawienia żywności.</w:t>
      </w:r>
    </w:p>
    <w:p w14:paraId="6D1DC573" w14:textId="3E8F872C" w:rsidR="00B91DF8" w:rsidRPr="003478AF" w:rsidRDefault="00B91DF8" w:rsidP="00B91DF8">
      <w:pPr>
        <w:autoSpaceDE w:val="0"/>
        <w:autoSpaceDN w:val="0"/>
        <w:adjustRightInd w:val="0"/>
        <w:rPr>
          <w:rFonts w:eastAsia="MinionPro-Regular" w:cs="Arial"/>
          <w:szCs w:val="20"/>
        </w:rPr>
      </w:pPr>
      <w:r w:rsidRPr="003478AF">
        <w:rPr>
          <w:rFonts w:eastAsia="MinionPro-Regular" w:cs="Arial"/>
          <w:szCs w:val="20"/>
        </w:rPr>
        <w:t xml:space="preserve">Konieczność wdrażania koncepcji GOZ została podkreślona zarówno na obszarach miejskich, jak i terenach wiejskich. Działania związane z koncepcją cyrkulacji gospodarki na tych obszarach przedstawia </w:t>
      </w:r>
      <w:r w:rsidR="00381971" w:rsidRPr="003478AF">
        <w:rPr>
          <w:rFonts w:eastAsia="MinionPro-Regular" w:cs="Arial"/>
          <w:szCs w:val="20"/>
        </w:rPr>
        <w:t>ryc.</w:t>
      </w:r>
      <w:r w:rsidRPr="003478AF">
        <w:rPr>
          <w:rFonts w:eastAsia="MinionPro-Regular" w:cs="Arial"/>
          <w:szCs w:val="20"/>
        </w:rPr>
        <w:t xml:space="preserve"> 2.6.</w:t>
      </w:r>
    </w:p>
    <w:p w14:paraId="48BC61C2" w14:textId="19669CEB" w:rsidR="00B91DF8" w:rsidRPr="003478AF" w:rsidRDefault="00B91DF8">
      <w:pPr>
        <w:spacing w:line="240" w:lineRule="auto"/>
        <w:ind w:firstLine="0"/>
        <w:jc w:val="left"/>
        <w:rPr>
          <w:rFonts w:eastAsia="MinionPro-Regular" w:cs="Arial"/>
          <w:iCs/>
        </w:rPr>
      </w:pPr>
      <w:r w:rsidRPr="003478AF">
        <w:rPr>
          <w:rFonts w:eastAsia="MinionPro-Regular" w:cs="Arial"/>
          <w:iCs/>
        </w:rPr>
        <w:br w:type="page"/>
      </w:r>
    </w:p>
    <w:p w14:paraId="67FC2F23" w14:textId="3606F91F" w:rsidR="00217794" w:rsidRPr="003478AF" w:rsidRDefault="000D275D" w:rsidP="00986D40">
      <w:pPr>
        <w:pStyle w:val="ARYCINA"/>
      </w:pPr>
      <w:r w:rsidRPr="003478AF">
        <w:lastRenderedPageBreak/>
        <w:t xml:space="preserve">Ryc. </w:t>
      </w:r>
      <w:r w:rsidR="00E5109D" w:rsidRPr="003478AF">
        <w:rPr>
          <w:noProof/>
        </w:rPr>
        <w:t xml:space="preserve">2.5 </w:t>
      </w:r>
      <w:r w:rsidRPr="003478AF">
        <w:t xml:space="preserve">Wybrane dokumenty na poziomie krajowym i wojewódzkim związane z </w:t>
      </w:r>
      <w:r w:rsidR="00DC33D3" w:rsidRPr="003478AF">
        <w:t>zagadnieniami</w:t>
      </w:r>
      <w:r w:rsidRPr="003478AF">
        <w:t xml:space="preserve"> GOZ</w:t>
      </w:r>
    </w:p>
    <w:p w14:paraId="448FDD3F" w14:textId="43484BDB" w:rsidR="00217794" w:rsidRPr="003478AF" w:rsidRDefault="00822789" w:rsidP="00986D40">
      <w:pPr>
        <w:pStyle w:val="ARYCINA"/>
      </w:pPr>
      <w:r w:rsidRPr="003478AF">
        <w:rPr>
          <w:noProof/>
          <w:lang w:eastAsia="pl-PL"/>
        </w:rPr>
        <w:drawing>
          <wp:inline distT="0" distB="0" distL="0" distR="0" wp14:anchorId="2F7F5929" wp14:editId="73C7C495">
            <wp:extent cx="4032088" cy="7351413"/>
            <wp:effectExtent l="0" t="0" r="6985" b="1905"/>
            <wp:docPr id="4" name="Obraz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032088" cy="7351413"/>
                    </a:xfrm>
                    <a:prstGeom prst="rect">
                      <a:avLst/>
                    </a:prstGeom>
                    <a:noFill/>
                    <a:ln>
                      <a:noFill/>
                    </a:ln>
                  </pic:spPr>
                </pic:pic>
              </a:graphicData>
            </a:graphic>
          </wp:inline>
        </w:drawing>
      </w:r>
    </w:p>
    <w:p w14:paraId="6990CB65" w14:textId="4792DCC3" w:rsidR="00CB028F" w:rsidRPr="003478AF" w:rsidRDefault="00CB028F" w:rsidP="00986D40">
      <w:pPr>
        <w:pStyle w:val="AZRODLO"/>
      </w:pPr>
      <w:r w:rsidRPr="003478AF">
        <w:t xml:space="preserve">Źródło: </w:t>
      </w:r>
      <w:r w:rsidR="007350F0" w:rsidRPr="003478AF">
        <w:t>O</w:t>
      </w:r>
      <w:r w:rsidRPr="003478AF">
        <w:t>pracowanie własne</w:t>
      </w:r>
    </w:p>
    <w:p w14:paraId="3C556E2C" w14:textId="7A20EB73" w:rsidR="00A35177" w:rsidRPr="003478AF" w:rsidRDefault="00A35177" w:rsidP="00986D40">
      <w:pPr>
        <w:pStyle w:val="ARYCINA"/>
      </w:pPr>
      <w:r w:rsidRPr="003478AF">
        <w:lastRenderedPageBreak/>
        <w:t>Ryc</w:t>
      </w:r>
      <w:r w:rsidR="005F1A34" w:rsidRPr="003478AF">
        <w:t xml:space="preserve">. 2.6 </w:t>
      </w:r>
      <w:r w:rsidRPr="003478AF">
        <w:t xml:space="preserve">Działania </w:t>
      </w:r>
      <w:r w:rsidR="00C80541" w:rsidRPr="003478AF">
        <w:t xml:space="preserve">regionalne </w:t>
      </w:r>
      <w:r w:rsidRPr="003478AF">
        <w:t>w obszarach wiejskich i miejskich związane z rozwojem GOZ</w:t>
      </w:r>
    </w:p>
    <w:p w14:paraId="38D2299D" w14:textId="77777777" w:rsidR="00CD6C64" w:rsidRPr="003478AF" w:rsidRDefault="00CD6C64" w:rsidP="00E6136F">
      <w:pPr>
        <w:autoSpaceDE w:val="0"/>
        <w:autoSpaceDN w:val="0"/>
        <w:adjustRightInd w:val="0"/>
        <w:jc w:val="center"/>
        <w:rPr>
          <w:rFonts w:eastAsia="MinionPro-Regular" w:cs="Arial"/>
          <w:szCs w:val="20"/>
        </w:rPr>
      </w:pPr>
      <w:r w:rsidRPr="003478AF">
        <w:rPr>
          <w:rFonts w:eastAsia="MinionPro-Regular" w:cs="Arial"/>
          <w:noProof/>
          <w:color w:val="173457"/>
          <w:szCs w:val="20"/>
          <w:lang w:eastAsia="pl-PL"/>
        </w:rPr>
        <w:drawing>
          <wp:inline distT="0" distB="0" distL="0" distR="0" wp14:anchorId="71934113" wp14:editId="1B9E21DC">
            <wp:extent cx="4959350" cy="3065780"/>
            <wp:effectExtent l="76200" t="0" r="0" b="0"/>
            <wp:docPr id="5" name="Diagram 5"/>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5" r:lo="rId36" r:qs="rId37" r:cs="rId38"/>
              </a:graphicData>
            </a:graphic>
          </wp:inline>
        </w:drawing>
      </w:r>
    </w:p>
    <w:p w14:paraId="12BA125C" w14:textId="4C9138D2" w:rsidR="00A35177" w:rsidRPr="003478AF" w:rsidRDefault="00A35177" w:rsidP="00986D40">
      <w:pPr>
        <w:pStyle w:val="AZRODLO"/>
      </w:pPr>
      <w:r w:rsidRPr="003478AF">
        <w:t xml:space="preserve">Źródło: </w:t>
      </w:r>
      <w:r w:rsidR="00DF2E18" w:rsidRPr="003478AF">
        <w:t>O</w:t>
      </w:r>
      <w:r w:rsidRPr="003478AF">
        <w:t xml:space="preserve">pracowanie własne na podstawie </w:t>
      </w:r>
      <w:r w:rsidR="00DF2E18" w:rsidRPr="003478AF">
        <w:t>Strategii rozwoju województwa wielkopolskiego do 2030 roku</w:t>
      </w:r>
    </w:p>
    <w:p w14:paraId="5D81A691" w14:textId="793E258C" w:rsidR="00CD4F75" w:rsidRPr="003478AF" w:rsidRDefault="00CD4F75" w:rsidP="00CD4F75">
      <w:pPr>
        <w:autoSpaceDE w:val="0"/>
        <w:autoSpaceDN w:val="0"/>
        <w:adjustRightInd w:val="0"/>
        <w:rPr>
          <w:rFonts w:eastAsia="MinionPro-Regular" w:cs="Arial"/>
          <w:szCs w:val="20"/>
        </w:rPr>
      </w:pPr>
    </w:p>
    <w:p w14:paraId="39C0B42E" w14:textId="7A3DB79D" w:rsidR="004D169E" w:rsidRPr="003478AF" w:rsidRDefault="00725DFA" w:rsidP="00994C32">
      <w:pPr>
        <w:autoSpaceDE w:val="0"/>
        <w:autoSpaceDN w:val="0"/>
        <w:adjustRightInd w:val="0"/>
        <w:rPr>
          <w:rFonts w:eastAsia="MinionPro-Regular" w:cs="Arial"/>
          <w:szCs w:val="20"/>
        </w:rPr>
      </w:pPr>
      <w:r w:rsidRPr="003478AF">
        <w:rPr>
          <w:rFonts w:eastAsia="MinionPro-Regular" w:cs="Arial"/>
          <w:szCs w:val="20"/>
        </w:rPr>
        <w:t xml:space="preserve">Ponadto </w:t>
      </w:r>
      <w:r w:rsidR="004D048E" w:rsidRPr="003478AF">
        <w:rPr>
          <w:rFonts w:eastAsia="MinionPro-Regular" w:cs="Arial"/>
          <w:iCs/>
          <w:szCs w:val="20"/>
        </w:rPr>
        <w:t>SRWW</w:t>
      </w:r>
      <w:r w:rsidRPr="003478AF">
        <w:rPr>
          <w:rFonts w:eastAsia="MinionPro-Regular" w:cs="Arial"/>
          <w:szCs w:val="20"/>
        </w:rPr>
        <w:t xml:space="preserve"> wskazuje na konieczn</w:t>
      </w:r>
      <w:r w:rsidR="002C1CFC" w:rsidRPr="003478AF">
        <w:rPr>
          <w:rFonts w:eastAsia="MinionPro-Regular" w:cs="Arial"/>
          <w:szCs w:val="20"/>
        </w:rPr>
        <w:t>y</w:t>
      </w:r>
      <w:r w:rsidRPr="003478AF">
        <w:rPr>
          <w:rFonts w:eastAsia="MinionPro-Regular" w:cs="Arial"/>
          <w:szCs w:val="20"/>
        </w:rPr>
        <w:t xml:space="preserve"> ele</w:t>
      </w:r>
      <w:r w:rsidR="002C1CFC" w:rsidRPr="003478AF">
        <w:rPr>
          <w:rFonts w:eastAsia="MinionPro-Regular" w:cs="Arial"/>
          <w:szCs w:val="20"/>
        </w:rPr>
        <w:t>me</w:t>
      </w:r>
      <w:r w:rsidRPr="003478AF">
        <w:rPr>
          <w:rFonts w:eastAsia="MinionPro-Regular" w:cs="Arial"/>
          <w:szCs w:val="20"/>
        </w:rPr>
        <w:t xml:space="preserve">nt ochrony środowiska tj. </w:t>
      </w:r>
      <w:r w:rsidR="002C1CFC" w:rsidRPr="003478AF">
        <w:rPr>
          <w:rFonts w:eastAsia="MinionPro-Regular" w:cs="Arial"/>
          <w:szCs w:val="20"/>
        </w:rPr>
        <w:t xml:space="preserve">odpowiednią </w:t>
      </w:r>
      <w:r w:rsidRPr="003478AF">
        <w:rPr>
          <w:rFonts w:eastAsia="MinionPro-Regular" w:cs="Arial"/>
          <w:szCs w:val="20"/>
        </w:rPr>
        <w:t>gospodark</w:t>
      </w:r>
      <w:r w:rsidR="002C1CFC" w:rsidRPr="003478AF">
        <w:rPr>
          <w:rFonts w:eastAsia="MinionPro-Regular" w:cs="Arial"/>
          <w:szCs w:val="20"/>
        </w:rPr>
        <w:t>ę</w:t>
      </w:r>
      <w:r w:rsidRPr="003478AF">
        <w:rPr>
          <w:rFonts w:eastAsia="MinionPro-Regular" w:cs="Arial"/>
          <w:szCs w:val="20"/>
        </w:rPr>
        <w:t xml:space="preserve"> odpadami, co jest</w:t>
      </w:r>
      <w:r w:rsidR="002C1CFC" w:rsidRPr="003478AF">
        <w:rPr>
          <w:rFonts w:eastAsia="MinionPro-Regular" w:cs="Arial"/>
          <w:szCs w:val="20"/>
        </w:rPr>
        <w:t xml:space="preserve"> </w:t>
      </w:r>
      <w:r w:rsidRPr="003478AF">
        <w:rPr>
          <w:rFonts w:eastAsia="MinionPro-Regular" w:cs="Arial"/>
          <w:szCs w:val="20"/>
        </w:rPr>
        <w:t>je</w:t>
      </w:r>
      <w:r w:rsidR="002C1CFC" w:rsidRPr="003478AF">
        <w:rPr>
          <w:rFonts w:eastAsia="MinionPro-Regular" w:cs="Arial"/>
          <w:szCs w:val="20"/>
        </w:rPr>
        <w:t>dnoznaczne</w:t>
      </w:r>
      <w:r w:rsidRPr="003478AF">
        <w:rPr>
          <w:rFonts w:eastAsia="MinionPro-Regular" w:cs="Arial"/>
          <w:szCs w:val="20"/>
        </w:rPr>
        <w:t xml:space="preserve"> z wdrażaniem modelu GOZ</w:t>
      </w:r>
      <w:r w:rsidR="002C1CFC" w:rsidRPr="003478AF">
        <w:rPr>
          <w:rFonts w:eastAsia="MinionPro-Regular" w:cs="Arial"/>
          <w:szCs w:val="20"/>
        </w:rPr>
        <w:t xml:space="preserve"> w tym sektorze</w:t>
      </w:r>
      <w:r w:rsidRPr="003478AF">
        <w:rPr>
          <w:rFonts w:eastAsia="MinionPro-Regular" w:cs="Arial"/>
          <w:szCs w:val="20"/>
        </w:rPr>
        <w:t xml:space="preserve">. </w:t>
      </w:r>
      <w:r w:rsidR="002C1CFC" w:rsidRPr="003478AF">
        <w:rPr>
          <w:rFonts w:eastAsia="MinionPro-Regular" w:cs="Arial"/>
          <w:szCs w:val="20"/>
        </w:rPr>
        <w:t>Wsparcie samorządu wojewódz</w:t>
      </w:r>
      <w:r w:rsidR="009778EF" w:rsidRPr="003478AF">
        <w:rPr>
          <w:rFonts w:eastAsia="MinionPro-Regular" w:cs="Arial"/>
          <w:szCs w:val="20"/>
        </w:rPr>
        <w:t>twa</w:t>
      </w:r>
      <w:r w:rsidR="002C1CFC" w:rsidRPr="003478AF">
        <w:rPr>
          <w:rFonts w:eastAsia="MinionPro-Regular" w:cs="Arial"/>
          <w:szCs w:val="20"/>
        </w:rPr>
        <w:t xml:space="preserve"> zostanie ukierunkowane na istniejące i planowane instalacje odzysku surowców, kontynuację budowy sieci punktów selektywnego zbierania odpadów, zamykanie składowisk niespełniających wymogów środowiskowych, wsparci</w:t>
      </w:r>
      <w:r w:rsidR="00E55377" w:rsidRPr="003478AF">
        <w:rPr>
          <w:rFonts w:eastAsia="MinionPro-Regular" w:cs="Arial"/>
          <w:szCs w:val="20"/>
        </w:rPr>
        <w:t>e</w:t>
      </w:r>
      <w:r w:rsidR="002C1CFC" w:rsidRPr="003478AF">
        <w:rPr>
          <w:rFonts w:eastAsia="MinionPro-Regular" w:cs="Arial"/>
          <w:szCs w:val="20"/>
        </w:rPr>
        <w:t xml:space="preserve"> inicjatyw mających na celu przedłużenie cyklu życia produktów oraz działań zapobiegających marnotrawieniu żywności. </w:t>
      </w:r>
      <w:r w:rsidRPr="003478AF">
        <w:rPr>
          <w:rFonts w:eastAsia="MinionPro-Regular" w:cs="Arial"/>
          <w:szCs w:val="20"/>
        </w:rPr>
        <w:t xml:space="preserve">Przedstawione założenia </w:t>
      </w:r>
      <w:r w:rsidR="008401A1" w:rsidRPr="003478AF">
        <w:rPr>
          <w:rFonts w:eastAsia="MinionPro-Regular" w:cs="Arial"/>
          <w:szCs w:val="20"/>
        </w:rPr>
        <w:t xml:space="preserve">są </w:t>
      </w:r>
      <w:r w:rsidRPr="003478AF">
        <w:rPr>
          <w:rFonts w:eastAsia="MinionPro-Regular" w:cs="Arial"/>
          <w:szCs w:val="20"/>
        </w:rPr>
        <w:t xml:space="preserve">zgodne z </w:t>
      </w:r>
      <w:r w:rsidR="00E55377" w:rsidRPr="003478AF">
        <w:rPr>
          <w:rFonts w:eastAsia="MinionPro-Regular" w:cs="Arial"/>
          <w:szCs w:val="20"/>
        </w:rPr>
        <w:t>P</w:t>
      </w:r>
      <w:r w:rsidRPr="003478AF">
        <w:rPr>
          <w:rFonts w:eastAsia="MinionPro-Regular" w:cs="Arial"/>
          <w:szCs w:val="20"/>
        </w:rPr>
        <w:t>lanem zagospodarowania przestrzennego województwa</w:t>
      </w:r>
      <w:r w:rsidRPr="003478AF">
        <w:rPr>
          <w:rFonts w:eastAsia="MinionPro-Regular" w:cs="Arial"/>
          <w:i/>
          <w:iCs/>
          <w:szCs w:val="20"/>
        </w:rPr>
        <w:t xml:space="preserve"> </w:t>
      </w:r>
      <w:r w:rsidRPr="003478AF">
        <w:rPr>
          <w:rFonts w:eastAsia="MinionPro-Regular" w:cs="Arial"/>
          <w:szCs w:val="20"/>
        </w:rPr>
        <w:t xml:space="preserve">wielkopolskiego oraz </w:t>
      </w:r>
      <w:bookmarkStart w:id="30" w:name="_Hlk72337907"/>
      <w:r w:rsidR="00E55377" w:rsidRPr="003478AF">
        <w:rPr>
          <w:rFonts w:eastAsia="MinionPro-Regular" w:cs="Arial"/>
          <w:szCs w:val="20"/>
        </w:rPr>
        <w:t>P</w:t>
      </w:r>
      <w:r w:rsidRPr="003478AF">
        <w:rPr>
          <w:rFonts w:eastAsia="MinionPro-Regular" w:cs="Arial"/>
          <w:szCs w:val="20"/>
        </w:rPr>
        <w:t>lanem gospodarki odpadami dla województwa wielkopolskiego</w:t>
      </w:r>
      <w:bookmarkEnd w:id="30"/>
      <w:r w:rsidR="008401A1" w:rsidRPr="003478AF">
        <w:rPr>
          <w:rFonts w:eastAsia="MinionPro-Regular" w:cs="Arial"/>
          <w:szCs w:val="20"/>
        </w:rPr>
        <w:t xml:space="preserve"> (opartym</w:t>
      </w:r>
      <w:r w:rsidR="002C1CFC" w:rsidRPr="003478AF">
        <w:rPr>
          <w:rFonts w:eastAsia="MinionPro-Regular" w:cs="Arial"/>
          <w:szCs w:val="20"/>
        </w:rPr>
        <w:t xml:space="preserve"> o </w:t>
      </w:r>
      <w:r w:rsidRPr="003478AF">
        <w:rPr>
          <w:rFonts w:eastAsia="MinionPro-Regular" w:cs="Arial"/>
          <w:szCs w:val="20"/>
        </w:rPr>
        <w:t>KPGO</w:t>
      </w:r>
      <w:r w:rsidR="002C1CFC" w:rsidRPr="003478AF">
        <w:rPr>
          <w:rFonts w:eastAsia="MinionPro-Regular" w:cs="Arial"/>
          <w:szCs w:val="20"/>
        </w:rPr>
        <w:t>)</w:t>
      </w:r>
      <w:r w:rsidRPr="003478AF">
        <w:rPr>
          <w:rFonts w:eastAsia="MinionPro-Regular" w:cs="Arial"/>
          <w:szCs w:val="20"/>
        </w:rPr>
        <w:t>.</w:t>
      </w:r>
      <w:r w:rsidR="002C1CFC" w:rsidRPr="003478AF">
        <w:rPr>
          <w:rFonts w:eastAsia="MinionPro-Regular" w:cs="Arial"/>
          <w:szCs w:val="20"/>
        </w:rPr>
        <w:t xml:space="preserve"> </w:t>
      </w:r>
    </w:p>
    <w:p w14:paraId="7F59F09B" w14:textId="7D2C7A7B" w:rsidR="00E55377" w:rsidRPr="003478AF" w:rsidRDefault="00E55377" w:rsidP="00994C32">
      <w:pPr>
        <w:autoSpaceDE w:val="0"/>
        <w:autoSpaceDN w:val="0"/>
        <w:adjustRightInd w:val="0"/>
        <w:rPr>
          <w:rFonts w:eastAsia="MinionPro-Regular" w:cs="Arial"/>
          <w:szCs w:val="20"/>
        </w:rPr>
      </w:pPr>
      <w:r w:rsidRPr="003478AF">
        <w:rPr>
          <w:rFonts w:eastAsia="MinionPro-Regular" w:cs="Arial"/>
          <w:szCs w:val="20"/>
        </w:rPr>
        <w:t xml:space="preserve">W </w:t>
      </w:r>
      <w:r w:rsidR="008401A1" w:rsidRPr="003478AF">
        <w:rPr>
          <w:rFonts w:eastAsia="MinionPro-Regular" w:cs="Arial"/>
          <w:szCs w:val="20"/>
        </w:rPr>
        <w:t>SRWW</w:t>
      </w:r>
      <w:r w:rsidRPr="003478AF">
        <w:rPr>
          <w:rFonts w:eastAsia="MinionPro-Regular" w:cs="Arial"/>
          <w:szCs w:val="20"/>
        </w:rPr>
        <w:t xml:space="preserve"> określono pakiety działań</w:t>
      </w:r>
      <w:r w:rsidR="001D3CAF" w:rsidRPr="003478AF">
        <w:rPr>
          <w:rFonts w:eastAsia="MinionPro-Regular" w:cs="Arial"/>
          <w:szCs w:val="20"/>
        </w:rPr>
        <w:t>,</w:t>
      </w:r>
      <w:r w:rsidRPr="003478AF">
        <w:rPr>
          <w:rFonts w:eastAsia="MinionPro-Regular" w:cs="Arial"/>
          <w:szCs w:val="20"/>
        </w:rPr>
        <w:t xml:space="preserve"> w </w:t>
      </w:r>
      <w:r w:rsidR="00434F0B" w:rsidRPr="003478AF">
        <w:rPr>
          <w:rFonts w:eastAsia="MinionPro-Regular" w:cs="Arial"/>
          <w:szCs w:val="20"/>
        </w:rPr>
        <w:t>ramach</w:t>
      </w:r>
      <w:r w:rsidRPr="003478AF">
        <w:rPr>
          <w:rFonts w:eastAsia="MinionPro-Regular" w:cs="Arial"/>
          <w:szCs w:val="20"/>
        </w:rPr>
        <w:t xml:space="preserve"> których wyróżniono </w:t>
      </w:r>
      <w:r w:rsidR="00652508" w:rsidRPr="003478AF">
        <w:rPr>
          <w:rFonts w:eastAsia="MinionPro-Regular" w:cs="Arial"/>
          <w:szCs w:val="20"/>
        </w:rPr>
        <w:t xml:space="preserve">m.in. </w:t>
      </w:r>
      <w:r w:rsidR="00CC77C5" w:rsidRPr="003478AF">
        <w:rPr>
          <w:rFonts w:eastAsia="MinionPro-Regular" w:cs="Arial"/>
          <w:szCs w:val="20"/>
        </w:rPr>
        <w:t>n</w:t>
      </w:r>
      <w:r w:rsidRPr="003478AF">
        <w:rPr>
          <w:rFonts w:eastAsia="MinionPro-Regular" w:cs="Arial"/>
          <w:szCs w:val="20"/>
        </w:rPr>
        <w:t>owoczesn</w:t>
      </w:r>
      <w:r w:rsidR="00434F0B" w:rsidRPr="003478AF">
        <w:rPr>
          <w:rFonts w:eastAsia="MinionPro-Regular" w:cs="Arial"/>
          <w:szCs w:val="20"/>
        </w:rPr>
        <w:t>ą</w:t>
      </w:r>
      <w:r w:rsidRPr="003478AF">
        <w:rPr>
          <w:rFonts w:eastAsia="MinionPro-Regular" w:cs="Arial"/>
          <w:szCs w:val="20"/>
        </w:rPr>
        <w:t xml:space="preserve"> gospodark</w:t>
      </w:r>
      <w:r w:rsidR="00434F0B" w:rsidRPr="003478AF">
        <w:rPr>
          <w:rFonts w:eastAsia="MinionPro-Regular" w:cs="Arial"/>
          <w:szCs w:val="20"/>
        </w:rPr>
        <w:t>ę</w:t>
      </w:r>
      <w:r w:rsidRPr="003478AF">
        <w:rPr>
          <w:rFonts w:eastAsia="MinionPro-Regular" w:cs="Arial"/>
          <w:szCs w:val="20"/>
        </w:rPr>
        <w:t xml:space="preserve"> odpadami</w:t>
      </w:r>
      <w:r w:rsidR="00652508" w:rsidRPr="003478AF">
        <w:rPr>
          <w:rFonts w:eastAsia="MinionPro-Regular" w:cs="Arial"/>
          <w:szCs w:val="20"/>
        </w:rPr>
        <w:t>, w tym następujące działania</w:t>
      </w:r>
      <w:r w:rsidR="00EB3FE6" w:rsidRPr="003478AF">
        <w:rPr>
          <w:rFonts w:eastAsia="MinionPro-Regular" w:cs="Arial"/>
          <w:szCs w:val="20"/>
        </w:rPr>
        <w:t>:</w:t>
      </w:r>
    </w:p>
    <w:p w14:paraId="455D344A" w14:textId="59A0F3A9" w:rsidR="00E55377" w:rsidRPr="003478AF" w:rsidRDefault="00E55377" w:rsidP="00B13D49">
      <w:pPr>
        <w:pStyle w:val="Akapitzlist"/>
        <w:numPr>
          <w:ilvl w:val="0"/>
          <w:numId w:val="24"/>
        </w:numPr>
        <w:autoSpaceDE w:val="0"/>
        <w:autoSpaceDN w:val="0"/>
        <w:adjustRightInd w:val="0"/>
        <w:rPr>
          <w:rFonts w:eastAsia="MinionPro-Regular" w:cs="Arial"/>
          <w:szCs w:val="20"/>
        </w:rPr>
      </w:pPr>
      <w:r w:rsidRPr="003478AF">
        <w:rPr>
          <w:rFonts w:eastAsia="MinionPro-Regular" w:cs="Arial"/>
          <w:szCs w:val="20"/>
        </w:rPr>
        <w:t>Nowoczesn</w:t>
      </w:r>
      <w:r w:rsidR="00652508" w:rsidRPr="003478AF">
        <w:rPr>
          <w:rFonts w:eastAsia="MinionPro-Regular" w:cs="Arial"/>
          <w:szCs w:val="20"/>
        </w:rPr>
        <w:t>a</w:t>
      </w:r>
      <w:r w:rsidRPr="003478AF">
        <w:rPr>
          <w:rFonts w:eastAsia="MinionPro-Regular" w:cs="Arial"/>
          <w:szCs w:val="20"/>
        </w:rPr>
        <w:t xml:space="preserve"> gospodark</w:t>
      </w:r>
      <w:r w:rsidR="00652508" w:rsidRPr="003478AF">
        <w:rPr>
          <w:rFonts w:eastAsia="MinionPro-Regular" w:cs="Arial"/>
          <w:szCs w:val="20"/>
        </w:rPr>
        <w:t>a</w:t>
      </w:r>
      <w:r w:rsidRPr="003478AF">
        <w:rPr>
          <w:rFonts w:eastAsia="MinionPro-Regular" w:cs="Arial"/>
          <w:szCs w:val="20"/>
        </w:rPr>
        <w:t xml:space="preserve"> odpadami o obiegu zamkniętym (działania </w:t>
      </w:r>
      <w:r w:rsidR="00434F0B" w:rsidRPr="003478AF">
        <w:rPr>
          <w:rFonts w:eastAsia="MinionPro-Regular" w:cs="Arial"/>
          <w:szCs w:val="20"/>
        </w:rPr>
        <w:t>wskazano</w:t>
      </w:r>
      <w:r w:rsidRPr="003478AF">
        <w:rPr>
          <w:rFonts w:eastAsia="MinionPro-Regular" w:cs="Arial"/>
          <w:szCs w:val="20"/>
        </w:rPr>
        <w:t xml:space="preserve"> </w:t>
      </w:r>
      <w:r w:rsidR="00CB7DB0" w:rsidRPr="003478AF">
        <w:rPr>
          <w:rFonts w:eastAsia="MinionPro-Regular" w:cs="Arial"/>
          <w:szCs w:val="20"/>
        </w:rPr>
        <w:br/>
      </w:r>
      <w:r w:rsidRPr="003478AF">
        <w:rPr>
          <w:rFonts w:eastAsia="MinionPro-Regular" w:cs="Arial"/>
          <w:szCs w:val="20"/>
        </w:rPr>
        <w:t xml:space="preserve">w </w:t>
      </w:r>
      <w:r w:rsidR="00434F0B" w:rsidRPr="003478AF">
        <w:rPr>
          <w:rFonts w:eastAsia="MinionPro-Regular" w:cs="Arial"/>
          <w:szCs w:val="20"/>
        </w:rPr>
        <w:t>P</w:t>
      </w:r>
      <w:r w:rsidRPr="003478AF">
        <w:rPr>
          <w:rFonts w:eastAsia="MinionPro-Regular" w:cs="Arial"/>
          <w:szCs w:val="20"/>
        </w:rPr>
        <w:t>lanie gospodarki odpadami dla województwa wielkopolskiego)</w:t>
      </w:r>
      <w:r w:rsidR="00B9787D" w:rsidRPr="003478AF">
        <w:rPr>
          <w:rFonts w:eastAsia="MinionPro-Regular" w:cs="Arial"/>
          <w:szCs w:val="20"/>
        </w:rPr>
        <w:t>;</w:t>
      </w:r>
    </w:p>
    <w:p w14:paraId="5EF06850" w14:textId="2E6FEDF7" w:rsidR="00927E9C" w:rsidRPr="003478AF" w:rsidRDefault="00652508" w:rsidP="00B13D49">
      <w:pPr>
        <w:pStyle w:val="Akapitzlist"/>
        <w:numPr>
          <w:ilvl w:val="0"/>
          <w:numId w:val="24"/>
        </w:numPr>
        <w:autoSpaceDE w:val="0"/>
        <w:autoSpaceDN w:val="0"/>
        <w:adjustRightInd w:val="0"/>
        <w:rPr>
          <w:rFonts w:eastAsia="MinionPro-Regular" w:cs="Arial"/>
          <w:szCs w:val="20"/>
        </w:rPr>
      </w:pPr>
      <w:r w:rsidRPr="003478AF">
        <w:rPr>
          <w:rFonts w:eastAsia="MinionPro-Regular" w:cs="Arial"/>
          <w:szCs w:val="20"/>
        </w:rPr>
        <w:t xml:space="preserve">projekt </w:t>
      </w:r>
      <w:r w:rsidR="00927E9C" w:rsidRPr="003478AF">
        <w:rPr>
          <w:rFonts w:eastAsia="MinionPro-Regular" w:cs="Arial"/>
          <w:szCs w:val="20"/>
        </w:rPr>
        <w:t>Zjadamy, nie wyrzucam</w:t>
      </w:r>
      <w:r w:rsidRPr="003478AF">
        <w:rPr>
          <w:rFonts w:eastAsia="MinionPro-Regular" w:cs="Arial"/>
          <w:szCs w:val="20"/>
        </w:rPr>
        <w:t>y</w:t>
      </w:r>
      <w:r w:rsidR="00927E9C" w:rsidRPr="003478AF">
        <w:rPr>
          <w:rFonts w:eastAsia="MinionPro-Regular" w:cs="Arial"/>
          <w:szCs w:val="20"/>
        </w:rPr>
        <w:t xml:space="preserve"> (</w:t>
      </w:r>
      <w:r w:rsidR="00092306" w:rsidRPr="003478AF">
        <w:rPr>
          <w:rFonts w:eastAsia="MinionPro-Regular" w:cs="Arial"/>
          <w:szCs w:val="20"/>
        </w:rPr>
        <w:t>uświadamianie</w:t>
      </w:r>
      <w:r w:rsidR="00927E9C" w:rsidRPr="003478AF">
        <w:rPr>
          <w:rFonts w:eastAsia="MinionPro-Regular" w:cs="Arial"/>
          <w:szCs w:val="20"/>
        </w:rPr>
        <w:t xml:space="preserve"> lokalnej </w:t>
      </w:r>
      <w:r w:rsidR="00092306" w:rsidRPr="003478AF">
        <w:rPr>
          <w:rFonts w:eastAsia="MinionPro-Regular" w:cs="Arial"/>
          <w:szCs w:val="20"/>
        </w:rPr>
        <w:t>społeczności</w:t>
      </w:r>
      <w:r w:rsidR="00927E9C" w:rsidRPr="003478AF">
        <w:rPr>
          <w:rFonts w:eastAsia="MinionPro-Regular" w:cs="Arial"/>
          <w:szCs w:val="20"/>
        </w:rPr>
        <w:t xml:space="preserve"> </w:t>
      </w:r>
      <w:r w:rsidR="001B0CB3" w:rsidRPr="003478AF">
        <w:rPr>
          <w:rFonts w:eastAsia="MinionPro-Regular" w:cs="Arial"/>
          <w:szCs w:val="20"/>
        </w:rPr>
        <w:br/>
      </w:r>
      <w:r w:rsidR="00927E9C" w:rsidRPr="003478AF">
        <w:rPr>
          <w:rFonts w:eastAsia="MinionPro-Regular" w:cs="Arial"/>
          <w:szCs w:val="20"/>
        </w:rPr>
        <w:t xml:space="preserve">w kwestiach </w:t>
      </w:r>
      <w:r w:rsidR="00092306" w:rsidRPr="003478AF">
        <w:rPr>
          <w:rFonts w:eastAsia="MinionPro-Regular" w:cs="Arial"/>
          <w:szCs w:val="20"/>
        </w:rPr>
        <w:t>marnotrawienia</w:t>
      </w:r>
      <w:r w:rsidR="00927E9C" w:rsidRPr="003478AF">
        <w:rPr>
          <w:rFonts w:eastAsia="MinionPro-Regular" w:cs="Arial"/>
          <w:szCs w:val="20"/>
        </w:rPr>
        <w:t xml:space="preserve"> </w:t>
      </w:r>
      <w:r w:rsidR="00092306" w:rsidRPr="003478AF">
        <w:rPr>
          <w:rFonts w:eastAsia="MinionPro-Regular" w:cs="Arial"/>
          <w:szCs w:val="20"/>
        </w:rPr>
        <w:t>żywności</w:t>
      </w:r>
      <w:r w:rsidR="00927E9C" w:rsidRPr="003478AF">
        <w:rPr>
          <w:rFonts w:eastAsia="MinionPro-Regular" w:cs="Arial"/>
          <w:szCs w:val="20"/>
        </w:rPr>
        <w:t>)</w:t>
      </w:r>
      <w:r w:rsidR="00B9787D" w:rsidRPr="003478AF">
        <w:rPr>
          <w:rFonts w:eastAsia="MinionPro-Regular" w:cs="Arial"/>
          <w:szCs w:val="20"/>
        </w:rPr>
        <w:t>;</w:t>
      </w:r>
    </w:p>
    <w:p w14:paraId="23D5B769" w14:textId="2B9D1630" w:rsidR="00927E9C" w:rsidRPr="003478AF" w:rsidRDefault="00927E9C" w:rsidP="00B13D49">
      <w:pPr>
        <w:pStyle w:val="Akapitzlist"/>
        <w:numPr>
          <w:ilvl w:val="0"/>
          <w:numId w:val="24"/>
        </w:numPr>
        <w:autoSpaceDE w:val="0"/>
        <w:autoSpaceDN w:val="0"/>
        <w:adjustRightInd w:val="0"/>
        <w:rPr>
          <w:rFonts w:eastAsia="MinionPro-Regular" w:cs="Arial"/>
          <w:szCs w:val="20"/>
        </w:rPr>
      </w:pPr>
      <w:r w:rsidRPr="003478AF">
        <w:rPr>
          <w:rFonts w:eastAsia="MinionPro-Regular" w:cs="Arial"/>
          <w:szCs w:val="20"/>
        </w:rPr>
        <w:t xml:space="preserve">Wielkopolska wolna od azbestu (realizacja Programu usuwania azbestu </w:t>
      </w:r>
      <w:r w:rsidR="004C5BDE" w:rsidRPr="003478AF">
        <w:rPr>
          <w:rFonts w:eastAsia="MinionPro-Regular" w:cs="Arial"/>
          <w:szCs w:val="20"/>
        </w:rPr>
        <w:br/>
      </w:r>
      <w:r w:rsidRPr="003478AF">
        <w:rPr>
          <w:rFonts w:eastAsia="MinionPro-Regular" w:cs="Arial"/>
          <w:szCs w:val="20"/>
        </w:rPr>
        <w:t>i wyrobów zawierających azbest dla województwa wielkopolskiego</w:t>
      </w:r>
      <w:r w:rsidR="002245E3" w:rsidRPr="003478AF">
        <w:rPr>
          <w:rStyle w:val="Odwoanieprzypisudolnego"/>
        </w:rPr>
        <w:footnoteReference w:id="54"/>
      </w:r>
      <w:r w:rsidRPr="003478AF">
        <w:rPr>
          <w:rFonts w:eastAsia="MinionPro-Regular" w:cs="Arial"/>
          <w:szCs w:val="20"/>
        </w:rPr>
        <w:t>)</w:t>
      </w:r>
      <w:r w:rsidR="00092306" w:rsidRPr="003478AF">
        <w:rPr>
          <w:rFonts w:eastAsia="MinionPro-Regular" w:cs="Arial"/>
          <w:szCs w:val="20"/>
        </w:rPr>
        <w:t>.</w:t>
      </w:r>
    </w:p>
    <w:p w14:paraId="6B01EBE1" w14:textId="41514455" w:rsidR="00EF486C" w:rsidRPr="003478AF" w:rsidRDefault="00994C32" w:rsidP="007C5EA3">
      <w:pPr>
        <w:autoSpaceDE w:val="0"/>
        <w:autoSpaceDN w:val="0"/>
        <w:adjustRightInd w:val="0"/>
        <w:rPr>
          <w:rFonts w:eastAsia="MinionPro-Regular" w:cs="Arial"/>
          <w:szCs w:val="20"/>
        </w:rPr>
      </w:pPr>
      <w:r w:rsidRPr="003478AF">
        <w:rPr>
          <w:rFonts w:eastAsia="MinionPro-Regular" w:cs="Arial"/>
          <w:szCs w:val="20"/>
        </w:rPr>
        <w:t xml:space="preserve">Działania w </w:t>
      </w:r>
      <w:r w:rsidR="007C5EA3" w:rsidRPr="003478AF">
        <w:rPr>
          <w:rFonts w:eastAsia="MinionPro-Regular" w:cs="Arial"/>
          <w:szCs w:val="20"/>
        </w:rPr>
        <w:t xml:space="preserve">obszarze </w:t>
      </w:r>
      <w:r w:rsidR="00D94934" w:rsidRPr="003478AF">
        <w:rPr>
          <w:rFonts w:eastAsia="MinionPro-Regular" w:cs="Arial"/>
          <w:szCs w:val="20"/>
        </w:rPr>
        <w:t>gospodar</w:t>
      </w:r>
      <w:r w:rsidR="007C5EA3" w:rsidRPr="003478AF">
        <w:rPr>
          <w:rFonts w:eastAsia="MinionPro-Regular" w:cs="Arial"/>
          <w:szCs w:val="20"/>
        </w:rPr>
        <w:t>ki</w:t>
      </w:r>
      <w:r w:rsidRPr="003478AF">
        <w:rPr>
          <w:rFonts w:eastAsia="MinionPro-Regular" w:cs="Arial"/>
          <w:szCs w:val="20"/>
        </w:rPr>
        <w:t xml:space="preserve"> </w:t>
      </w:r>
      <w:r w:rsidR="00D94934" w:rsidRPr="003478AF">
        <w:rPr>
          <w:rFonts w:eastAsia="MinionPro-Regular" w:cs="Arial"/>
          <w:szCs w:val="20"/>
        </w:rPr>
        <w:t>odpadami</w:t>
      </w:r>
      <w:r w:rsidRPr="003478AF">
        <w:rPr>
          <w:rFonts w:eastAsia="MinionPro-Regular" w:cs="Arial"/>
          <w:szCs w:val="20"/>
        </w:rPr>
        <w:t xml:space="preserve"> ukierunkowane na realizacj</w:t>
      </w:r>
      <w:r w:rsidR="007C5EA3" w:rsidRPr="003478AF">
        <w:rPr>
          <w:rFonts w:eastAsia="MinionPro-Regular" w:cs="Arial"/>
          <w:szCs w:val="20"/>
        </w:rPr>
        <w:t>ę</w:t>
      </w:r>
      <w:r w:rsidRPr="003478AF">
        <w:rPr>
          <w:rFonts w:eastAsia="MinionPro-Regular" w:cs="Arial"/>
          <w:szCs w:val="20"/>
        </w:rPr>
        <w:t xml:space="preserve"> polityki przestrzennej województwa określ</w:t>
      </w:r>
      <w:r w:rsidR="00D94934" w:rsidRPr="003478AF">
        <w:rPr>
          <w:rFonts w:eastAsia="MinionPro-Regular" w:cs="Arial"/>
          <w:szCs w:val="20"/>
        </w:rPr>
        <w:t>on</w:t>
      </w:r>
      <w:r w:rsidR="002524AE" w:rsidRPr="003478AF">
        <w:rPr>
          <w:rFonts w:eastAsia="MinionPro-Regular" w:cs="Arial"/>
          <w:szCs w:val="20"/>
        </w:rPr>
        <w:t>o</w:t>
      </w:r>
      <w:r w:rsidR="00D94934" w:rsidRPr="003478AF">
        <w:rPr>
          <w:rFonts w:eastAsia="MinionPro-Regular" w:cs="Arial"/>
          <w:szCs w:val="20"/>
        </w:rPr>
        <w:t xml:space="preserve"> </w:t>
      </w:r>
      <w:r w:rsidR="002524AE" w:rsidRPr="003478AF">
        <w:rPr>
          <w:rFonts w:eastAsia="MinionPro-Regular" w:cs="Arial"/>
          <w:szCs w:val="20"/>
        </w:rPr>
        <w:t>w</w:t>
      </w:r>
      <w:r w:rsidRPr="003478AF">
        <w:rPr>
          <w:rFonts w:eastAsia="MinionPro-Regular" w:cs="Arial"/>
          <w:szCs w:val="20"/>
        </w:rPr>
        <w:t xml:space="preserve"> </w:t>
      </w:r>
      <w:r w:rsidRPr="003478AF">
        <w:rPr>
          <w:rFonts w:eastAsia="MinionPro-Regular" w:cs="Arial"/>
          <w:b/>
          <w:bCs/>
          <w:szCs w:val="20"/>
        </w:rPr>
        <w:t>Planie zagospodarowania</w:t>
      </w:r>
      <w:r w:rsidR="007C5EA3" w:rsidRPr="003478AF">
        <w:rPr>
          <w:rFonts w:eastAsia="MinionPro-Regular" w:cs="Arial"/>
          <w:b/>
          <w:bCs/>
          <w:szCs w:val="20"/>
        </w:rPr>
        <w:t xml:space="preserve"> p</w:t>
      </w:r>
      <w:r w:rsidRPr="003478AF">
        <w:rPr>
          <w:rFonts w:eastAsia="MinionPro-Regular" w:cs="Arial"/>
          <w:b/>
          <w:bCs/>
          <w:szCs w:val="20"/>
        </w:rPr>
        <w:t xml:space="preserve">rzestrzennego </w:t>
      </w:r>
      <w:r w:rsidR="007C5EA3" w:rsidRPr="003478AF">
        <w:rPr>
          <w:rFonts w:eastAsia="MinionPro-Regular" w:cs="Arial"/>
          <w:b/>
          <w:bCs/>
          <w:szCs w:val="20"/>
        </w:rPr>
        <w:lastRenderedPageBreak/>
        <w:t>w</w:t>
      </w:r>
      <w:r w:rsidRPr="003478AF">
        <w:rPr>
          <w:rFonts w:eastAsia="MinionPro-Regular" w:cs="Arial"/>
          <w:b/>
          <w:bCs/>
          <w:szCs w:val="20"/>
        </w:rPr>
        <w:t xml:space="preserve">ojewództwa </w:t>
      </w:r>
      <w:r w:rsidR="007C5EA3" w:rsidRPr="003478AF">
        <w:rPr>
          <w:rFonts w:eastAsia="MinionPro-Regular" w:cs="Arial"/>
          <w:b/>
          <w:bCs/>
          <w:szCs w:val="20"/>
        </w:rPr>
        <w:t>w</w:t>
      </w:r>
      <w:r w:rsidRPr="003478AF">
        <w:rPr>
          <w:rFonts w:eastAsia="MinionPro-Regular" w:cs="Arial"/>
          <w:b/>
          <w:bCs/>
          <w:szCs w:val="20"/>
        </w:rPr>
        <w:t>ielkopolskiego</w:t>
      </w:r>
      <w:r w:rsidR="007C5EA3" w:rsidRPr="003478AF">
        <w:rPr>
          <w:rFonts w:eastAsia="MinionPro-Regular" w:cs="Arial"/>
          <w:b/>
          <w:bCs/>
          <w:szCs w:val="20"/>
        </w:rPr>
        <w:t>. Wielkopolska 2020+ (PZPWW)</w:t>
      </w:r>
      <w:r w:rsidR="00157EBC" w:rsidRPr="003478AF">
        <w:rPr>
          <w:rStyle w:val="Odwoanieprzypisudolnego"/>
        </w:rPr>
        <w:footnoteReference w:id="55"/>
      </w:r>
      <w:r w:rsidRPr="003478AF">
        <w:rPr>
          <w:rFonts w:eastAsia="MinionPro-Regular" w:cs="Arial"/>
          <w:szCs w:val="20"/>
        </w:rPr>
        <w:t xml:space="preserve">. </w:t>
      </w:r>
      <w:r w:rsidR="002524AE" w:rsidRPr="003478AF">
        <w:rPr>
          <w:rFonts w:eastAsia="MinionPro-Regular" w:cs="Arial"/>
          <w:szCs w:val="20"/>
        </w:rPr>
        <w:t>Dokument</w:t>
      </w:r>
      <w:r w:rsidRPr="003478AF">
        <w:rPr>
          <w:rFonts w:eastAsia="MinionPro-Regular" w:cs="Arial"/>
          <w:szCs w:val="20"/>
        </w:rPr>
        <w:t xml:space="preserve"> </w:t>
      </w:r>
      <w:r w:rsidR="008401A1" w:rsidRPr="003478AF">
        <w:rPr>
          <w:rFonts w:eastAsia="MinionPro-Regular" w:cs="Arial"/>
          <w:szCs w:val="20"/>
        </w:rPr>
        <w:t>wskazuje</w:t>
      </w:r>
      <w:r w:rsidRPr="003478AF">
        <w:rPr>
          <w:rFonts w:eastAsia="MinionPro-Regular" w:cs="Arial"/>
          <w:szCs w:val="20"/>
        </w:rPr>
        <w:t xml:space="preserve"> </w:t>
      </w:r>
      <w:r w:rsidR="00CB51CA" w:rsidRPr="003478AF">
        <w:rPr>
          <w:rFonts w:eastAsia="MinionPro-Regular" w:cs="Arial"/>
          <w:szCs w:val="20"/>
        </w:rPr>
        <w:t>konieczne</w:t>
      </w:r>
      <w:r w:rsidR="00F42BCA" w:rsidRPr="003478AF">
        <w:rPr>
          <w:rFonts w:eastAsia="MinionPro-Regular" w:cs="Arial"/>
          <w:szCs w:val="20"/>
        </w:rPr>
        <w:t xml:space="preserve"> do podjęcia </w:t>
      </w:r>
      <w:r w:rsidR="00157EBC" w:rsidRPr="003478AF">
        <w:rPr>
          <w:rFonts w:eastAsia="MinionPro-Regular" w:cs="Arial"/>
          <w:szCs w:val="20"/>
        </w:rPr>
        <w:t>krok</w:t>
      </w:r>
      <w:r w:rsidR="00CB51CA" w:rsidRPr="003478AF">
        <w:rPr>
          <w:rFonts w:eastAsia="MinionPro-Regular" w:cs="Arial"/>
          <w:szCs w:val="20"/>
        </w:rPr>
        <w:t>i w</w:t>
      </w:r>
      <w:r w:rsidR="002524AE" w:rsidRPr="003478AF">
        <w:rPr>
          <w:rFonts w:eastAsia="MinionPro-Regular" w:cs="Arial"/>
          <w:szCs w:val="20"/>
        </w:rPr>
        <w:t xml:space="preserve"> </w:t>
      </w:r>
      <w:r w:rsidRPr="003478AF">
        <w:rPr>
          <w:rFonts w:eastAsia="MinionPro-Regular" w:cs="Arial"/>
          <w:szCs w:val="20"/>
        </w:rPr>
        <w:t>zakres</w:t>
      </w:r>
      <w:r w:rsidR="00CB51CA" w:rsidRPr="003478AF">
        <w:rPr>
          <w:rFonts w:eastAsia="MinionPro-Regular" w:cs="Arial"/>
          <w:szCs w:val="20"/>
        </w:rPr>
        <w:t>ie</w:t>
      </w:r>
      <w:r w:rsidRPr="003478AF">
        <w:rPr>
          <w:rFonts w:eastAsia="MinionPro-Regular" w:cs="Arial"/>
          <w:szCs w:val="20"/>
        </w:rPr>
        <w:t xml:space="preserve"> </w:t>
      </w:r>
      <w:r w:rsidR="002524AE" w:rsidRPr="003478AF">
        <w:rPr>
          <w:rFonts w:eastAsia="MinionPro-Regular" w:cs="Arial"/>
          <w:szCs w:val="20"/>
        </w:rPr>
        <w:t xml:space="preserve">rozwoju </w:t>
      </w:r>
      <w:r w:rsidR="00157EBC" w:rsidRPr="003478AF">
        <w:rPr>
          <w:rFonts w:eastAsia="MinionPro-Regular" w:cs="Arial"/>
          <w:szCs w:val="20"/>
        </w:rPr>
        <w:t>infrastruktury</w:t>
      </w:r>
      <w:r w:rsidR="002524AE" w:rsidRPr="003478AF">
        <w:rPr>
          <w:rFonts w:eastAsia="MinionPro-Regular" w:cs="Arial"/>
          <w:szCs w:val="20"/>
        </w:rPr>
        <w:t xml:space="preserve"> komunalnej</w:t>
      </w:r>
      <w:r w:rsidR="00D94934" w:rsidRPr="003478AF">
        <w:rPr>
          <w:rFonts w:eastAsia="MinionPro-Regular" w:cs="Arial"/>
          <w:szCs w:val="20"/>
        </w:rPr>
        <w:t xml:space="preserve"> w celu </w:t>
      </w:r>
      <w:r w:rsidR="00F42BCA" w:rsidRPr="003478AF">
        <w:rPr>
          <w:rFonts w:eastAsia="MinionPro-Regular" w:cs="Arial"/>
          <w:szCs w:val="20"/>
        </w:rPr>
        <w:t>popraw</w:t>
      </w:r>
      <w:r w:rsidR="00B04C63" w:rsidRPr="003478AF">
        <w:rPr>
          <w:rFonts w:eastAsia="MinionPro-Regular" w:cs="Arial"/>
          <w:szCs w:val="20"/>
        </w:rPr>
        <w:t>y</w:t>
      </w:r>
      <w:r w:rsidR="00F42BCA" w:rsidRPr="003478AF">
        <w:rPr>
          <w:rFonts w:eastAsia="MinionPro-Regular" w:cs="Arial"/>
          <w:szCs w:val="20"/>
        </w:rPr>
        <w:t xml:space="preserve"> funkcjonowania gospodarki odpadami. Są to budow</w:t>
      </w:r>
      <w:r w:rsidR="00B04C63" w:rsidRPr="003478AF">
        <w:rPr>
          <w:rFonts w:eastAsia="MinionPro-Regular" w:cs="Arial"/>
          <w:szCs w:val="20"/>
        </w:rPr>
        <w:t>a</w:t>
      </w:r>
      <w:r w:rsidR="00F42BCA" w:rsidRPr="003478AF">
        <w:rPr>
          <w:rFonts w:eastAsia="MinionPro-Regular" w:cs="Arial"/>
          <w:szCs w:val="20"/>
        </w:rPr>
        <w:t>, rozbudow</w:t>
      </w:r>
      <w:r w:rsidR="00B04C63" w:rsidRPr="003478AF">
        <w:rPr>
          <w:rFonts w:eastAsia="MinionPro-Regular" w:cs="Arial"/>
          <w:szCs w:val="20"/>
        </w:rPr>
        <w:t>a</w:t>
      </w:r>
      <w:r w:rsidR="00F42BCA" w:rsidRPr="003478AF">
        <w:rPr>
          <w:rFonts w:eastAsia="MinionPro-Regular" w:cs="Arial"/>
          <w:szCs w:val="20"/>
        </w:rPr>
        <w:t xml:space="preserve"> i modernizacj</w:t>
      </w:r>
      <w:r w:rsidR="00B04C63" w:rsidRPr="003478AF">
        <w:rPr>
          <w:rFonts w:eastAsia="MinionPro-Regular" w:cs="Arial"/>
          <w:szCs w:val="20"/>
        </w:rPr>
        <w:t>a</w:t>
      </w:r>
      <w:r w:rsidR="00F42BCA" w:rsidRPr="003478AF">
        <w:rPr>
          <w:rFonts w:eastAsia="MinionPro-Regular" w:cs="Arial"/>
          <w:szCs w:val="20"/>
        </w:rPr>
        <w:t xml:space="preserve"> istniejących </w:t>
      </w:r>
      <w:r w:rsidR="00CB7DB0" w:rsidRPr="003478AF">
        <w:rPr>
          <w:rFonts w:eastAsia="MinionPro-Regular" w:cs="Arial"/>
          <w:szCs w:val="20"/>
        </w:rPr>
        <w:br/>
      </w:r>
      <w:r w:rsidR="00F42BCA" w:rsidRPr="003478AF">
        <w:rPr>
          <w:rFonts w:eastAsia="MinionPro-Regular" w:cs="Arial"/>
          <w:szCs w:val="20"/>
        </w:rPr>
        <w:t>i planowanych instalacji regionalnych, wyposażonych w urządzenia do odzysku surowców, materiałów lub energii oraz zamykanie i rekultywacj</w:t>
      </w:r>
      <w:r w:rsidR="004D169E" w:rsidRPr="003478AF">
        <w:rPr>
          <w:rFonts w:eastAsia="MinionPro-Regular" w:cs="Arial"/>
          <w:szCs w:val="20"/>
        </w:rPr>
        <w:t>a</w:t>
      </w:r>
      <w:r w:rsidR="00F42BCA" w:rsidRPr="003478AF">
        <w:rPr>
          <w:rFonts w:eastAsia="MinionPro-Regular" w:cs="Arial"/>
          <w:szCs w:val="20"/>
        </w:rPr>
        <w:t xml:space="preserve"> składowisk niespełniających wymogów ochrony środowiska.</w:t>
      </w:r>
      <w:r w:rsidR="00EF486C" w:rsidRPr="003478AF">
        <w:rPr>
          <w:rFonts w:eastAsia="MinionPro-Regular" w:cs="Arial"/>
          <w:szCs w:val="20"/>
        </w:rPr>
        <w:t xml:space="preserve"> </w:t>
      </w:r>
    </w:p>
    <w:p w14:paraId="1CC5D20E" w14:textId="16C63704" w:rsidR="00EF486C" w:rsidRPr="003478AF" w:rsidRDefault="00F30383" w:rsidP="002E3A7D">
      <w:pPr>
        <w:autoSpaceDE w:val="0"/>
        <w:autoSpaceDN w:val="0"/>
        <w:adjustRightInd w:val="0"/>
        <w:rPr>
          <w:rFonts w:eastAsia="MinionPro-Regular" w:cs="Arial"/>
          <w:szCs w:val="20"/>
        </w:rPr>
      </w:pPr>
      <w:r w:rsidRPr="003478AF">
        <w:rPr>
          <w:rFonts w:eastAsia="MinionPro-Regular" w:cs="Arial"/>
          <w:szCs w:val="20"/>
        </w:rPr>
        <w:t>Równocześnie</w:t>
      </w:r>
      <w:r w:rsidR="00EF486C" w:rsidRPr="003478AF">
        <w:rPr>
          <w:rFonts w:eastAsia="MinionPro-Regular" w:cs="Arial"/>
          <w:szCs w:val="20"/>
        </w:rPr>
        <w:t xml:space="preserve"> zmiany związane z unijnym pakietem GOZ uwzględnia </w:t>
      </w:r>
      <w:r w:rsidR="00EF486C" w:rsidRPr="003478AF">
        <w:rPr>
          <w:rFonts w:eastAsia="MinionPro-Regular" w:cs="Arial"/>
          <w:b/>
          <w:bCs/>
          <w:szCs w:val="20"/>
        </w:rPr>
        <w:t>Plan gospodarki odpadami dla województwa wielkopolskiego na lata 2019-2025 (WPGO)</w:t>
      </w:r>
      <w:r w:rsidR="00B46858" w:rsidRPr="003478AF">
        <w:rPr>
          <w:rStyle w:val="Odwoanieprzypisudolnego"/>
        </w:rPr>
        <w:footnoteReference w:id="56"/>
      </w:r>
      <w:r w:rsidR="00EF486C" w:rsidRPr="003478AF">
        <w:rPr>
          <w:rFonts w:eastAsia="MinionPro-Regular" w:cs="Arial"/>
          <w:szCs w:val="20"/>
        </w:rPr>
        <w:t>. Dokument j</w:t>
      </w:r>
      <w:r w:rsidR="00A905A9" w:rsidRPr="003478AF">
        <w:rPr>
          <w:rFonts w:eastAsia="MinionPro-Regular" w:cs="Arial"/>
          <w:szCs w:val="20"/>
        </w:rPr>
        <w:t>est zgodn</w:t>
      </w:r>
      <w:r w:rsidR="00EF486C" w:rsidRPr="003478AF">
        <w:rPr>
          <w:rFonts w:eastAsia="MinionPro-Regular" w:cs="Arial"/>
          <w:szCs w:val="20"/>
        </w:rPr>
        <w:t>y</w:t>
      </w:r>
      <w:r w:rsidR="00A905A9" w:rsidRPr="003478AF">
        <w:rPr>
          <w:rFonts w:eastAsia="MinionPro-Regular" w:cs="Arial"/>
          <w:szCs w:val="20"/>
        </w:rPr>
        <w:t xml:space="preserve"> z założeniami i aktualnymi celami wskazanymi w krajowym planie gospodarki odpadami (KPGO).</w:t>
      </w:r>
      <w:r w:rsidR="00B92A43" w:rsidRPr="003478AF">
        <w:rPr>
          <w:rFonts w:eastAsia="MinionPro-Regular" w:cs="Arial"/>
          <w:szCs w:val="20"/>
        </w:rPr>
        <w:t xml:space="preserve"> </w:t>
      </w:r>
      <w:r w:rsidR="00774CA4" w:rsidRPr="003478AF">
        <w:rPr>
          <w:rFonts w:eastAsia="MinionPro-Regular" w:cs="Arial"/>
          <w:szCs w:val="20"/>
        </w:rPr>
        <w:t>W ramach planu uwzględniono konieczne działania ukierunkowane na modernizację systemu gospodarki odpadami komunalnymi, w celu osiągnięcia poziomów recyclingu i ograniczenia składowania wskazanych dla lat 2025 i 2030. Pakiet GOZ wprowadza m.in. obowiązek uzyskania 55</w:t>
      </w:r>
      <w:r w:rsidR="008401A1" w:rsidRPr="003478AF">
        <w:rPr>
          <w:rFonts w:eastAsia="MinionPro-Regular" w:cs="Arial"/>
          <w:szCs w:val="20"/>
        </w:rPr>
        <w:t>-procentowego</w:t>
      </w:r>
      <w:r w:rsidR="00774CA4" w:rsidRPr="003478AF">
        <w:rPr>
          <w:rFonts w:eastAsia="MinionPro-Regular" w:cs="Arial"/>
          <w:szCs w:val="20"/>
        </w:rPr>
        <w:t xml:space="preserve"> poziomu przygotowania do ponownego użycia </w:t>
      </w:r>
      <w:r w:rsidR="001B0CB3" w:rsidRPr="003478AF">
        <w:rPr>
          <w:rFonts w:eastAsia="MinionPro-Regular" w:cs="Arial"/>
          <w:szCs w:val="20"/>
        </w:rPr>
        <w:br/>
      </w:r>
      <w:r w:rsidR="00774CA4" w:rsidRPr="003478AF">
        <w:rPr>
          <w:rFonts w:eastAsia="MinionPro-Regular" w:cs="Arial"/>
          <w:szCs w:val="20"/>
        </w:rPr>
        <w:t>i recyklingu dla całego strumienia odpadów komunalnych w 2025</w:t>
      </w:r>
      <w:r w:rsidR="00CC77C5" w:rsidRPr="003478AF">
        <w:rPr>
          <w:rFonts w:eastAsia="MinionPro-Regular" w:cs="Arial"/>
          <w:szCs w:val="20"/>
        </w:rPr>
        <w:t xml:space="preserve"> roku</w:t>
      </w:r>
      <w:r w:rsidR="00774CA4" w:rsidRPr="003478AF">
        <w:rPr>
          <w:rFonts w:eastAsia="MinionPro-Regular" w:cs="Arial"/>
          <w:szCs w:val="20"/>
        </w:rPr>
        <w:t>. Implem</w:t>
      </w:r>
      <w:r w:rsidR="002E3A7D" w:rsidRPr="003478AF">
        <w:rPr>
          <w:rFonts w:eastAsia="MinionPro-Regular" w:cs="Arial"/>
          <w:szCs w:val="20"/>
        </w:rPr>
        <w:t>en</w:t>
      </w:r>
      <w:r w:rsidR="00774CA4" w:rsidRPr="003478AF">
        <w:rPr>
          <w:rFonts w:eastAsia="MinionPro-Regular" w:cs="Arial"/>
          <w:szCs w:val="20"/>
        </w:rPr>
        <w:t xml:space="preserve">tacja założeń pakietu GOZ </w:t>
      </w:r>
      <w:r w:rsidR="002E3A7D" w:rsidRPr="003478AF">
        <w:rPr>
          <w:rFonts w:eastAsia="MinionPro-Regular" w:cs="Arial"/>
          <w:szCs w:val="20"/>
        </w:rPr>
        <w:t>związana jest z potrzebą rozwijania selektywnego zbierania odpadów</w:t>
      </w:r>
      <w:r w:rsidR="00774CA4" w:rsidRPr="003478AF">
        <w:rPr>
          <w:rFonts w:eastAsia="MinionPro-Regular" w:cs="Arial"/>
          <w:szCs w:val="20"/>
        </w:rPr>
        <w:t xml:space="preserve"> </w:t>
      </w:r>
      <w:r w:rsidR="002E3A7D" w:rsidRPr="003478AF">
        <w:rPr>
          <w:rFonts w:eastAsia="MinionPro-Regular" w:cs="Arial"/>
          <w:szCs w:val="20"/>
        </w:rPr>
        <w:t>oraz infrastruktury wspomagającej recykling.</w:t>
      </w:r>
    </w:p>
    <w:p w14:paraId="712D37B7" w14:textId="7710D9CF" w:rsidR="00A74F72" w:rsidRPr="003478AF" w:rsidRDefault="00092306" w:rsidP="00A74F72">
      <w:pPr>
        <w:autoSpaceDE w:val="0"/>
        <w:autoSpaceDN w:val="0"/>
        <w:adjustRightInd w:val="0"/>
        <w:rPr>
          <w:rFonts w:eastAsia="MinionPro-Regular" w:cs="Arial"/>
          <w:szCs w:val="20"/>
        </w:rPr>
      </w:pPr>
      <w:r w:rsidRPr="003478AF">
        <w:rPr>
          <w:rFonts w:eastAsia="MinionPro-Regular" w:cs="Arial"/>
          <w:szCs w:val="20"/>
        </w:rPr>
        <w:t>GOZ zawiera się</w:t>
      </w:r>
      <w:r w:rsidR="005A03D9" w:rsidRPr="003478AF">
        <w:rPr>
          <w:rFonts w:eastAsia="MinionPro-Regular" w:cs="Arial"/>
          <w:szCs w:val="20"/>
        </w:rPr>
        <w:t xml:space="preserve"> </w:t>
      </w:r>
      <w:r w:rsidR="008401A1" w:rsidRPr="003478AF">
        <w:rPr>
          <w:rFonts w:eastAsia="MinionPro-Regular" w:cs="Arial"/>
          <w:szCs w:val="20"/>
        </w:rPr>
        <w:t xml:space="preserve">także </w:t>
      </w:r>
      <w:r w:rsidR="005A03D9" w:rsidRPr="003478AF">
        <w:rPr>
          <w:rFonts w:eastAsia="MinionPro-Regular" w:cs="Arial"/>
          <w:szCs w:val="20"/>
        </w:rPr>
        <w:t>w</w:t>
      </w:r>
      <w:r w:rsidRPr="003478AF">
        <w:rPr>
          <w:rFonts w:eastAsia="MinionPro-Regular" w:cs="Arial"/>
          <w:szCs w:val="20"/>
        </w:rPr>
        <w:t xml:space="preserve"> celach strategicznych </w:t>
      </w:r>
      <w:r w:rsidRPr="003478AF">
        <w:rPr>
          <w:rFonts w:eastAsia="MinionPro-Regular" w:cs="Arial"/>
          <w:b/>
          <w:bCs/>
          <w:szCs w:val="20"/>
        </w:rPr>
        <w:t>Regionalnej Strategii Innowacji dla Wielkopolski 2030 (RIS)</w:t>
      </w:r>
      <w:r w:rsidR="00591C4C" w:rsidRPr="003478AF">
        <w:rPr>
          <w:rStyle w:val="Odwoanieprzypisudolnego"/>
        </w:rPr>
        <w:footnoteReference w:id="57"/>
      </w:r>
      <w:r w:rsidRPr="003478AF">
        <w:rPr>
          <w:rFonts w:eastAsia="MinionPro-Regular" w:cs="Arial"/>
          <w:szCs w:val="20"/>
        </w:rPr>
        <w:t xml:space="preserve"> o charakterze horyzontalnym w ramach realizacji zrównoważonego rozwoju województwa wielkopolskiego. Gospodarkę cyrkularną wskazano jako kierunek </w:t>
      </w:r>
      <w:r w:rsidR="00882A34" w:rsidRPr="003478AF">
        <w:rPr>
          <w:rFonts w:eastAsia="MinionPro-Regular" w:cs="Arial"/>
          <w:szCs w:val="20"/>
        </w:rPr>
        <w:br/>
      </w:r>
      <w:r w:rsidR="00FB48F7" w:rsidRPr="003478AF">
        <w:rPr>
          <w:rFonts w:eastAsia="MinionPro-Regular" w:cs="Arial"/>
          <w:szCs w:val="20"/>
        </w:rPr>
        <w:t>o</w:t>
      </w:r>
      <w:r w:rsidR="00882A34" w:rsidRPr="003478AF">
        <w:rPr>
          <w:rFonts w:eastAsia="MinionPro-Regular" w:cs="Arial"/>
          <w:szCs w:val="20"/>
        </w:rPr>
        <w:t xml:space="preserve"> </w:t>
      </w:r>
      <w:r w:rsidRPr="003478AF">
        <w:rPr>
          <w:rFonts w:eastAsia="MinionPro-Regular" w:cs="Arial"/>
          <w:szCs w:val="20"/>
        </w:rPr>
        <w:t>dużym potencjale rozwojowym w województwie wielkopolskim, szczególnie w subregion</w:t>
      </w:r>
      <w:r w:rsidR="00882A34" w:rsidRPr="003478AF">
        <w:rPr>
          <w:rFonts w:eastAsia="MinionPro-Regular" w:cs="Arial"/>
          <w:szCs w:val="20"/>
        </w:rPr>
        <w:t>ach</w:t>
      </w:r>
      <w:r w:rsidRPr="003478AF">
        <w:rPr>
          <w:rFonts w:eastAsia="MinionPro-Regular" w:cs="Arial"/>
          <w:szCs w:val="20"/>
        </w:rPr>
        <w:t xml:space="preserve"> kaliskim, pilskim, poznańskim i Poznaniu. Wśród regionalnych inteligentnych specjalizacji dla Wielkopolski </w:t>
      </w:r>
      <w:r w:rsidR="00AB4EF7" w:rsidRPr="003478AF">
        <w:rPr>
          <w:rFonts w:eastAsia="MinionPro-Regular" w:cs="Arial"/>
          <w:szCs w:val="20"/>
        </w:rPr>
        <w:t xml:space="preserve">przedstawiono </w:t>
      </w:r>
      <w:r w:rsidRPr="003478AF">
        <w:rPr>
          <w:rFonts w:eastAsia="MinionPro-Regular" w:cs="Arial"/>
          <w:szCs w:val="20"/>
        </w:rPr>
        <w:t xml:space="preserve">te relacjonujące tematycznie z </w:t>
      </w:r>
      <w:r w:rsidR="00882A34" w:rsidRPr="003478AF">
        <w:rPr>
          <w:rFonts w:eastAsia="MinionPro-Regular" w:cs="Arial"/>
          <w:szCs w:val="20"/>
        </w:rPr>
        <w:t>KIS 7</w:t>
      </w:r>
      <w:r w:rsidRPr="003478AF">
        <w:rPr>
          <w:rFonts w:eastAsia="MinionPro-Regular" w:cs="Arial"/>
          <w:szCs w:val="20"/>
        </w:rPr>
        <w:t xml:space="preserve">, tj. </w:t>
      </w:r>
      <w:r w:rsidR="00CD06FA" w:rsidRPr="003478AF">
        <w:rPr>
          <w:rFonts w:eastAsia="MinionPro-Regular" w:cs="Arial"/>
          <w:szCs w:val="20"/>
        </w:rPr>
        <w:t>W</w:t>
      </w:r>
      <w:r w:rsidRPr="003478AF">
        <w:rPr>
          <w:rFonts w:eastAsia="MinionPro-Regular" w:cs="Arial"/>
          <w:szCs w:val="20"/>
        </w:rPr>
        <w:t xml:space="preserve">nętrza przyszłości oraz </w:t>
      </w:r>
      <w:r w:rsidR="00CD06FA" w:rsidRPr="003478AF">
        <w:rPr>
          <w:rFonts w:eastAsia="MinionPro-Regular" w:cs="Arial"/>
          <w:szCs w:val="20"/>
        </w:rPr>
        <w:t>B</w:t>
      </w:r>
      <w:r w:rsidRPr="003478AF">
        <w:rPr>
          <w:rFonts w:eastAsia="MinionPro-Regular" w:cs="Arial"/>
          <w:szCs w:val="20"/>
        </w:rPr>
        <w:t>iosurowce i żywność dla świadomych konsumentów</w:t>
      </w:r>
      <w:r w:rsidRPr="003478AF">
        <w:rPr>
          <w:rStyle w:val="Odwoanieprzypisudolnego"/>
        </w:rPr>
        <w:footnoteReference w:id="58"/>
      </w:r>
      <w:r w:rsidRPr="003478AF">
        <w:rPr>
          <w:rFonts w:eastAsia="MinionPro-Regular" w:cs="Arial"/>
          <w:szCs w:val="20"/>
        </w:rPr>
        <w:t>.</w:t>
      </w:r>
      <w:r w:rsidR="00A74F72" w:rsidRPr="003478AF">
        <w:rPr>
          <w:rFonts w:eastAsia="MinionPro-Regular" w:cs="Arial"/>
          <w:szCs w:val="20"/>
        </w:rPr>
        <w:t xml:space="preserve"> </w:t>
      </w:r>
    </w:p>
    <w:p w14:paraId="01C296E8" w14:textId="2EE64FC9" w:rsidR="00E229DC" w:rsidRPr="003478AF" w:rsidRDefault="00A74F72" w:rsidP="00E229DC">
      <w:pPr>
        <w:autoSpaceDE w:val="0"/>
        <w:autoSpaceDN w:val="0"/>
        <w:adjustRightInd w:val="0"/>
        <w:rPr>
          <w:rFonts w:eastAsia="MinionPro-Regular" w:cs="Arial"/>
          <w:szCs w:val="20"/>
        </w:rPr>
      </w:pPr>
      <w:r w:rsidRPr="003478AF">
        <w:rPr>
          <w:rFonts w:eastAsia="MinionPro-Regular" w:cs="Arial"/>
          <w:szCs w:val="20"/>
        </w:rPr>
        <w:t xml:space="preserve">Dokumentem </w:t>
      </w:r>
      <w:r w:rsidR="002A1624" w:rsidRPr="003478AF">
        <w:rPr>
          <w:rFonts w:eastAsia="MinionPro-Regular" w:cs="Arial"/>
          <w:szCs w:val="20"/>
        </w:rPr>
        <w:t>wdrożeniowym w zakresie funduszy strukturalnych i Funduszu Sp</w:t>
      </w:r>
      <w:r w:rsidR="002A1624" w:rsidRPr="003478AF">
        <w:rPr>
          <w:rFonts w:eastAsia="MinionPro-Regular" w:cs="Arial" w:hint="eastAsia"/>
          <w:szCs w:val="20"/>
        </w:rPr>
        <w:t>ó</w:t>
      </w:r>
      <w:r w:rsidR="002A1624" w:rsidRPr="003478AF">
        <w:rPr>
          <w:rFonts w:eastAsia="MinionPro-Regular" w:cs="Arial"/>
          <w:szCs w:val="20"/>
        </w:rPr>
        <w:t>jno</w:t>
      </w:r>
      <w:r w:rsidR="002A1624" w:rsidRPr="003478AF">
        <w:rPr>
          <w:rFonts w:eastAsia="MinionPro-Regular" w:cs="Arial" w:hint="eastAsia"/>
          <w:szCs w:val="20"/>
        </w:rPr>
        <w:t>ś</w:t>
      </w:r>
      <w:r w:rsidR="002A1624" w:rsidRPr="003478AF">
        <w:rPr>
          <w:rFonts w:eastAsia="MinionPro-Regular" w:cs="Arial"/>
          <w:szCs w:val="20"/>
        </w:rPr>
        <w:t xml:space="preserve">ci, </w:t>
      </w:r>
      <w:r w:rsidRPr="003478AF">
        <w:rPr>
          <w:rFonts w:eastAsia="MinionPro-Regular" w:cs="Arial"/>
          <w:szCs w:val="20"/>
        </w:rPr>
        <w:t xml:space="preserve">określającym obszary działania organów samorządu województwa wielkopolskiego </w:t>
      </w:r>
      <w:r w:rsidR="002A1624" w:rsidRPr="003478AF">
        <w:rPr>
          <w:rFonts w:eastAsia="MinionPro-Regular" w:cs="Arial"/>
          <w:szCs w:val="20"/>
        </w:rPr>
        <w:t xml:space="preserve">m.in. </w:t>
      </w:r>
      <w:r w:rsidRPr="003478AF">
        <w:rPr>
          <w:rFonts w:eastAsia="MinionPro-Regular" w:cs="Arial"/>
          <w:szCs w:val="20"/>
        </w:rPr>
        <w:t xml:space="preserve">na rzecz poprawy konkurencyjności i spójności regionu jest </w:t>
      </w:r>
      <w:r w:rsidRPr="003478AF">
        <w:rPr>
          <w:rFonts w:eastAsia="MinionPro-Regular" w:cs="Arial"/>
          <w:b/>
          <w:bCs/>
          <w:szCs w:val="20"/>
        </w:rPr>
        <w:t>Wielkopolski Regionalny Program Operacyjny</w:t>
      </w:r>
      <w:r w:rsidR="00E229DC" w:rsidRPr="003478AF">
        <w:rPr>
          <w:rFonts w:eastAsia="MinionPro-Regular" w:cs="Arial"/>
          <w:szCs w:val="20"/>
        </w:rPr>
        <w:t xml:space="preserve">. Wśród zasad horyzontalnych </w:t>
      </w:r>
      <w:r w:rsidR="00670CB9" w:rsidRPr="003478AF">
        <w:rPr>
          <w:rFonts w:eastAsia="MinionPro-Regular" w:cs="Arial"/>
          <w:szCs w:val="20"/>
        </w:rPr>
        <w:t xml:space="preserve">w </w:t>
      </w:r>
      <w:r w:rsidR="00E229DC" w:rsidRPr="003478AF">
        <w:rPr>
          <w:rFonts w:eastAsia="MinionPro-Regular" w:cs="Arial"/>
          <w:szCs w:val="20"/>
        </w:rPr>
        <w:t>okresie programowania na lata 2014-2020</w:t>
      </w:r>
      <w:r w:rsidR="00E229DC" w:rsidRPr="003478AF">
        <w:rPr>
          <w:rStyle w:val="Odwoanieprzypisudolnego"/>
        </w:rPr>
        <w:footnoteReference w:id="59"/>
      </w:r>
      <w:r w:rsidR="00E229DC" w:rsidRPr="003478AF">
        <w:rPr>
          <w:rFonts w:eastAsia="MinionPro-Regular" w:cs="Arial"/>
          <w:szCs w:val="20"/>
        </w:rPr>
        <w:t xml:space="preserve"> wskazano</w:t>
      </w:r>
      <w:r w:rsidR="0076129D" w:rsidRPr="003478AF">
        <w:rPr>
          <w:rFonts w:eastAsia="MinionPro-Regular" w:cs="Arial"/>
          <w:szCs w:val="20"/>
        </w:rPr>
        <w:t xml:space="preserve"> z</w:t>
      </w:r>
      <w:r w:rsidR="00E229DC" w:rsidRPr="003478AF">
        <w:rPr>
          <w:rFonts w:eastAsia="MinionPro-Regular" w:cs="Arial"/>
          <w:szCs w:val="20"/>
        </w:rPr>
        <w:t>równoważony rozwój</w:t>
      </w:r>
      <w:r w:rsidR="002A1624" w:rsidRPr="003478AF">
        <w:rPr>
          <w:rFonts w:eastAsia="MinionPro-Regular" w:cs="Arial"/>
          <w:szCs w:val="20"/>
        </w:rPr>
        <w:t xml:space="preserve"> (będący jednym z priorytetów Strategii Europa 2020)</w:t>
      </w:r>
      <w:r w:rsidR="00E229DC" w:rsidRPr="003478AF">
        <w:rPr>
          <w:rFonts w:eastAsia="MinionPro-Regular" w:cs="Arial"/>
          <w:szCs w:val="20"/>
        </w:rPr>
        <w:t xml:space="preserve">. Wśród </w:t>
      </w:r>
      <w:r w:rsidR="002A1624" w:rsidRPr="003478AF">
        <w:rPr>
          <w:rFonts w:eastAsia="MinionPro-Regular" w:cs="Arial"/>
          <w:szCs w:val="20"/>
        </w:rPr>
        <w:t>powiązanych z tą zasadą</w:t>
      </w:r>
      <w:r w:rsidR="00882A34" w:rsidRPr="003478AF">
        <w:rPr>
          <w:rFonts w:eastAsia="MinionPro-Regular" w:cs="Arial"/>
          <w:szCs w:val="20"/>
        </w:rPr>
        <w:t xml:space="preserve"> </w:t>
      </w:r>
      <w:r w:rsidR="00E229DC" w:rsidRPr="003478AF">
        <w:rPr>
          <w:rFonts w:eastAsia="MinionPro-Regular" w:cs="Arial"/>
          <w:szCs w:val="20"/>
        </w:rPr>
        <w:t xml:space="preserve">założeń jest dążenie do zamykania obiegów surowcowych, w tym </w:t>
      </w:r>
      <w:r w:rsidR="00882A34" w:rsidRPr="003478AF">
        <w:rPr>
          <w:rFonts w:eastAsia="MinionPro-Regular" w:cs="Arial"/>
          <w:szCs w:val="20"/>
        </w:rPr>
        <w:t xml:space="preserve">do </w:t>
      </w:r>
      <w:r w:rsidR="00E229DC" w:rsidRPr="003478AF">
        <w:rPr>
          <w:rFonts w:eastAsia="MinionPro-Regular" w:cs="Arial"/>
          <w:szCs w:val="20"/>
        </w:rPr>
        <w:t xml:space="preserve">maksymalizacji oszczędności wody i energii. </w:t>
      </w:r>
      <w:r w:rsidR="00882A34" w:rsidRPr="003478AF">
        <w:rPr>
          <w:rFonts w:eastAsia="MinionPro-Regular" w:cs="Arial"/>
          <w:szCs w:val="20"/>
        </w:rPr>
        <w:t>I</w:t>
      </w:r>
      <w:r w:rsidR="00BF1D1A" w:rsidRPr="003478AF">
        <w:rPr>
          <w:rFonts w:eastAsia="MinionPro-Regular" w:cs="Arial"/>
          <w:szCs w:val="20"/>
        </w:rPr>
        <w:t xml:space="preserve">nstrumenty wsparcia </w:t>
      </w:r>
      <w:r w:rsidR="00E229DC" w:rsidRPr="003478AF">
        <w:rPr>
          <w:rFonts w:eastAsia="MinionPro-Regular" w:cs="Arial"/>
          <w:szCs w:val="20"/>
        </w:rPr>
        <w:t xml:space="preserve">i kryteria wyboru projektów do finansowania </w:t>
      </w:r>
      <w:r w:rsidR="00882A34" w:rsidRPr="003478AF">
        <w:rPr>
          <w:rFonts w:eastAsia="MinionPro-Regular" w:cs="Arial"/>
          <w:szCs w:val="20"/>
        </w:rPr>
        <w:t xml:space="preserve">w ramach regionalnego programu operacyjnego określane są </w:t>
      </w:r>
      <w:r w:rsidR="001C0E52" w:rsidRPr="003478AF">
        <w:rPr>
          <w:rFonts w:eastAsia="MinionPro-Regular" w:cs="Arial"/>
          <w:szCs w:val="20"/>
        </w:rPr>
        <w:br/>
      </w:r>
      <w:r w:rsidR="002A1624" w:rsidRPr="003478AF">
        <w:rPr>
          <w:rFonts w:eastAsia="MinionPro-Regular" w:cs="Arial"/>
          <w:szCs w:val="20"/>
        </w:rPr>
        <w:t xml:space="preserve">właśnie </w:t>
      </w:r>
      <w:r w:rsidR="00E229DC" w:rsidRPr="003478AF">
        <w:rPr>
          <w:rFonts w:eastAsia="MinionPro-Regular" w:cs="Arial"/>
          <w:szCs w:val="20"/>
        </w:rPr>
        <w:t xml:space="preserve">z uwzględnieniem zasady zrównoważonego rozwoju. </w:t>
      </w:r>
    </w:p>
    <w:p w14:paraId="703A1BC3" w14:textId="2DFE4985" w:rsidR="0079320C" w:rsidRPr="003478AF" w:rsidRDefault="00F30383" w:rsidP="0079320C">
      <w:pPr>
        <w:autoSpaceDE w:val="0"/>
        <w:autoSpaceDN w:val="0"/>
        <w:adjustRightInd w:val="0"/>
        <w:rPr>
          <w:rFonts w:eastAsia="CIDFont+F3" w:cs="Arial"/>
          <w:szCs w:val="20"/>
          <w:lang w:eastAsia="pl-PL"/>
        </w:rPr>
      </w:pPr>
      <w:r w:rsidRPr="003478AF">
        <w:rPr>
          <w:rFonts w:eastAsia="MinionPro-Regular" w:cs="Arial"/>
          <w:szCs w:val="20"/>
        </w:rPr>
        <w:lastRenderedPageBreak/>
        <w:t>P</w:t>
      </w:r>
      <w:r w:rsidR="00A21F40" w:rsidRPr="003478AF">
        <w:rPr>
          <w:rFonts w:eastAsia="MinionPro-Regular" w:cs="Arial"/>
          <w:szCs w:val="20"/>
        </w:rPr>
        <w:t xml:space="preserve">odstawowym instrumentem wdrażania </w:t>
      </w:r>
      <w:r w:rsidRPr="003478AF">
        <w:rPr>
          <w:rFonts w:eastAsia="MinionPro-Regular" w:cs="Arial"/>
          <w:szCs w:val="20"/>
        </w:rPr>
        <w:t xml:space="preserve">polityki ekologicznej zbieżnej z założeniami najważniejszych dokumentów strategicznych krajowych i unijnych jest </w:t>
      </w:r>
      <w:r w:rsidR="00A21F40" w:rsidRPr="003478AF">
        <w:rPr>
          <w:rFonts w:eastAsia="MinionPro-Regular" w:cs="Arial"/>
          <w:b/>
          <w:bCs/>
          <w:szCs w:val="20"/>
        </w:rPr>
        <w:t>Program Ochrony Środowiska dla Województwa Wielkopolskiego do roku 2030</w:t>
      </w:r>
      <w:r w:rsidR="00BF1D1A" w:rsidRPr="003478AF">
        <w:rPr>
          <w:rStyle w:val="Odwoanieprzypisudolnego"/>
        </w:rPr>
        <w:footnoteReference w:id="60"/>
      </w:r>
      <w:r w:rsidRPr="003478AF">
        <w:rPr>
          <w:rFonts w:eastAsia="MinionPro-Regular" w:cs="Arial"/>
          <w:szCs w:val="20"/>
        </w:rPr>
        <w:t xml:space="preserve">. </w:t>
      </w:r>
      <w:r w:rsidR="0079320C" w:rsidRPr="003478AF">
        <w:rPr>
          <w:rFonts w:eastAsia="CIDFont+F3" w:cs="Arial"/>
          <w:szCs w:val="20"/>
          <w:lang w:eastAsia="pl-PL"/>
        </w:rPr>
        <w:t>W ramach</w:t>
      </w:r>
      <w:r w:rsidR="00E73469" w:rsidRPr="003478AF">
        <w:rPr>
          <w:rFonts w:eastAsia="CIDFont+F3" w:cs="Arial"/>
          <w:szCs w:val="20"/>
          <w:lang w:eastAsia="pl-PL"/>
        </w:rPr>
        <w:t xml:space="preserve"> wybranych</w:t>
      </w:r>
      <w:r w:rsidR="0079320C" w:rsidRPr="003478AF">
        <w:rPr>
          <w:rFonts w:eastAsia="CIDFont+F3" w:cs="Arial"/>
          <w:szCs w:val="20"/>
          <w:lang w:eastAsia="pl-PL"/>
        </w:rPr>
        <w:t xml:space="preserve"> obszar</w:t>
      </w:r>
      <w:r w:rsidR="00E73469" w:rsidRPr="003478AF">
        <w:rPr>
          <w:rFonts w:eastAsia="CIDFont+F3" w:cs="Arial"/>
          <w:szCs w:val="20"/>
          <w:lang w:eastAsia="pl-PL"/>
        </w:rPr>
        <w:t>ów</w:t>
      </w:r>
      <w:r w:rsidR="0079320C" w:rsidRPr="003478AF">
        <w:rPr>
          <w:rFonts w:eastAsia="CIDFont+F3" w:cs="Arial"/>
          <w:szCs w:val="20"/>
          <w:lang w:eastAsia="pl-PL"/>
        </w:rPr>
        <w:t xml:space="preserve"> interwencji </w:t>
      </w:r>
      <w:r w:rsidR="00E73469" w:rsidRPr="003478AF">
        <w:rPr>
          <w:rFonts w:eastAsia="CIDFont+F3" w:cs="Arial"/>
          <w:szCs w:val="20"/>
          <w:lang w:eastAsia="pl-PL"/>
        </w:rPr>
        <w:t>określono następujące cele wpisujące się w</w:t>
      </w:r>
      <w:r w:rsidRPr="003478AF">
        <w:rPr>
          <w:rFonts w:eastAsia="CIDFont+F3" w:cs="Arial"/>
          <w:szCs w:val="20"/>
          <w:lang w:eastAsia="pl-PL"/>
        </w:rPr>
        <w:t xml:space="preserve"> działania na rzecz implementacji</w:t>
      </w:r>
      <w:r w:rsidR="00E73469" w:rsidRPr="003478AF">
        <w:rPr>
          <w:rFonts w:eastAsia="CIDFont+F3" w:cs="Arial"/>
          <w:szCs w:val="20"/>
          <w:lang w:eastAsia="pl-PL"/>
        </w:rPr>
        <w:t xml:space="preserve"> modelu GOZ:</w:t>
      </w:r>
    </w:p>
    <w:p w14:paraId="178BACEB" w14:textId="774094D2" w:rsidR="0079320C" w:rsidRPr="003478AF" w:rsidRDefault="00E73469" w:rsidP="00B13D49">
      <w:pPr>
        <w:pStyle w:val="Akapitzlist"/>
        <w:numPr>
          <w:ilvl w:val="0"/>
          <w:numId w:val="25"/>
        </w:numPr>
        <w:autoSpaceDE w:val="0"/>
        <w:autoSpaceDN w:val="0"/>
        <w:adjustRightInd w:val="0"/>
        <w:ind w:left="714" w:hanging="357"/>
        <w:rPr>
          <w:rFonts w:eastAsia="CIDFont+F3" w:cs="Arial"/>
          <w:szCs w:val="20"/>
          <w:lang w:eastAsia="pl-PL"/>
        </w:rPr>
      </w:pPr>
      <w:r w:rsidRPr="003478AF">
        <w:rPr>
          <w:rFonts w:eastAsia="CIDFont+F3" w:cs="Arial"/>
          <w:szCs w:val="20"/>
          <w:lang w:eastAsia="pl-PL"/>
        </w:rPr>
        <w:t>Gospodarowanie wodami: racjonalizacja i ograniczenie zużycia wody;</w:t>
      </w:r>
    </w:p>
    <w:p w14:paraId="4D321BE9" w14:textId="050CE3FC" w:rsidR="00E73469" w:rsidRPr="003478AF" w:rsidRDefault="00E73469" w:rsidP="00B13D49">
      <w:pPr>
        <w:pStyle w:val="Akapitzlist"/>
        <w:numPr>
          <w:ilvl w:val="0"/>
          <w:numId w:val="25"/>
        </w:numPr>
        <w:autoSpaceDE w:val="0"/>
        <w:autoSpaceDN w:val="0"/>
        <w:adjustRightInd w:val="0"/>
        <w:ind w:left="714" w:hanging="357"/>
        <w:rPr>
          <w:rFonts w:eastAsia="CIDFont+F3" w:cs="Arial"/>
          <w:szCs w:val="20"/>
          <w:lang w:eastAsia="pl-PL"/>
        </w:rPr>
      </w:pPr>
      <w:r w:rsidRPr="003478AF">
        <w:rPr>
          <w:rFonts w:eastAsia="CIDFont+F3" w:cs="Arial"/>
          <w:szCs w:val="20"/>
          <w:lang w:eastAsia="pl-PL"/>
        </w:rPr>
        <w:t>Gospodarka wodno-ściekowa: poprawa jakości wody</w:t>
      </w:r>
      <w:r w:rsidR="00F30383" w:rsidRPr="003478AF">
        <w:rPr>
          <w:rFonts w:eastAsia="CIDFont+F3" w:cs="Arial"/>
          <w:szCs w:val="20"/>
          <w:lang w:eastAsia="pl-PL"/>
        </w:rPr>
        <w:t>,</w:t>
      </w:r>
      <w:r w:rsidRPr="003478AF">
        <w:rPr>
          <w:rFonts w:eastAsia="CIDFont+F3" w:cs="Arial"/>
          <w:szCs w:val="20"/>
          <w:lang w:eastAsia="pl-PL"/>
        </w:rPr>
        <w:t xml:space="preserve"> wyrównanie dysproporcji pomiędzy stopniem zwodociągowania i skanalizowania </w:t>
      </w:r>
      <w:r w:rsidR="00214DA6" w:rsidRPr="003478AF">
        <w:rPr>
          <w:rFonts w:eastAsia="CIDFont+F3" w:cs="Arial"/>
          <w:szCs w:val="20"/>
          <w:lang w:eastAsia="pl-PL"/>
        </w:rPr>
        <w:t>obszarów</w:t>
      </w:r>
      <w:r w:rsidRPr="003478AF">
        <w:rPr>
          <w:rFonts w:eastAsia="CIDFont+F3" w:cs="Arial"/>
          <w:szCs w:val="20"/>
          <w:lang w:eastAsia="pl-PL"/>
        </w:rPr>
        <w:t xml:space="preserve"> wiejskich</w:t>
      </w:r>
      <w:r w:rsidR="00F30383" w:rsidRPr="003478AF">
        <w:rPr>
          <w:rFonts w:eastAsia="CIDFont+F3" w:cs="Arial"/>
          <w:szCs w:val="20"/>
          <w:lang w:eastAsia="pl-PL"/>
        </w:rPr>
        <w:t>;</w:t>
      </w:r>
    </w:p>
    <w:p w14:paraId="134A5521" w14:textId="4B9A275A" w:rsidR="00E73469" w:rsidRPr="003478AF" w:rsidRDefault="00E73469" w:rsidP="00B13D49">
      <w:pPr>
        <w:pStyle w:val="Akapitzlist"/>
        <w:numPr>
          <w:ilvl w:val="0"/>
          <w:numId w:val="25"/>
        </w:numPr>
        <w:autoSpaceDE w:val="0"/>
        <w:autoSpaceDN w:val="0"/>
        <w:adjustRightInd w:val="0"/>
        <w:ind w:left="714" w:hanging="357"/>
        <w:rPr>
          <w:rFonts w:eastAsia="CIDFont+F3" w:cs="Arial"/>
          <w:szCs w:val="20"/>
          <w:lang w:eastAsia="pl-PL"/>
        </w:rPr>
      </w:pPr>
      <w:r w:rsidRPr="003478AF">
        <w:rPr>
          <w:rFonts w:eastAsia="CIDFont+F3" w:cs="Arial"/>
          <w:szCs w:val="20"/>
          <w:lang w:eastAsia="pl-PL"/>
        </w:rPr>
        <w:t>Zasoby geologiczne: ograniczenie presji wywieranej na środowisko podczas wydobycia kopalin</w:t>
      </w:r>
      <w:r w:rsidR="00F30383" w:rsidRPr="003478AF">
        <w:rPr>
          <w:rFonts w:eastAsia="CIDFont+F3" w:cs="Arial"/>
          <w:szCs w:val="20"/>
          <w:lang w:eastAsia="pl-PL"/>
        </w:rPr>
        <w:t>,</w:t>
      </w:r>
      <w:r w:rsidRPr="003478AF">
        <w:rPr>
          <w:rFonts w:eastAsia="CIDFont+F3" w:cs="Arial"/>
          <w:szCs w:val="20"/>
          <w:lang w:eastAsia="pl-PL"/>
        </w:rPr>
        <w:t xml:space="preserve"> rekultywacja terenów poeksploatacyjnych</w:t>
      </w:r>
      <w:r w:rsidR="00F30383" w:rsidRPr="003478AF">
        <w:rPr>
          <w:rFonts w:eastAsia="CIDFont+F3" w:cs="Arial"/>
          <w:szCs w:val="20"/>
          <w:lang w:eastAsia="pl-PL"/>
        </w:rPr>
        <w:t>;</w:t>
      </w:r>
    </w:p>
    <w:p w14:paraId="5B577A0B" w14:textId="389F8D3A" w:rsidR="00E73469" w:rsidRPr="003478AF" w:rsidRDefault="00E73469" w:rsidP="00B13D49">
      <w:pPr>
        <w:pStyle w:val="Akapitzlist"/>
        <w:numPr>
          <w:ilvl w:val="0"/>
          <w:numId w:val="25"/>
        </w:numPr>
        <w:autoSpaceDE w:val="0"/>
        <w:autoSpaceDN w:val="0"/>
        <w:adjustRightInd w:val="0"/>
        <w:ind w:left="714" w:hanging="357"/>
        <w:rPr>
          <w:rFonts w:eastAsia="CIDFont+F3" w:cs="Arial"/>
          <w:szCs w:val="20"/>
          <w:lang w:eastAsia="pl-PL"/>
        </w:rPr>
      </w:pPr>
      <w:r w:rsidRPr="003478AF">
        <w:rPr>
          <w:rFonts w:eastAsia="CIDFont+F3" w:cs="Arial"/>
          <w:szCs w:val="20"/>
          <w:lang w:eastAsia="pl-PL"/>
        </w:rPr>
        <w:t>Gleby: ochrona gleb przed degradacją, utrzymanie dobrej jakości gleb</w:t>
      </w:r>
      <w:r w:rsidR="00F30383" w:rsidRPr="003478AF">
        <w:rPr>
          <w:rFonts w:eastAsia="CIDFont+F3" w:cs="Arial"/>
          <w:szCs w:val="20"/>
          <w:lang w:eastAsia="pl-PL"/>
        </w:rPr>
        <w:t>, r</w:t>
      </w:r>
      <w:r w:rsidRPr="003478AF">
        <w:rPr>
          <w:rFonts w:eastAsia="CIDFont+F3" w:cs="Arial"/>
          <w:szCs w:val="20"/>
          <w:lang w:eastAsia="pl-PL"/>
        </w:rPr>
        <w:t xml:space="preserve">ekultywacja </w:t>
      </w:r>
      <w:r w:rsidR="001C0E52" w:rsidRPr="003478AF">
        <w:rPr>
          <w:rFonts w:eastAsia="CIDFont+F3" w:cs="Arial"/>
          <w:szCs w:val="20"/>
          <w:lang w:eastAsia="pl-PL"/>
        </w:rPr>
        <w:br/>
      </w:r>
      <w:r w:rsidR="00FB48F7" w:rsidRPr="003478AF">
        <w:rPr>
          <w:rFonts w:eastAsia="CIDFont+F3" w:cs="Arial"/>
          <w:szCs w:val="20"/>
          <w:lang w:eastAsia="pl-PL"/>
        </w:rPr>
        <w:t>i</w:t>
      </w:r>
      <w:r w:rsidR="001C0E52" w:rsidRPr="003478AF">
        <w:rPr>
          <w:rFonts w:eastAsia="CIDFont+F3" w:cs="Arial"/>
          <w:szCs w:val="20"/>
          <w:lang w:eastAsia="pl-PL"/>
        </w:rPr>
        <w:t xml:space="preserve"> </w:t>
      </w:r>
      <w:r w:rsidRPr="003478AF">
        <w:rPr>
          <w:rFonts w:eastAsia="CIDFont+F3" w:cs="Arial"/>
          <w:szCs w:val="20"/>
          <w:lang w:eastAsia="pl-PL"/>
        </w:rPr>
        <w:t>rewitalizacja terenów zdegradowanych</w:t>
      </w:r>
      <w:r w:rsidR="00F30383" w:rsidRPr="003478AF">
        <w:rPr>
          <w:rFonts w:eastAsia="CIDFont+F3" w:cs="Arial"/>
          <w:szCs w:val="20"/>
          <w:lang w:eastAsia="pl-PL"/>
        </w:rPr>
        <w:t>;</w:t>
      </w:r>
    </w:p>
    <w:p w14:paraId="4F5E8A03" w14:textId="481F9631" w:rsidR="00E73469" w:rsidRPr="003478AF" w:rsidRDefault="00E73469" w:rsidP="00B13D49">
      <w:pPr>
        <w:pStyle w:val="Akapitzlist"/>
        <w:numPr>
          <w:ilvl w:val="0"/>
          <w:numId w:val="25"/>
        </w:numPr>
        <w:autoSpaceDE w:val="0"/>
        <w:autoSpaceDN w:val="0"/>
        <w:adjustRightInd w:val="0"/>
        <w:ind w:left="714" w:hanging="357"/>
        <w:rPr>
          <w:rFonts w:eastAsia="CIDFont+F3" w:cs="Arial"/>
          <w:szCs w:val="20"/>
          <w:lang w:eastAsia="pl-PL"/>
        </w:rPr>
      </w:pPr>
      <w:r w:rsidRPr="003478AF">
        <w:rPr>
          <w:rFonts w:eastAsia="CIDFont+F3" w:cs="Arial"/>
          <w:szCs w:val="20"/>
          <w:lang w:eastAsia="pl-PL"/>
        </w:rPr>
        <w:t>Gospodarka odpadami i zapobieganie powstawaniu odpadów</w:t>
      </w:r>
      <w:r w:rsidR="00F30383" w:rsidRPr="003478AF">
        <w:rPr>
          <w:rFonts w:eastAsia="CIDFont+F3" w:cs="Arial"/>
          <w:szCs w:val="20"/>
          <w:lang w:eastAsia="pl-PL"/>
        </w:rPr>
        <w:t>: r</w:t>
      </w:r>
      <w:r w:rsidRPr="003478AF">
        <w:rPr>
          <w:rFonts w:eastAsia="CIDFont+F3" w:cs="Arial"/>
          <w:szCs w:val="20"/>
          <w:lang w:eastAsia="pl-PL"/>
        </w:rPr>
        <w:t>edukcja ilości wytwarzanych odpadów, w szczególności zmieszanych odpadów</w:t>
      </w:r>
      <w:r w:rsidR="00F30383" w:rsidRPr="003478AF">
        <w:rPr>
          <w:rFonts w:eastAsia="CIDFont+F3" w:cs="Arial"/>
          <w:szCs w:val="20"/>
          <w:lang w:eastAsia="pl-PL"/>
        </w:rPr>
        <w:t xml:space="preserve"> </w:t>
      </w:r>
      <w:r w:rsidRPr="003478AF">
        <w:rPr>
          <w:rFonts w:eastAsia="CIDFont+F3" w:cs="Arial"/>
          <w:szCs w:val="20"/>
          <w:lang w:eastAsia="pl-PL"/>
        </w:rPr>
        <w:t>komunalnych</w:t>
      </w:r>
      <w:r w:rsidR="00F30383" w:rsidRPr="003478AF">
        <w:rPr>
          <w:rFonts w:eastAsia="CIDFont+F3" w:cs="Arial"/>
          <w:szCs w:val="20"/>
          <w:lang w:eastAsia="pl-PL"/>
        </w:rPr>
        <w:t>, o</w:t>
      </w:r>
      <w:r w:rsidRPr="003478AF">
        <w:rPr>
          <w:rFonts w:eastAsia="CIDFont+F3" w:cs="Arial"/>
          <w:szCs w:val="20"/>
          <w:lang w:eastAsia="pl-PL"/>
        </w:rPr>
        <w:t>graniczenie ilości odpadów komunalnych przekazywanych do składowania</w:t>
      </w:r>
      <w:r w:rsidR="00F30383" w:rsidRPr="003478AF">
        <w:rPr>
          <w:rFonts w:eastAsia="CIDFont+F3" w:cs="Arial"/>
          <w:szCs w:val="20"/>
          <w:lang w:eastAsia="pl-PL"/>
        </w:rPr>
        <w:t>, o</w:t>
      </w:r>
      <w:r w:rsidRPr="003478AF">
        <w:rPr>
          <w:rFonts w:eastAsia="CIDFont+F3" w:cs="Arial"/>
          <w:szCs w:val="20"/>
          <w:lang w:eastAsia="pl-PL"/>
        </w:rPr>
        <w:t>graniczenie nielegalnego obrotu odpadami</w:t>
      </w:r>
      <w:r w:rsidR="00F30383" w:rsidRPr="003478AF">
        <w:rPr>
          <w:rFonts w:eastAsia="CIDFont+F3" w:cs="Arial"/>
          <w:szCs w:val="20"/>
          <w:lang w:eastAsia="pl-PL"/>
        </w:rPr>
        <w:t>;</w:t>
      </w:r>
    </w:p>
    <w:p w14:paraId="1D810A91" w14:textId="7ED1B5B5" w:rsidR="00E73469" w:rsidRPr="003478AF" w:rsidRDefault="00E73469" w:rsidP="00B13D49">
      <w:pPr>
        <w:pStyle w:val="Akapitzlist"/>
        <w:numPr>
          <w:ilvl w:val="0"/>
          <w:numId w:val="25"/>
        </w:numPr>
        <w:autoSpaceDE w:val="0"/>
        <w:autoSpaceDN w:val="0"/>
        <w:adjustRightInd w:val="0"/>
        <w:ind w:left="714" w:hanging="357"/>
        <w:rPr>
          <w:rFonts w:eastAsia="CIDFont+F3" w:cs="Arial"/>
          <w:szCs w:val="20"/>
          <w:lang w:eastAsia="pl-PL"/>
        </w:rPr>
      </w:pPr>
      <w:r w:rsidRPr="003478AF">
        <w:rPr>
          <w:rFonts w:eastAsia="CIDFont+F3" w:cs="Arial"/>
          <w:szCs w:val="20"/>
          <w:lang w:eastAsia="pl-PL"/>
        </w:rPr>
        <w:t xml:space="preserve">Zasoby przyrodnicze: </w:t>
      </w:r>
      <w:r w:rsidR="00F30383" w:rsidRPr="003478AF">
        <w:rPr>
          <w:rFonts w:eastAsia="CIDFont+F3" w:cs="Arial"/>
          <w:szCs w:val="20"/>
          <w:lang w:eastAsia="pl-PL"/>
        </w:rPr>
        <w:t>z</w:t>
      </w:r>
      <w:r w:rsidRPr="003478AF">
        <w:rPr>
          <w:rFonts w:eastAsia="CIDFont+F3" w:cs="Arial"/>
          <w:szCs w:val="20"/>
          <w:lang w:eastAsia="pl-PL"/>
        </w:rPr>
        <w:t>achowanie różnorodności biologicznej</w:t>
      </w:r>
      <w:r w:rsidR="00F30383" w:rsidRPr="003478AF">
        <w:rPr>
          <w:rFonts w:eastAsia="CIDFont+F3" w:cs="Arial"/>
          <w:szCs w:val="20"/>
          <w:lang w:eastAsia="pl-PL"/>
        </w:rPr>
        <w:t>;</w:t>
      </w:r>
    </w:p>
    <w:p w14:paraId="49EACF96" w14:textId="425B80AB" w:rsidR="00E73469" w:rsidRPr="003478AF" w:rsidRDefault="00E73469" w:rsidP="00B13D49">
      <w:pPr>
        <w:pStyle w:val="Akapitzlist"/>
        <w:numPr>
          <w:ilvl w:val="0"/>
          <w:numId w:val="25"/>
        </w:numPr>
        <w:autoSpaceDE w:val="0"/>
        <w:autoSpaceDN w:val="0"/>
        <w:adjustRightInd w:val="0"/>
        <w:ind w:left="714" w:hanging="357"/>
        <w:rPr>
          <w:rFonts w:eastAsia="CIDFont+F3" w:cs="Arial"/>
          <w:szCs w:val="20"/>
          <w:lang w:eastAsia="pl-PL"/>
        </w:rPr>
      </w:pPr>
      <w:r w:rsidRPr="003478AF">
        <w:rPr>
          <w:rFonts w:eastAsia="CIDFont+F3" w:cs="Arial"/>
          <w:szCs w:val="20"/>
          <w:lang w:eastAsia="pl-PL"/>
        </w:rPr>
        <w:t>Edukacja</w:t>
      </w:r>
      <w:r w:rsidR="00F30383" w:rsidRPr="003478AF">
        <w:rPr>
          <w:rFonts w:eastAsia="CIDFont+F3" w:cs="Arial"/>
          <w:szCs w:val="20"/>
          <w:lang w:eastAsia="pl-PL"/>
        </w:rPr>
        <w:t xml:space="preserve">: </w:t>
      </w:r>
      <w:r w:rsidR="00214DA6" w:rsidRPr="003478AF">
        <w:rPr>
          <w:rFonts w:eastAsia="CIDFont+F3" w:cs="Arial"/>
          <w:szCs w:val="20"/>
          <w:lang w:eastAsia="pl-PL"/>
        </w:rPr>
        <w:t xml:space="preserve">zwiększanie </w:t>
      </w:r>
      <w:r w:rsidR="00F30383" w:rsidRPr="003478AF">
        <w:rPr>
          <w:rFonts w:eastAsia="CIDFont+F3" w:cs="Arial"/>
          <w:szCs w:val="20"/>
          <w:lang w:eastAsia="pl-PL"/>
        </w:rPr>
        <w:t>ś</w:t>
      </w:r>
      <w:r w:rsidRPr="003478AF">
        <w:rPr>
          <w:rFonts w:eastAsia="CIDFont+F3" w:cs="Arial"/>
          <w:szCs w:val="20"/>
          <w:lang w:eastAsia="pl-PL"/>
        </w:rPr>
        <w:t>wiadom</w:t>
      </w:r>
      <w:r w:rsidR="00214DA6" w:rsidRPr="003478AF">
        <w:rPr>
          <w:rFonts w:eastAsia="CIDFont+F3" w:cs="Arial"/>
          <w:szCs w:val="20"/>
          <w:lang w:eastAsia="pl-PL"/>
        </w:rPr>
        <w:t>ości</w:t>
      </w:r>
      <w:r w:rsidRPr="003478AF">
        <w:rPr>
          <w:rFonts w:eastAsia="CIDFont+F3" w:cs="Arial"/>
          <w:szCs w:val="20"/>
          <w:lang w:eastAsia="pl-PL"/>
        </w:rPr>
        <w:t xml:space="preserve"> ekologiczn</w:t>
      </w:r>
      <w:r w:rsidR="00214DA6" w:rsidRPr="003478AF">
        <w:rPr>
          <w:rFonts w:eastAsia="CIDFont+F3" w:cs="Arial"/>
          <w:szCs w:val="20"/>
          <w:lang w:eastAsia="pl-PL"/>
        </w:rPr>
        <w:t>ej</w:t>
      </w:r>
      <w:r w:rsidRPr="003478AF">
        <w:rPr>
          <w:rFonts w:eastAsia="CIDFont+F3" w:cs="Arial"/>
          <w:szCs w:val="20"/>
          <w:lang w:eastAsia="pl-PL"/>
        </w:rPr>
        <w:t xml:space="preserve"> społeczeństw</w:t>
      </w:r>
      <w:r w:rsidR="00214DA6" w:rsidRPr="003478AF">
        <w:rPr>
          <w:rFonts w:eastAsia="CIDFont+F3" w:cs="Arial"/>
          <w:szCs w:val="20"/>
          <w:lang w:eastAsia="pl-PL"/>
        </w:rPr>
        <w:t>a;</w:t>
      </w:r>
    </w:p>
    <w:p w14:paraId="656DC995" w14:textId="25586E9F" w:rsidR="00E73469" w:rsidRPr="003478AF" w:rsidRDefault="00E73469" w:rsidP="00B13D49">
      <w:pPr>
        <w:pStyle w:val="Akapitzlist"/>
        <w:numPr>
          <w:ilvl w:val="0"/>
          <w:numId w:val="25"/>
        </w:numPr>
        <w:autoSpaceDE w:val="0"/>
        <w:autoSpaceDN w:val="0"/>
        <w:adjustRightInd w:val="0"/>
        <w:ind w:left="714" w:hanging="357"/>
        <w:rPr>
          <w:rFonts w:eastAsia="CIDFont+F3" w:cs="Arial"/>
          <w:szCs w:val="20"/>
          <w:lang w:eastAsia="pl-PL"/>
        </w:rPr>
      </w:pPr>
      <w:r w:rsidRPr="003478AF">
        <w:rPr>
          <w:rFonts w:eastAsia="CIDFont+F3" w:cs="Arial"/>
          <w:szCs w:val="20"/>
          <w:lang w:eastAsia="pl-PL"/>
        </w:rPr>
        <w:t xml:space="preserve">Monitoring środowiska: zapewnienie aktualnych i wiarygodnych informacji </w:t>
      </w:r>
      <w:r w:rsidR="004C5BDE" w:rsidRPr="003478AF">
        <w:rPr>
          <w:rFonts w:eastAsia="CIDFont+F3" w:cs="Arial"/>
          <w:szCs w:val="20"/>
          <w:lang w:eastAsia="pl-PL"/>
        </w:rPr>
        <w:br/>
      </w:r>
      <w:r w:rsidRPr="003478AF">
        <w:rPr>
          <w:rFonts w:eastAsia="CIDFont+F3" w:cs="Arial"/>
          <w:szCs w:val="20"/>
          <w:lang w:eastAsia="pl-PL"/>
        </w:rPr>
        <w:t>o stanie środowiska</w:t>
      </w:r>
      <w:r w:rsidR="00F30383" w:rsidRPr="003478AF">
        <w:rPr>
          <w:rFonts w:eastAsia="CIDFont+F3" w:cs="Arial"/>
          <w:szCs w:val="20"/>
          <w:lang w:eastAsia="pl-PL"/>
        </w:rPr>
        <w:t>.</w:t>
      </w:r>
    </w:p>
    <w:p w14:paraId="2F5FD508" w14:textId="0A7C6F2C" w:rsidR="00E73469" w:rsidRPr="003478AF" w:rsidRDefault="00E73469" w:rsidP="0079320C">
      <w:pPr>
        <w:autoSpaceDE w:val="0"/>
        <w:autoSpaceDN w:val="0"/>
        <w:adjustRightInd w:val="0"/>
        <w:rPr>
          <w:rFonts w:eastAsia="CIDFont+F3" w:cs="Arial"/>
          <w:szCs w:val="20"/>
          <w:lang w:eastAsia="pl-PL"/>
        </w:rPr>
      </w:pPr>
    </w:p>
    <w:p w14:paraId="017CEFD2" w14:textId="77777777" w:rsidR="00994C32" w:rsidRPr="003478AF" w:rsidRDefault="00994C32" w:rsidP="00B04C63">
      <w:pPr>
        <w:autoSpaceDE w:val="0"/>
        <w:autoSpaceDN w:val="0"/>
        <w:adjustRightInd w:val="0"/>
        <w:ind w:firstLine="0"/>
        <w:rPr>
          <w:rFonts w:eastAsia="MinionPro-Regular" w:cs="Arial"/>
          <w:szCs w:val="20"/>
        </w:rPr>
      </w:pPr>
    </w:p>
    <w:p w14:paraId="78E073B6" w14:textId="6B8DE698" w:rsidR="00D94934" w:rsidRPr="003478AF" w:rsidRDefault="003877CE" w:rsidP="00821C66">
      <w:pPr>
        <w:spacing w:line="240" w:lineRule="auto"/>
        <w:ind w:firstLine="0"/>
      </w:pPr>
      <w:bookmarkStart w:id="31" w:name="_Toc43140891"/>
      <w:r w:rsidRPr="003478AF">
        <w:br w:type="page"/>
      </w:r>
    </w:p>
    <w:p w14:paraId="72581A94" w14:textId="77777777" w:rsidR="00C977E8" w:rsidRPr="003478AF" w:rsidRDefault="00C977E8" w:rsidP="00C977E8"/>
    <w:p w14:paraId="3C2BC6AE" w14:textId="001FF9B0" w:rsidR="004F5404" w:rsidRPr="003478AF" w:rsidRDefault="009D62AD">
      <w:pPr>
        <w:pStyle w:val="Nagwek1"/>
      </w:pPr>
      <w:bookmarkStart w:id="32" w:name="_Toc82159993"/>
      <w:r w:rsidRPr="003478AF">
        <w:t xml:space="preserve">Kluczowe obszary rozwoju GOZ w Polsce </w:t>
      </w:r>
      <w:r w:rsidR="00B91DF8" w:rsidRPr="003478AF">
        <w:br/>
      </w:r>
      <w:r w:rsidRPr="003478AF">
        <w:t>i województwie wielkopolskim</w:t>
      </w:r>
      <w:bookmarkStart w:id="33" w:name="_Toc43140892"/>
      <w:bookmarkEnd w:id="31"/>
      <w:bookmarkEnd w:id="32"/>
    </w:p>
    <w:p w14:paraId="57EA11C0" w14:textId="6A9117E4" w:rsidR="00E12FCC" w:rsidRPr="003478AF" w:rsidRDefault="009565FC">
      <w:pPr>
        <w:pStyle w:val="Nagwek2"/>
      </w:pPr>
      <w:bookmarkStart w:id="34" w:name="_Toc82159994"/>
      <w:r w:rsidRPr="003478AF">
        <w:t xml:space="preserve">3.1. </w:t>
      </w:r>
      <w:r w:rsidR="00E12FCC" w:rsidRPr="003478AF">
        <w:t>Aspekty rozwoju GOZ</w:t>
      </w:r>
      <w:bookmarkEnd w:id="34"/>
    </w:p>
    <w:p w14:paraId="7CC25435" w14:textId="215EE1E3" w:rsidR="0078591D" w:rsidRPr="003478AF" w:rsidRDefault="00695795" w:rsidP="0078591D">
      <w:pPr>
        <w:rPr>
          <w:rFonts w:cs="Arial"/>
          <w:szCs w:val="20"/>
        </w:rPr>
      </w:pPr>
      <w:r w:rsidRPr="003478AF">
        <w:rPr>
          <w:rFonts w:cs="Arial"/>
          <w:szCs w:val="20"/>
        </w:rPr>
        <w:t xml:space="preserve">Gospodarka o obiegu zamkniętym jest koncepcją międzysektorową. Z tego względu GOZ jako obecnie wdrażany model ekonomiczny wymaga uwzględnienia szeregu powiązań gospodarczych, środowiskowych i społecznych. </w:t>
      </w:r>
      <w:r w:rsidR="001C0E52" w:rsidRPr="003478AF">
        <w:rPr>
          <w:rFonts w:cs="Arial"/>
          <w:szCs w:val="20"/>
        </w:rPr>
        <w:t>J</w:t>
      </w:r>
      <w:r w:rsidRPr="003478AF">
        <w:rPr>
          <w:rFonts w:cs="Arial"/>
          <w:szCs w:val="20"/>
        </w:rPr>
        <w:t xml:space="preserve">ako model horyzontalny powinien obejmować wszystkie obszary gospodarki. </w:t>
      </w:r>
      <w:r w:rsidR="00B16F1D" w:rsidRPr="003478AF">
        <w:rPr>
          <w:rFonts w:cs="Arial"/>
          <w:szCs w:val="20"/>
        </w:rPr>
        <w:t xml:space="preserve">U podstaw </w:t>
      </w:r>
      <w:r w:rsidR="001C0E52" w:rsidRPr="003478AF">
        <w:rPr>
          <w:rFonts w:cs="Arial"/>
          <w:szCs w:val="20"/>
        </w:rPr>
        <w:t xml:space="preserve">gospodarki cyrkularnej </w:t>
      </w:r>
      <w:r w:rsidR="00B16F1D" w:rsidRPr="003478AF">
        <w:rPr>
          <w:rFonts w:cs="Arial"/>
          <w:szCs w:val="20"/>
        </w:rPr>
        <w:t xml:space="preserve">znajduje się </w:t>
      </w:r>
      <w:r w:rsidR="0078591D" w:rsidRPr="003478AF">
        <w:rPr>
          <w:rFonts w:cs="Arial"/>
          <w:szCs w:val="20"/>
        </w:rPr>
        <w:t>r</w:t>
      </w:r>
      <w:r w:rsidR="00B16F1D" w:rsidRPr="003478AF">
        <w:rPr>
          <w:rFonts w:cs="Arial"/>
          <w:szCs w:val="20"/>
        </w:rPr>
        <w:t>ecykling i odzysk</w:t>
      </w:r>
      <w:r w:rsidR="0078591D" w:rsidRPr="003478AF">
        <w:rPr>
          <w:rFonts w:cs="Arial"/>
          <w:szCs w:val="20"/>
        </w:rPr>
        <w:t xml:space="preserve">. Jednak jest to niewielki wycinek z całej idei GOZ. Już dziś można zaobserwować trendy wiodące oraz identyfikować, tzw. megatrendy, które będą miały </w:t>
      </w:r>
      <w:r w:rsidR="001C0E52" w:rsidRPr="003478AF">
        <w:rPr>
          <w:rFonts w:cs="Arial"/>
          <w:szCs w:val="20"/>
        </w:rPr>
        <w:t xml:space="preserve">duże </w:t>
      </w:r>
      <w:r w:rsidR="0078591D" w:rsidRPr="003478AF">
        <w:rPr>
          <w:rFonts w:cs="Arial"/>
          <w:szCs w:val="20"/>
        </w:rPr>
        <w:t xml:space="preserve">znaczenie w procesie przekształceń gospodarek w kierunku GOZ w przyszłości. Megatrendami są obecnie: nowe źródła energii i efektywność energetyczna, selektywna zbiórka odpadów </w:t>
      </w:r>
      <w:r w:rsidR="001B0CB3" w:rsidRPr="003478AF">
        <w:rPr>
          <w:rFonts w:cs="Arial"/>
          <w:szCs w:val="20"/>
        </w:rPr>
        <w:br/>
      </w:r>
      <w:r w:rsidR="0078591D" w:rsidRPr="003478AF">
        <w:rPr>
          <w:rFonts w:cs="Arial"/>
          <w:szCs w:val="20"/>
        </w:rPr>
        <w:t>i recykling, zmiany w</w:t>
      </w:r>
      <w:r w:rsidR="001C0E52" w:rsidRPr="003478AF">
        <w:rPr>
          <w:rFonts w:cs="Arial"/>
          <w:szCs w:val="20"/>
        </w:rPr>
        <w:t xml:space="preserve"> </w:t>
      </w:r>
      <w:r w:rsidR="0078591D" w:rsidRPr="003478AF">
        <w:rPr>
          <w:rFonts w:cs="Arial"/>
          <w:szCs w:val="20"/>
        </w:rPr>
        <w:t>zachowaniu konsumentów, poszukiwanie nowych modeli biznesowych, ekoprojektowanie, a także tzw. zielone zamówienia publiczne</w:t>
      </w:r>
      <w:r w:rsidR="00241AFC" w:rsidRPr="003478AF">
        <w:rPr>
          <w:rStyle w:val="Odwoanieprzypisudolnego"/>
          <w:rFonts w:cs="Arial"/>
          <w:szCs w:val="20"/>
        </w:rPr>
        <w:footnoteReference w:id="61"/>
      </w:r>
      <w:r w:rsidR="00241AFC" w:rsidRPr="003478AF">
        <w:rPr>
          <w:rFonts w:cs="Arial"/>
          <w:szCs w:val="20"/>
        </w:rPr>
        <w:t>.</w:t>
      </w:r>
    </w:p>
    <w:p w14:paraId="1E9DEE30" w14:textId="56D577B3" w:rsidR="00695795" w:rsidRPr="003478AF" w:rsidRDefault="00695795" w:rsidP="00695795">
      <w:pPr>
        <w:rPr>
          <w:rFonts w:cs="Arial"/>
          <w:szCs w:val="20"/>
        </w:rPr>
      </w:pPr>
      <w:r w:rsidRPr="003478AF">
        <w:rPr>
          <w:rFonts w:cs="Arial"/>
          <w:szCs w:val="20"/>
        </w:rPr>
        <w:t xml:space="preserve">Branże w obrębie GOZ powinny przenikać się wzajemnie korzystając z doświadczeń </w:t>
      </w:r>
      <w:r w:rsidR="001B0CB3" w:rsidRPr="003478AF">
        <w:rPr>
          <w:rFonts w:cs="Arial"/>
          <w:szCs w:val="20"/>
        </w:rPr>
        <w:br/>
      </w:r>
      <w:r w:rsidRPr="003478AF">
        <w:rPr>
          <w:rFonts w:cs="Arial"/>
          <w:szCs w:val="20"/>
        </w:rPr>
        <w:t xml:space="preserve">i możliwości innych by tworzyć nowe usługi, produkty </w:t>
      </w:r>
      <w:r w:rsidR="00FB48F7" w:rsidRPr="003478AF">
        <w:rPr>
          <w:rFonts w:cs="Arial"/>
          <w:szCs w:val="20"/>
        </w:rPr>
        <w:t>i</w:t>
      </w:r>
      <w:r w:rsidR="001C0E52" w:rsidRPr="003478AF">
        <w:rPr>
          <w:rFonts w:cs="Arial"/>
          <w:szCs w:val="20"/>
        </w:rPr>
        <w:t xml:space="preserve"> </w:t>
      </w:r>
      <w:r w:rsidRPr="003478AF">
        <w:rPr>
          <w:rFonts w:cs="Arial"/>
          <w:szCs w:val="20"/>
        </w:rPr>
        <w:t>koncepcje.</w:t>
      </w:r>
      <w:r w:rsidR="00DF3CB5" w:rsidRPr="003478AF">
        <w:rPr>
          <w:rFonts w:cs="Arial"/>
          <w:szCs w:val="20"/>
        </w:rPr>
        <w:t xml:space="preserve"> </w:t>
      </w:r>
    </w:p>
    <w:p w14:paraId="2BC769B7" w14:textId="27536D6B" w:rsidR="00695795" w:rsidRPr="003478AF" w:rsidRDefault="00695795" w:rsidP="00695795">
      <w:pPr>
        <w:rPr>
          <w:rFonts w:cs="Arial"/>
          <w:szCs w:val="20"/>
        </w:rPr>
      </w:pPr>
      <w:r w:rsidRPr="003478AF">
        <w:rPr>
          <w:rFonts w:cs="Arial"/>
          <w:szCs w:val="20"/>
        </w:rPr>
        <w:t>Wytypowane przez UE aspekty, uwidocznione poprzez strategie</w:t>
      </w:r>
      <w:r w:rsidRPr="003478AF">
        <w:rPr>
          <w:rStyle w:val="Odwoanieprzypisudolnego"/>
          <w:rFonts w:cs="Arial"/>
          <w:szCs w:val="20"/>
        </w:rPr>
        <w:footnoteReference w:id="62"/>
      </w:r>
      <w:r w:rsidRPr="003478AF">
        <w:rPr>
          <w:rFonts w:cs="Arial"/>
          <w:szCs w:val="20"/>
        </w:rPr>
        <w:t xml:space="preserve"> i monitoring</w:t>
      </w:r>
      <w:r w:rsidRPr="003478AF">
        <w:rPr>
          <w:rStyle w:val="Odwoanieprzypisudolnego"/>
          <w:rFonts w:cs="Arial"/>
          <w:szCs w:val="20"/>
        </w:rPr>
        <w:footnoteReference w:id="63"/>
      </w:r>
      <w:r w:rsidRPr="003478AF">
        <w:rPr>
          <w:rFonts w:cs="Arial"/>
          <w:szCs w:val="20"/>
        </w:rPr>
        <w:t>, obejmują obszary gospodarki odpadami, relacji ekonomicznych w przedsiębiorstwach, surowców wtórnych oraz konkurencyjności i innowacyjności. Od 2015 r</w:t>
      </w:r>
      <w:r w:rsidR="004D114B" w:rsidRPr="003478AF">
        <w:rPr>
          <w:rFonts w:cs="Arial"/>
          <w:szCs w:val="20"/>
        </w:rPr>
        <w:t>oku</w:t>
      </w:r>
      <w:r w:rsidRPr="003478AF">
        <w:rPr>
          <w:rFonts w:cs="Arial"/>
          <w:szCs w:val="20"/>
        </w:rPr>
        <w:t xml:space="preserve"> U</w:t>
      </w:r>
      <w:r w:rsidR="00B254B8" w:rsidRPr="003478AF">
        <w:rPr>
          <w:rFonts w:cs="Arial"/>
          <w:szCs w:val="20"/>
        </w:rPr>
        <w:t>E</w:t>
      </w:r>
      <w:r w:rsidRPr="003478AF">
        <w:rPr>
          <w:rFonts w:cs="Arial"/>
          <w:szCs w:val="20"/>
        </w:rPr>
        <w:t xml:space="preserve"> przedstawia plany strategiczne szczególnie</w:t>
      </w:r>
      <w:r w:rsidR="004D114B" w:rsidRPr="003478AF">
        <w:rPr>
          <w:rFonts w:cs="Arial"/>
          <w:szCs w:val="20"/>
        </w:rPr>
        <w:t xml:space="preserve"> dla</w:t>
      </w:r>
      <w:r w:rsidRPr="003478AF">
        <w:rPr>
          <w:rFonts w:cs="Arial"/>
          <w:szCs w:val="20"/>
        </w:rPr>
        <w:t xml:space="preserve"> sektorów: odpadów, opakowań i tworzyw sztucznych, </w:t>
      </w:r>
      <w:r w:rsidR="001B0CB3" w:rsidRPr="003478AF">
        <w:rPr>
          <w:rFonts w:cs="Arial"/>
          <w:szCs w:val="20"/>
        </w:rPr>
        <w:br/>
      </w:r>
      <w:r w:rsidRPr="003478AF">
        <w:rPr>
          <w:rFonts w:cs="Arial"/>
          <w:szCs w:val="20"/>
        </w:rPr>
        <w:t>a także ekoprojektowania i rozszerzenia odpowiedzialności producentów. Według działań wskazanych w Europejskim</w:t>
      </w:r>
      <w:r w:rsidR="00B254B8" w:rsidRPr="003478AF">
        <w:rPr>
          <w:rFonts w:cs="Arial"/>
          <w:szCs w:val="20"/>
        </w:rPr>
        <w:t xml:space="preserve"> </w:t>
      </w:r>
      <w:r w:rsidRPr="003478AF">
        <w:rPr>
          <w:rFonts w:cs="Arial"/>
          <w:szCs w:val="20"/>
        </w:rPr>
        <w:t>Zielonym Ładzie na rzecz GOZ oraz wynikającego</w:t>
      </w:r>
      <w:r w:rsidR="00A806F6" w:rsidRPr="003478AF">
        <w:rPr>
          <w:rFonts w:cs="Arial"/>
          <w:szCs w:val="20"/>
        </w:rPr>
        <w:t xml:space="preserve"> z niego</w:t>
      </w:r>
      <w:r w:rsidRPr="003478AF">
        <w:rPr>
          <w:rFonts w:cs="Arial"/>
          <w:szCs w:val="20"/>
        </w:rPr>
        <w:t xml:space="preserve"> Planu Działania UE, producen</w:t>
      </w:r>
      <w:r w:rsidR="00A806F6" w:rsidRPr="003478AF">
        <w:rPr>
          <w:rFonts w:cs="Arial"/>
          <w:szCs w:val="20"/>
        </w:rPr>
        <w:t>tów</w:t>
      </w:r>
      <w:r w:rsidRPr="003478AF">
        <w:rPr>
          <w:rFonts w:cs="Arial"/>
          <w:szCs w:val="20"/>
        </w:rPr>
        <w:t xml:space="preserve"> produkt</w:t>
      </w:r>
      <w:r w:rsidR="00A806F6" w:rsidRPr="003478AF">
        <w:rPr>
          <w:rFonts w:cs="Arial"/>
          <w:szCs w:val="20"/>
        </w:rPr>
        <w:t>ów</w:t>
      </w:r>
      <w:r w:rsidRPr="003478AF">
        <w:rPr>
          <w:rFonts w:cs="Arial"/>
          <w:szCs w:val="20"/>
        </w:rPr>
        <w:t xml:space="preserve"> </w:t>
      </w:r>
      <w:r w:rsidR="00F45F9A" w:rsidRPr="003478AF">
        <w:rPr>
          <w:rFonts w:cs="Arial"/>
          <w:szCs w:val="20"/>
        </w:rPr>
        <w:t xml:space="preserve">i </w:t>
      </w:r>
      <w:r w:rsidRPr="003478AF">
        <w:rPr>
          <w:rFonts w:cs="Arial"/>
          <w:szCs w:val="20"/>
        </w:rPr>
        <w:t>surowc</w:t>
      </w:r>
      <w:r w:rsidR="00A806F6" w:rsidRPr="003478AF">
        <w:rPr>
          <w:rFonts w:cs="Arial"/>
          <w:szCs w:val="20"/>
        </w:rPr>
        <w:t>ów</w:t>
      </w:r>
      <w:r w:rsidRPr="003478AF">
        <w:rPr>
          <w:rFonts w:cs="Arial"/>
          <w:szCs w:val="20"/>
        </w:rPr>
        <w:t xml:space="preserve"> w najbliższym czasie obejmą istotne zmiany regulacyjne</w:t>
      </w:r>
      <w:r w:rsidR="00F45F9A" w:rsidRPr="003478AF">
        <w:rPr>
          <w:rFonts w:cs="Arial"/>
          <w:szCs w:val="20"/>
        </w:rPr>
        <w:t xml:space="preserve"> odnoszące się do</w:t>
      </w:r>
      <w:r w:rsidRPr="003478AF">
        <w:rPr>
          <w:rFonts w:cs="Arial"/>
          <w:szCs w:val="20"/>
        </w:rPr>
        <w:t>: elektronik</w:t>
      </w:r>
      <w:r w:rsidR="00F45F9A" w:rsidRPr="003478AF">
        <w:rPr>
          <w:rFonts w:cs="Arial"/>
          <w:szCs w:val="20"/>
        </w:rPr>
        <w:t>i</w:t>
      </w:r>
      <w:r w:rsidRPr="003478AF">
        <w:rPr>
          <w:rFonts w:cs="Arial"/>
          <w:szCs w:val="20"/>
        </w:rPr>
        <w:t>, ICT, bateri</w:t>
      </w:r>
      <w:r w:rsidR="00F45F9A" w:rsidRPr="003478AF">
        <w:rPr>
          <w:rFonts w:cs="Arial"/>
          <w:szCs w:val="20"/>
        </w:rPr>
        <w:t>i</w:t>
      </w:r>
      <w:r w:rsidRPr="003478AF">
        <w:rPr>
          <w:rFonts w:cs="Arial"/>
          <w:szCs w:val="20"/>
        </w:rPr>
        <w:t>, akumulator</w:t>
      </w:r>
      <w:r w:rsidR="00F45F9A" w:rsidRPr="003478AF">
        <w:rPr>
          <w:rFonts w:cs="Arial"/>
          <w:szCs w:val="20"/>
        </w:rPr>
        <w:t>ów</w:t>
      </w:r>
      <w:r w:rsidRPr="003478AF">
        <w:rPr>
          <w:rFonts w:cs="Arial"/>
          <w:szCs w:val="20"/>
        </w:rPr>
        <w:t>, pojazd</w:t>
      </w:r>
      <w:r w:rsidR="00F45F9A" w:rsidRPr="003478AF">
        <w:rPr>
          <w:rFonts w:cs="Arial"/>
          <w:szCs w:val="20"/>
        </w:rPr>
        <w:t>ów</w:t>
      </w:r>
      <w:r w:rsidRPr="003478AF">
        <w:rPr>
          <w:rFonts w:cs="Arial"/>
          <w:szCs w:val="20"/>
        </w:rPr>
        <w:t>, opakowa</w:t>
      </w:r>
      <w:r w:rsidR="00F45F9A" w:rsidRPr="003478AF">
        <w:rPr>
          <w:rFonts w:cs="Arial"/>
          <w:szCs w:val="20"/>
        </w:rPr>
        <w:t>ń</w:t>
      </w:r>
      <w:r w:rsidRPr="003478AF">
        <w:rPr>
          <w:rFonts w:cs="Arial"/>
          <w:szCs w:val="20"/>
        </w:rPr>
        <w:t>, tworzyw sztuczn</w:t>
      </w:r>
      <w:r w:rsidR="00F45F9A" w:rsidRPr="003478AF">
        <w:rPr>
          <w:rFonts w:cs="Arial"/>
          <w:szCs w:val="20"/>
        </w:rPr>
        <w:t>ych</w:t>
      </w:r>
      <w:r w:rsidRPr="003478AF">
        <w:rPr>
          <w:rFonts w:cs="Arial"/>
          <w:szCs w:val="20"/>
        </w:rPr>
        <w:t>, wyrob</w:t>
      </w:r>
      <w:r w:rsidR="00F45F9A" w:rsidRPr="003478AF">
        <w:rPr>
          <w:rFonts w:cs="Arial"/>
          <w:szCs w:val="20"/>
        </w:rPr>
        <w:t>ów</w:t>
      </w:r>
      <w:r w:rsidRPr="003478AF">
        <w:rPr>
          <w:rFonts w:cs="Arial"/>
          <w:szCs w:val="20"/>
        </w:rPr>
        <w:t xml:space="preserve"> włókiennicz</w:t>
      </w:r>
      <w:r w:rsidR="00F45F9A" w:rsidRPr="003478AF">
        <w:rPr>
          <w:rFonts w:cs="Arial"/>
          <w:szCs w:val="20"/>
        </w:rPr>
        <w:t>ych</w:t>
      </w:r>
      <w:r w:rsidRPr="003478AF">
        <w:rPr>
          <w:rFonts w:cs="Arial"/>
          <w:szCs w:val="20"/>
        </w:rPr>
        <w:t>, budownictw</w:t>
      </w:r>
      <w:r w:rsidR="00F45F9A" w:rsidRPr="003478AF">
        <w:rPr>
          <w:rFonts w:cs="Arial"/>
          <w:szCs w:val="20"/>
        </w:rPr>
        <w:t>a</w:t>
      </w:r>
      <w:r w:rsidRPr="003478AF">
        <w:rPr>
          <w:rFonts w:cs="Arial"/>
          <w:szCs w:val="20"/>
        </w:rPr>
        <w:t>, żywnoś</w:t>
      </w:r>
      <w:r w:rsidR="00F45F9A" w:rsidRPr="003478AF">
        <w:rPr>
          <w:rFonts w:cs="Arial"/>
          <w:szCs w:val="20"/>
        </w:rPr>
        <w:t>ci</w:t>
      </w:r>
      <w:r w:rsidRPr="003478AF">
        <w:rPr>
          <w:rFonts w:cs="Arial"/>
          <w:szCs w:val="20"/>
        </w:rPr>
        <w:t>, wod</w:t>
      </w:r>
      <w:r w:rsidR="00F45F9A" w:rsidRPr="003478AF">
        <w:rPr>
          <w:rFonts w:cs="Arial"/>
          <w:szCs w:val="20"/>
        </w:rPr>
        <w:t>y</w:t>
      </w:r>
      <w:r w:rsidRPr="003478AF">
        <w:rPr>
          <w:rFonts w:cs="Arial"/>
          <w:szCs w:val="20"/>
        </w:rPr>
        <w:t>, składnik</w:t>
      </w:r>
      <w:r w:rsidR="00F45F9A" w:rsidRPr="003478AF">
        <w:rPr>
          <w:rFonts w:cs="Arial"/>
          <w:szCs w:val="20"/>
        </w:rPr>
        <w:t>ów</w:t>
      </w:r>
      <w:r w:rsidRPr="003478AF">
        <w:rPr>
          <w:rFonts w:cs="Arial"/>
          <w:szCs w:val="20"/>
        </w:rPr>
        <w:t xml:space="preserve"> odżywcz</w:t>
      </w:r>
      <w:r w:rsidR="00F45F9A" w:rsidRPr="003478AF">
        <w:rPr>
          <w:rFonts w:cs="Arial"/>
          <w:szCs w:val="20"/>
        </w:rPr>
        <w:t>ych</w:t>
      </w:r>
      <w:r w:rsidRPr="003478AF">
        <w:rPr>
          <w:rFonts w:cs="Arial"/>
          <w:szCs w:val="20"/>
        </w:rPr>
        <w:t>. Ma to swoje przełożeni</w:t>
      </w:r>
      <w:r w:rsidR="0041734F" w:rsidRPr="003478AF">
        <w:rPr>
          <w:rFonts w:cs="Arial"/>
          <w:szCs w:val="20"/>
        </w:rPr>
        <w:t>e</w:t>
      </w:r>
      <w:r w:rsidRPr="003478AF">
        <w:rPr>
          <w:rFonts w:cs="Arial"/>
          <w:szCs w:val="20"/>
        </w:rPr>
        <w:t xml:space="preserve"> na sektory: </w:t>
      </w:r>
    </w:p>
    <w:p w14:paraId="1C2F4B24" w14:textId="77777777" w:rsidR="00695795" w:rsidRPr="003478AF" w:rsidRDefault="00695795" w:rsidP="00B13D49">
      <w:pPr>
        <w:pStyle w:val="Akapitzlist"/>
        <w:numPr>
          <w:ilvl w:val="0"/>
          <w:numId w:val="5"/>
        </w:numPr>
        <w:spacing w:after="160" w:line="259" w:lineRule="auto"/>
        <w:rPr>
          <w:rFonts w:cs="Arial"/>
          <w:szCs w:val="20"/>
        </w:rPr>
      </w:pPr>
      <w:bookmarkStart w:id="35" w:name="_Hlk76549668"/>
      <w:r w:rsidRPr="003478AF">
        <w:rPr>
          <w:rFonts w:cs="Arial"/>
          <w:szCs w:val="20"/>
        </w:rPr>
        <w:t>gospodarki odpadami, recyklingu,</w:t>
      </w:r>
    </w:p>
    <w:p w14:paraId="5D626201" w14:textId="77777777" w:rsidR="00695795" w:rsidRPr="003478AF" w:rsidRDefault="00695795" w:rsidP="00B13D49">
      <w:pPr>
        <w:pStyle w:val="Akapitzlist"/>
        <w:numPr>
          <w:ilvl w:val="0"/>
          <w:numId w:val="5"/>
        </w:numPr>
        <w:spacing w:after="160" w:line="259" w:lineRule="auto"/>
        <w:rPr>
          <w:rFonts w:cs="Arial"/>
          <w:szCs w:val="20"/>
        </w:rPr>
      </w:pPr>
      <w:r w:rsidRPr="003478AF">
        <w:rPr>
          <w:rFonts w:cs="Arial"/>
          <w:szCs w:val="20"/>
        </w:rPr>
        <w:t>energetyczny, paliwowy,</w:t>
      </w:r>
    </w:p>
    <w:p w14:paraId="2256B238" w14:textId="77777777" w:rsidR="00695795" w:rsidRPr="003478AF" w:rsidRDefault="00695795" w:rsidP="00B13D49">
      <w:pPr>
        <w:pStyle w:val="Akapitzlist"/>
        <w:numPr>
          <w:ilvl w:val="0"/>
          <w:numId w:val="5"/>
        </w:numPr>
        <w:spacing w:after="160" w:line="259" w:lineRule="auto"/>
        <w:rPr>
          <w:rFonts w:cs="Arial"/>
          <w:szCs w:val="20"/>
        </w:rPr>
      </w:pPr>
      <w:r w:rsidRPr="003478AF">
        <w:rPr>
          <w:rFonts w:cs="Arial"/>
          <w:szCs w:val="20"/>
        </w:rPr>
        <w:t>transportowy,</w:t>
      </w:r>
    </w:p>
    <w:p w14:paraId="72FFD513" w14:textId="77777777" w:rsidR="00695795" w:rsidRPr="003478AF" w:rsidRDefault="00695795" w:rsidP="00B13D49">
      <w:pPr>
        <w:pStyle w:val="Akapitzlist"/>
        <w:numPr>
          <w:ilvl w:val="0"/>
          <w:numId w:val="5"/>
        </w:numPr>
        <w:spacing w:after="160" w:line="259" w:lineRule="auto"/>
        <w:rPr>
          <w:rFonts w:cs="Arial"/>
          <w:szCs w:val="20"/>
        </w:rPr>
      </w:pPr>
      <w:r w:rsidRPr="003478AF">
        <w:rPr>
          <w:rFonts w:cs="Arial"/>
          <w:szCs w:val="20"/>
        </w:rPr>
        <w:t>chemiczny,</w:t>
      </w:r>
    </w:p>
    <w:p w14:paraId="5B9E25B9" w14:textId="77777777" w:rsidR="00695795" w:rsidRPr="003478AF" w:rsidRDefault="00695795" w:rsidP="00B13D49">
      <w:pPr>
        <w:pStyle w:val="Akapitzlist"/>
        <w:numPr>
          <w:ilvl w:val="0"/>
          <w:numId w:val="5"/>
        </w:numPr>
        <w:spacing w:after="160" w:line="259" w:lineRule="auto"/>
        <w:rPr>
          <w:rFonts w:cs="Arial"/>
          <w:szCs w:val="20"/>
        </w:rPr>
      </w:pPr>
      <w:r w:rsidRPr="003478AF">
        <w:rPr>
          <w:rFonts w:cs="Arial"/>
          <w:szCs w:val="20"/>
        </w:rPr>
        <w:t>spożywczy</w:t>
      </w:r>
    </w:p>
    <w:p w14:paraId="5D1A12BB" w14:textId="77777777" w:rsidR="00695795" w:rsidRPr="003478AF" w:rsidRDefault="00695795" w:rsidP="00B13D49">
      <w:pPr>
        <w:pStyle w:val="Akapitzlist"/>
        <w:numPr>
          <w:ilvl w:val="0"/>
          <w:numId w:val="4"/>
        </w:numPr>
        <w:spacing w:after="160" w:line="259" w:lineRule="auto"/>
        <w:rPr>
          <w:rFonts w:cs="Arial"/>
          <w:szCs w:val="20"/>
        </w:rPr>
      </w:pPr>
      <w:r w:rsidRPr="003478AF">
        <w:rPr>
          <w:rFonts w:cs="Arial"/>
          <w:szCs w:val="20"/>
        </w:rPr>
        <w:t>rolny i leśny.</w:t>
      </w:r>
    </w:p>
    <w:bookmarkEnd w:id="35"/>
    <w:p w14:paraId="531BA8DD" w14:textId="1336F5C1" w:rsidR="00695795" w:rsidRPr="003478AF" w:rsidRDefault="00695795" w:rsidP="00695795">
      <w:pPr>
        <w:rPr>
          <w:rFonts w:cs="Arial"/>
          <w:szCs w:val="20"/>
        </w:rPr>
      </w:pPr>
      <w:r w:rsidRPr="003478AF">
        <w:rPr>
          <w:rFonts w:cs="Arial"/>
          <w:szCs w:val="20"/>
        </w:rPr>
        <w:t xml:space="preserve">Zasadniczym aspektem rozwoju GOZ jest świadomość tego co jest wytwarzane, </w:t>
      </w:r>
      <w:r w:rsidR="001B0CB3" w:rsidRPr="003478AF">
        <w:rPr>
          <w:rFonts w:cs="Arial"/>
          <w:szCs w:val="20"/>
        </w:rPr>
        <w:br/>
      </w:r>
      <w:r w:rsidRPr="003478AF">
        <w:rPr>
          <w:rFonts w:cs="Arial"/>
          <w:szCs w:val="20"/>
        </w:rPr>
        <w:t>w jakich ilościach i jakie ma własności.</w:t>
      </w:r>
      <w:r w:rsidR="001C16D6" w:rsidRPr="003478AF">
        <w:rPr>
          <w:rFonts w:cs="Arial"/>
          <w:szCs w:val="20"/>
        </w:rPr>
        <w:t xml:space="preserve"> </w:t>
      </w:r>
      <w:r w:rsidR="00DC7231" w:rsidRPr="003478AF">
        <w:rPr>
          <w:rFonts w:cs="Arial"/>
          <w:szCs w:val="20"/>
        </w:rPr>
        <w:t xml:space="preserve">Ważna jest też </w:t>
      </w:r>
      <w:r w:rsidRPr="003478AF">
        <w:rPr>
          <w:rFonts w:cs="Arial"/>
          <w:szCs w:val="20"/>
        </w:rPr>
        <w:t xml:space="preserve">świadomość dalszych możliwości wykorzystania surowca, by doprowadzić do czystej produkcji. Wiedza jest podstawą realizacji procesów GOZ </w:t>
      </w:r>
      <w:r w:rsidR="00DC7231" w:rsidRPr="003478AF">
        <w:rPr>
          <w:rFonts w:cs="Arial"/>
          <w:szCs w:val="20"/>
        </w:rPr>
        <w:t>–</w:t>
      </w:r>
      <w:r w:rsidRPr="003478AF">
        <w:rPr>
          <w:rFonts w:cs="Arial"/>
          <w:szCs w:val="20"/>
        </w:rPr>
        <w:t xml:space="preserve"> najważniejsza jest edukacja poszczególnych uczestników łańcucha.</w:t>
      </w:r>
    </w:p>
    <w:p w14:paraId="672A1793" w14:textId="13447A09" w:rsidR="00695795" w:rsidRPr="003478AF" w:rsidRDefault="00695795" w:rsidP="00695795">
      <w:pPr>
        <w:rPr>
          <w:rFonts w:cs="Arial"/>
          <w:szCs w:val="20"/>
        </w:rPr>
      </w:pPr>
      <w:r w:rsidRPr="003478AF">
        <w:rPr>
          <w:rFonts w:cs="Arial"/>
          <w:szCs w:val="20"/>
        </w:rPr>
        <w:t xml:space="preserve">Innym aspektem są regulacje rządowe. Wdrożenie celów krajowej </w:t>
      </w:r>
      <w:r w:rsidR="00BD7DE5" w:rsidRPr="003478AF">
        <w:rPr>
          <w:rFonts w:cs="Arial"/>
          <w:szCs w:val="20"/>
        </w:rPr>
        <w:t>M</w:t>
      </w:r>
      <w:r w:rsidRPr="003478AF">
        <w:rPr>
          <w:rFonts w:cs="Arial"/>
          <w:szCs w:val="20"/>
        </w:rPr>
        <w:t xml:space="preserve">apy </w:t>
      </w:r>
      <w:r w:rsidR="00BD7DE5" w:rsidRPr="003478AF">
        <w:rPr>
          <w:rFonts w:cs="Arial"/>
          <w:szCs w:val="20"/>
        </w:rPr>
        <w:t>D</w:t>
      </w:r>
      <w:r w:rsidRPr="003478AF">
        <w:rPr>
          <w:rFonts w:cs="Arial"/>
          <w:szCs w:val="20"/>
        </w:rPr>
        <w:t>rogowej GOZ musi odbyć się poprzez stworzenie priorytetu dla surowców wtórnych.</w:t>
      </w:r>
    </w:p>
    <w:p w14:paraId="54D754D1" w14:textId="1E2EB9A1" w:rsidR="00695795" w:rsidRPr="003478AF" w:rsidRDefault="00695795" w:rsidP="00695795">
      <w:pPr>
        <w:rPr>
          <w:rFonts w:cs="Arial"/>
          <w:szCs w:val="20"/>
        </w:rPr>
      </w:pPr>
      <w:r w:rsidRPr="003478AF">
        <w:rPr>
          <w:rFonts w:cs="Arial"/>
          <w:szCs w:val="20"/>
        </w:rPr>
        <w:lastRenderedPageBreak/>
        <w:t xml:space="preserve">Najważniejsze aspekty rozwoju GOZ </w:t>
      </w:r>
      <w:r w:rsidR="00DF3CB5" w:rsidRPr="003478AF">
        <w:rPr>
          <w:rFonts w:cs="Arial"/>
          <w:szCs w:val="20"/>
        </w:rPr>
        <w:t>zróżnicowane względem</w:t>
      </w:r>
      <w:r w:rsidRPr="003478AF">
        <w:rPr>
          <w:rFonts w:cs="Arial"/>
          <w:szCs w:val="20"/>
        </w:rPr>
        <w:t xml:space="preserve"> jego uczestników zawierają się w poniższych syntetycznych zestawieniach:</w:t>
      </w:r>
    </w:p>
    <w:p w14:paraId="63DDBDC6" w14:textId="77777777" w:rsidR="00695795" w:rsidRPr="003478AF" w:rsidRDefault="00695795" w:rsidP="00B13D49">
      <w:pPr>
        <w:pStyle w:val="Akapitzlist"/>
        <w:numPr>
          <w:ilvl w:val="0"/>
          <w:numId w:val="4"/>
        </w:numPr>
        <w:spacing w:after="160" w:line="259" w:lineRule="auto"/>
        <w:rPr>
          <w:rFonts w:cs="Arial"/>
          <w:szCs w:val="20"/>
        </w:rPr>
      </w:pPr>
      <w:r w:rsidRPr="003478AF">
        <w:rPr>
          <w:rFonts w:cs="Arial"/>
          <w:szCs w:val="20"/>
        </w:rPr>
        <w:t>przedsiębiorcy/producenci – wsparcie na innowacje, wdrażanie technologii, B+R, oszczędności, konkurencyjność, popyt na recykling, rozwój rynku recyklingu, energooszczędność, surowiec/produkt wtórny ponad pierwotny;</w:t>
      </w:r>
    </w:p>
    <w:p w14:paraId="4CC64BB1" w14:textId="77777777" w:rsidR="00695795" w:rsidRPr="003478AF" w:rsidRDefault="00695795" w:rsidP="00B13D49">
      <w:pPr>
        <w:pStyle w:val="Akapitzlist"/>
        <w:numPr>
          <w:ilvl w:val="0"/>
          <w:numId w:val="4"/>
        </w:numPr>
        <w:spacing w:after="160" w:line="259" w:lineRule="auto"/>
        <w:rPr>
          <w:rFonts w:cs="Arial"/>
          <w:szCs w:val="20"/>
        </w:rPr>
      </w:pPr>
      <w:r w:rsidRPr="003478AF">
        <w:rPr>
          <w:rFonts w:cs="Arial"/>
          <w:szCs w:val="20"/>
        </w:rPr>
        <w:t>konsumenci – wydłużenie cyklu życia produktów, możliwość naprawy, współdzielenie produktów/usług, oszczędność – wymiana zamiast zakupu nowych produktów, widoczny cel (obecnie nieokreślony recykling), większa możliwość oddania/zwrotu, niewyrzucanie rzeczy;</w:t>
      </w:r>
    </w:p>
    <w:p w14:paraId="6E529B51" w14:textId="26F7DF9A" w:rsidR="00695795" w:rsidRPr="003478AF" w:rsidRDefault="00695795" w:rsidP="00B13D49">
      <w:pPr>
        <w:pStyle w:val="Akapitzlist"/>
        <w:numPr>
          <w:ilvl w:val="0"/>
          <w:numId w:val="4"/>
        </w:numPr>
        <w:spacing w:after="160" w:line="259" w:lineRule="auto"/>
        <w:rPr>
          <w:rFonts w:cs="Arial"/>
          <w:szCs w:val="20"/>
        </w:rPr>
      </w:pPr>
      <w:r w:rsidRPr="003478AF">
        <w:rPr>
          <w:rFonts w:cs="Arial"/>
          <w:szCs w:val="20"/>
        </w:rPr>
        <w:t>samorząd – zwiększenie świadomości konsumentów</w:t>
      </w:r>
      <w:r w:rsidR="00A806F6" w:rsidRPr="003478AF">
        <w:rPr>
          <w:rFonts w:cs="Arial"/>
          <w:szCs w:val="20"/>
        </w:rPr>
        <w:t xml:space="preserve"> </w:t>
      </w:r>
      <w:r w:rsidR="00BB5B7A" w:rsidRPr="003478AF">
        <w:rPr>
          <w:rFonts w:cs="Arial"/>
          <w:szCs w:val="20"/>
        </w:rPr>
        <w:t>–</w:t>
      </w:r>
      <w:r w:rsidRPr="003478AF">
        <w:rPr>
          <w:rFonts w:cs="Arial"/>
          <w:szCs w:val="20"/>
        </w:rPr>
        <w:t xml:space="preserve"> mniej odpadów zmieszanych, budowa wzajemnej komunikacji ze społecznością, rynek obrotu surowcami, zielone zamówienia publiczne, cyfryzacja, zielone biura </w:t>
      </w:r>
      <w:r w:rsidR="00BB5B7A" w:rsidRPr="003478AF">
        <w:rPr>
          <w:rFonts w:cs="Arial"/>
          <w:szCs w:val="20"/>
        </w:rPr>
        <w:t>–</w:t>
      </w:r>
      <w:r w:rsidRPr="003478AF">
        <w:rPr>
          <w:rFonts w:cs="Arial"/>
          <w:szCs w:val="20"/>
        </w:rPr>
        <w:t xml:space="preserve"> elektroniczn</w:t>
      </w:r>
      <w:r w:rsidR="007C743C" w:rsidRPr="003478AF">
        <w:rPr>
          <w:rFonts w:cs="Arial"/>
          <w:szCs w:val="20"/>
        </w:rPr>
        <w:t>y</w:t>
      </w:r>
      <w:r w:rsidRPr="003478AF">
        <w:rPr>
          <w:rFonts w:cs="Arial"/>
          <w:szCs w:val="20"/>
        </w:rPr>
        <w:t xml:space="preserve"> obieg dokumentów.</w:t>
      </w:r>
    </w:p>
    <w:p w14:paraId="721D6058" w14:textId="77777777" w:rsidR="00695795" w:rsidRPr="003478AF" w:rsidRDefault="00695795" w:rsidP="00695795">
      <w:pPr>
        <w:rPr>
          <w:rFonts w:cs="Arial"/>
          <w:szCs w:val="20"/>
        </w:rPr>
      </w:pPr>
    </w:p>
    <w:p w14:paraId="6C05FBCA" w14:textId="3A3C8D8F" w:rsidR="00695795" w:rsidRPr="003478AF" w:rsidRDefault="009565FC">
      <w:pPr>
        <w:pStyle w:val="Nagwek2"/>
      </w:pPr>
      <w:bookmarkStart w:id="36" w:name="_Toc82159995"/>
      <w:bookmarkStart w:id="37" w:name="_Hlk75759323"/>
      <w:r w:rsidRPr="003478AF">
        <w:t xml:space="preserve">3.2. </w:t>
      </w:r>
      <w:r w:rsidR="00695795" w:rsidRPr="003478AF">
        <w:t>Obszary rozwoju GOZ w Wielkopolsce</w:t>
      </w:r>
      <w:bookmarkEnd w:id="36"/>
    </w:p>
    <w:p w14:paraId="5D8DE27C" w14:textId="0E49E9AC" w:rsidR="00FA2BB9" w:rsidRPr="003478AF" w:rsidRDefault="00FA2BB9" w:rsidP="00175EF7">
      <w:pPr>
        <w:shd w:val="clear" w:color="auto" w:fill="FFFFFF" w:themeFill="background1"/>
        <w:rPr>
          <w:rFonts w:cs="Arial"/>
          <w:szCs w:val="20"/>
        </w:rPr>
      </w:pPr>
      <w:bookmarkStart w:id="38" w:name="_Hlk76730975"/>
      <w:bookmarkEnd w:id="37"/>
      <w:r w:rsidRPr="003478AF">
        <w:rPr>
          <w:rFonts w:cs="Arial"/>
          <w:szCs w:val="20"/>
        </w:rPr>
        <w:t>Gospodarkę cyrkularn</w:t>
      </w:r>
      <w:r w:rsidR="00BD7DE5" w:rsidRPr="003478AF">
        <w:rPr>
          <w:rFonts w:cs="Arial"/>
          <w:szCs w:val="20"/>
        </w:rPr>
        <w:t>ą</w:t>
      </w:r>
      <w:r w:rsidRPr="003478AF">
        <w:rPr>
          <w:rFonts w:cs="Arial"/>
          <w:szCs w:val="20"/>
        </w:rPr>
        <w:t xml:space="preserve">, traktowaną jako model zrównoważonej konsumpcji, objęto działaniami zaproponowanymi w krajowej Mapie Drogowej GOZ w ramach obszarów zrównoważonej produkcji przemysłowej, zrównoważonej konsumpcji, biogospodarki wraz </w:t>
      </w:r>
      <w:r w:rsidRPr="003478AF">
        <w:rPr>
          <w:rFonts w:cs="Arial"/>
          <w:szCs w:val="20"/>
        </w:rPr>
        <w:br/>
        <w:t xml:space="preserve">z aspektami implantacji nowych modeli biznesowych, monitorowania działań oraz kwestii finansowania. </w:t>
      </w:r>
    </w:p>
    <w:p w14:paraId="20C03A4A" w14:textId="4496187B" w:rsidR="004C5BDE" w:rsidRPr="003478AF" w:rsidRDefault="00FA2BB9" w:rsidP="00175EF7">
      <w:pPr>
        <w:shd w:val="clear" w:color="auto" w:fill="FFFFFF" w:themeFill="background1"/>
      </w:pPr>
      <w:r w:rsidRPr="003478AF">
        <w:t xml:space="preserve">W innych dokumentach strategicznych </w:t>
      </w:r>
      <w:r w:rsidR="000F537F" w:rsidRPr="003478AF">
        <w:t xml:space="preserve">(przedstawionych </w:t>
      </w:r>
      <w:r w:rsidRPr="003478AF">
        <w:t xml:space="preserve">w rozdziale </w:t>
      </w:r>
      <w:r w:rsidR="00A03E2D" w:rsidRPr="003478AF">
        <w:t>drugim</w:t>
      </w:r>
      <w:r w:rsidR="000F537F" w:rsidRPr="003478AF">
        <w:t>)</w:t>
      </w:r>
      <w:r w:rsidR="00A03E2D" w:rsidRPr="003478AF">
        <w:t xml:space="preserve"> t</w:t>
      </w:r>
      <w:r w:rsidRPr="003478AF">
        <w:t>akże zwrócono uwagę na:</w:t>
      </w:r>
    </w:p>
    <w:p w14:paraId="24A8FAC6" w14:textId="294DB272" w:rsidR="004C5BDE" w:rsidRPr="003478AF" w:rsidRDefault="00BC7973" w:rsidP="00B13D49">
      <w:pPr>
        <w:pStyle w:val="Akapitzlist"/>
        <w:numPr>
          <w:ilvl w:val="0"/>
          <w:numId w:val="4"/>
        </w:numPr>
        <w:shd w:val="clear" w:color="auto" w:fill="FFFFFF" w:themeFill="background1"/>
        <w:rPr>
          <w:rFonts w:cs="Arial"/>
        </w:rPr>
      </w:pPr>
      <w:r w:rsidRPr="003478AF">
        <w:t>politykę wodorow</w:t>
      </w:r>
      <w:r w:rsidR="00B03383" w:rsidRPr="003478AF">
        <w:t>ą</w:t>
      </w:r>
      <w:r w:rsidRPr="003478AF">
        <w:t xml:space="preserve"> w </w:t>
      </w:r>
      <w:r w:rsidR="00FA2BB9" w:rsidRPr="003478AF">
        <w:t>energety</w:t>
      </w:r>
      <w:r w:rsidRPr="003478AF">
        <w:t xml:space="preserve">ce </w:t>
      </w:r>
      <w:r w:rsidR="000F537F" w:rsidRPr="003478AF">
        <w:t>–</w:t>
      </w:r>
      <w:r w:rsidR="00FA2BB9" w:rsidRPr="003478AF">
        <w:t xml:space="preserve"> wsparcie finansowe i organizacyjne studiów wykonalności przemysłowych dolin wodorowych w ramach budowy przemysłowych procesów o obiegu zamkniętym i docelowo powstanie </w:t>
      </w:r>
      <w:r w:rsidR="00242034" w:rsidRPr="003478AF">
        <w:t xml:space="preserve">w Polsce </w:t>
      </w:r>
      <w:r w:rsidR="00FA2BB9" w:rsidRPr="003478AF">
        <w:t xml:space="preserve">co najmniej </w:t>
      </w:r>
      <w:r w:rsidR="000F537F" w:rsidRPr="003478AF">
        <w:t xml:space="preserve">pięciu </w:t>
      </w:r>
      <w:r w:rsidR="00FA2BB9" w:rsidRPr="003478AF">
        <w:t>dolin wodorowych ze znaczącym elementem infrastruktury przesyłowej wodoru;</w:t>
      </w:r>
    </w:p>
    <w:p w14:paraId="49BCDAC1" w14:textId="24C37CEF" w:rsidR="004C5BDE" w:rsidRPr="003478AF" w:rsidRDefault="00FA2BB9" w:rsidP="00B13D49">
      <w:pPr>
        <w:pStyle w:val="Akapitzlist"/>
        <w:numPr>
          <w:ilvl w:val="0"/>
          <w:numId w:val="4"/>
        </w:numPr>
        <w:shd w:val="clear" w:color="auto" w:fill="FFFFFF" w:themeFill="background1"/>
        <w:rPr>
          <w:rFonts w:cs="Arial"/>
        </w:rPr>
      </w:pPr>
      <w:r w:rsidRPr="003478AF">
        <w:t xml:space="preserve">zrównoważoną </w:t>
      </w:r>
      <w:r w:rsidRPr="003478AF">
        <w:rPr>
          <w:rFonts w:cs="Arial"/>
        </w:rPr>
        <w:t>produkcję przemysłową oraz konsumpcję</w:t>
      </w:r>
      <w:r w:rsidR="00576A68" w:rsidRPr="003478AF">
        <w:rPr>
          <w:rFonts w:cs="Arial"/>
        </w:rPr>
        <w:t xml:space="preserve"> (przetwórstwo przemysłowe)</w:t>
      </w:r>
      <w:r w:rsidRPr="003478AF">
        <w:rPr>
          <w:rFonts w:cs="Arial"/>
        </w:rPr>
        <w:t xml:space="preserve">. </w:t>
      </w:r>
      <w:r w:rsidRPr="003478AF">
        <w:t xml:space="preserve">W Polsce branża spożywcza opisana jest jako główne źródło marnowania żywności (według danych Eurostat, Mapa Drogowa GOZ). </w:t>
      </w:r>
      <w:r w:rsidRPr="003478AF">
        <w:rPr>
          <w:rFonts w:cs="Arial"/>
        </w:rPr>
        <w:t xml:space="preserve">Realizacja zadań w kwestii marnotrawienia żywności ma się odbywać np. poprzez system zachęt i obowiązków dla przedsiębiorców w celu przeciwdziałania </w:t>
      </w:r>
      <w:r w:rsidR="000F537F" w:rsidRPr="003478AF">
        <w:rPr>
          <w:rFonts w:cs="Arial"/>
        </w:rPr>
        <w:t xml:space="preserve">marnowaniu </w:t>
      </w:r>
      <w:r w:rsidRPr="003478AF">
        <w:rPr>
          <w:rFonts w:cs="Arial"/>
        </w:rPr>
        <w:t>żywności;</w:t>
      </w:r>
    </w:p>
    <w:p w14:paraId="705250DC" w14:textId="7A9C952B" w:rsidR="004C5BDE" w:rsidRPr="003478AF" w:rsidRDefault="00FA2BB9" w:rsidP="00B13D49">
      <w:pPr>
        <w:pStyle w:val="Akapitzlist"/>
        <w:numPr>
          <w:ilvl w:val="0"/>
          <w:numId w:val="4"/>
        </w:numPr>
        <w:shd w:val="clear" w:color="auto" w:fill="FFFFFF" w:themeFill="background1"/>
        <w:rPr>
          <w:rFonts w:cs="Arial"/>
        </w:rPr>
      </w:pPr>
      <w:r w:rsidRPr="003478AF">
        <w:rPr>
          <w:rFonts w:cs="Arial"/>
        </w:rPr>
        <w:t>tworzeni</w:t>
      </w:r>
      <w:r w:rsidR="000F537F" w:rsidRPr="003478AF">
        <w:rPr>
          <w:rFonts w:cs="Arial"/>
        </w:rPr>
        <w:t>e</w:t>
      </w:r>
      <w:r w:rsidRPr="003478AF">
        <w:rPr>
          <w:rFonts w:cs="Arial"/>
        </w:rPr>
        <w:t xml:space="preserve"> lokalnych łańcuchów wartości</w:t>
      </w:r>
      <w:r w:rsidR="00BC7973" w:rsidRPr="003478AF">
        <w:rPr>
          <w:rFonts w:cs="Arial"/>
        </w:rPr>
        <w:t xml:space="preserve"> w wybranych obszarach biogospodarki</w:t>
      </w:r>
      <w:r w:rsidR="00576A68" w:rsidRPr="003478AF">
        <w:rPr>
          <w:rFonts w:cs="Arial"/>
        </w:rPr>
        <w:t>;</w:t>
      </w:r>
    </w:p>
    <w:p w14:paraId="556F9B6C" w14:textId="6DD27227" w:rsidR="00FA2BB9" w:rsidRPr="003478AF" w:rsidRDefault="00FA2BB9" w:rsidP="00B13D49">
      <w:pPr>
        <w:pStyle w:val="Akapitzlist"/>
        <w:numPr>
          <w:ilvl w:val="0"/>
          <w:numId w:val="4"/>
        </w:numPr>
        <w:shd w:val="clear" w:color="auto" w:fill="FFFFFF" w:themeFill="background1"/>
        <w:rPr>
          <w:rFonts w:cs="Arial"/>
        </w:rPr>
      </w:pPr>
      <w:r w:rsidRPr="003478AF">
        <w:t>lepsze gospodarowani</w:t>
      </w:r>
      <w:r w:rsidR="00576A68" w:rsidRPr="003478AF">
        <w:t>e</w:t>
      </w:r>
      <w:r w:rsidRPr="003478AF">
        <w:t xml:space="preserve"> odpadami komunalnymi i przemysłowymi. Jest to związane </w:t>
      </w:r>
      <w:r w:rsidR="000F537F" w:rsidRPr="003478AF">
        <w:br/>
      </w:r>
      <w:r w:rsidR="00B03383" w:rsidRPr="003478AF">
        <w:t>z</w:t>
      </w:r>
      <w:r w:rsidR="000F537F" w:rsidRPr="003478AF">
        <w:t xml:space="preserve"> </w:t>
      </w:r>
      <w:r w:rsidRPr="003478AF">
        <w:t>wymaganiami prawa europejskiego i krajowego. Działania krajowe związane są m.in. z identyfikacją strumieni odpadów, redukcją poziomu składowania odpadów, zbiórką selektywną, realizacją wyznaczonych poziomów recyklingów. Minimalizacja ilości wytwarzanych odpadów oraz maksymalizacja odzysku surowców ze źródeł wtórnych związan</w:t>
      </w:r>
      <w:r w:rsidR="000F537F" w:rsidRPr="003478AF">
        <w:t>e</w:t>
      </w:r>
      <w:r w:rsidRPr="003478AF">
        <w:t xml:space="preserve"> </w:t>
      </w:r>
      <w:r w:rsidR="000F537F" w:rsidRPr="003478AF">
        <w:t xml:space="preserve">są </w:t>
      </w:r>
      <w:r w:rsidRPr="003478AF">
        <w:t>z polityką surowcową państwa.</w:t>
      </w:r>
    </w:p>
    <w:p w14:paraId="7C746D80" w14:textId="2341678C" w:rsidR="00FA2BB9" w:rsidRPr="003478AF" w:rsidRDefault="00FA2BB9" w:rsidP="00FA2BB9">
      <w:pPr>
        <w:rPr>
          <w:rFonts w:cs="Arial"/>
          <w:szCs w:val="20"/>
        </w:rPr>
      </w:pPr>
      <w:bookmarkStart w:id="39" w:name="_Hlk75870520"/>
      <w:bookmarkEnd w:id="38"/>
      <w:r w:rsidRPr="003478AF">
        <w:rPr>
          <w:rFonts w:cs="Arial"/>
          <w:szCs w:val="20"/>
        </w:rPr>
        <w:t xml:space="preserve">Na podstawie analizy desk research oraz wywiadów z ekspertami wytypowano kluczowe </w:t>
      </w:r>
      <w:r w:rsidR="00BC5ADC" w:rsidRPr="003478AF">
        <w:rPr>
          <w:rFonts w:cs="Arial"/>
          <w:szCs w:val="20"/>
        </w:rPr>
        <w:t xml:space="preserve">dla rozwoju GOZ w województwie wielkopolskim </w:t>
      </w:r>
      <w:r w:rsidRPr="003478AF">
        <w:rPr>
          <w:rFonts w:cs="Arial"/>
          <w:szCs w:val="20"/>
        </w:rPr>
        <w:t>branże</w:t>
      </w:r>
      <w:r w:rsidR="00BC5ADC" w:rsidRPr="003478AF">
        <w:rPr>
          <w:rFonts w:cs="Arial"/>
          <w:szCs w:val="20"/>
        </w:rPr>
        <w:t xml:space="preserve"> (</w:t>
      </w:r>
      <w:r w:rsidR="00BC5ADC" w:rsidRPr="003478AF">
        <w:rPr>
          <w:rFonts w:eastAsia="MinionPro-Regular" w:cs="Arial"/>
          <w:szCs w:val="20"/>
        </w:rPr>
        <w:t xml:space="preserve">uprawy rolne, chów i hodowla zwierząt, produkcja żywności, mebli maszyn i urządzeń oraz AGD i RTV, </w:t>
      </w:r>
      <w:r w:rsidR="00BC5ADC" w:rsidRPr="003478AF">
        <w:t xml:space="preserve">biogazu, energii </w:t>
      </w:r>
      <w:r w:rsidR="001B0CB3" w:rsidRPr="003478AF">
        <w:br/>
      </w:r>
      <w:r w:rsidR="00BC5ADC" w:rsidRPr="003478AF">
        <w:t>i bioetanolu a także technologie wodorowe)</w:t>
      </w:r>
      <w:r w:rsidR="00B517FE" w:rsidRPr="003478AF">
        <w:rPr>
          <w:rFonts w:cs="Arial"/>
          <w:szCs w:val="20"/>
        </w:rPr>
        <w:t xml:space="preserve"> </w:t>
      </w:r>
      <w:r w:rsidRPr="003478AF">
        <w:rPr>
          <w:rFonts w:cs="Arial"/>
          <w:szCs w:val="20"/>
        </w:rPr>
        <w:t xml:space="preserve">w obszarach: rolniczym, przetwórstwie przemysłowym, energetyce, odpadach </w:t>
      </w:r>
      <w:r w:rsidR="00BC5ADC" w:rsidRPr="003478AF">
        <w:rPr>
          <w:rFonts w:cs="Arial"/>
          <w:szCs w:val="20"/>
        </w:rPr>
        <w:t xml:space="preserve">i </w:t>
      </w:r>
      <w:r w:rsidRPr="003478AF">
        <w:rPr>
          <w:rFonts w:cs="Arial"/>
          <w:szCs w:val="20"/>
        </w:rPr>
        <w:t>ściekach, transporcie i mobilności miejskiej</w:t>
      </w:r>
      <w:r w:rsidR="001774C5" w:rsidRPr="003478AF">
        <w:rPr>
          <w:rFonts w:cs="Arial"/>
          <w:szCs w:val="20"/>
        </w:rPr>
        <w:t xml:space="preserve"> </w:t>
      </w:r>
      <w:r w:rsidR="00BC5ADC" w:rsidRPr="003478AF">
        <w:t>(</w:t>
      </w:r>
      <w:r w:rsidR="00381971" w:rsidRPr="003478AF">
        <w:rPr>
          <w:rFonts w:cs="Arial"/>
          <w:szCs w:val="20"/>
        </w:rPr>
        <w:t>ryc.</w:t>
      </w:r>
      <w:r w:rsidR="001774C5" w:rsidRPr="003478AF">
        <w:rPr>
          <w:rFonts w:cs="Arial"/>
          <w:szCs w:val="20"/>
        </w:rPr>
        <w:t xml:space="preserve"> 3.1)</w:t>
      </w:r>
      <w:r w:rsidRPr="003478AF">
        <w:rPr>
          <w:rFonts w:cs="Arial"/>
          <w:szCs w:val="20"/>
        </w:rPr>
        <w:t xml:space="preserve">. Należy mieć na uwadze, iż omawiane działania GOZ w obrębie </w:t>
      </w:r>
      <w:r w:rsidR="00BC5ADC" w:rsidRPr="003478AF">
        <w:rPr>
          <w:rFonts w:cs="Arial"/>
          <w:szCs w:val="20"/>
        </w:rPr>
        <w:t xml:space="preserve">tych </w:t>
      </w:r>
      <w:r w:rsidRPr="003478AF">
        <w:rPr>
          <w:rFonts w:cs="Arial"/>
          <w:szCs w:val="20"/>
        </w:rPr>
        <w:t xml:space="preserve">obszarów niejednokrotnie nakładają się na siebie. Niektóre aspekty omawiane są szczegółowo w reprezentatywnym </w:t>
      </w:r>
      <w:r w:rsidRPr="003478AF">
        <w:rPr>
          <w:rFonts w:cs="Arial"/>
          <w:szCs w:val="20"/>
        </w:rPr>
        <w:lastRenderedPageBreak/>
        <w:t>obszarze. Ponadto działania wspierające transformację w kierunku GOZ są realizowane jako zasada horyzontalna, dotycząca całej gospodarki.</w:t>
      </w:r>
      <w:r w:rsidR="00E5109D" w:rsidRPr="003478AF">
        <w:rPr>
          <w:rFonts w:cs="Arial"/>
          <w:szCs w:val="20"/>
        </w:rPr>
        <w:t xml:space="preserve"> </w:t>
      </w:r>
    </w:p>
    <w:p w14:paraId="580228DA" w14:textId="77777777" w:rsidR="00E6136F" w:rsidRPr="003478AF" w:rsidRDefault="00E6136F" w:rsidP="00FA2BB9">
      <w:pPr>
        <w:rPr>
          <w:rFonts w:cs="Arial"/>
          <w:szCs w:val="20"/>
        </w:rPr>
      </w:pPr>
    </w:p>
    <w:p w14:paraId="25CF9312" w14:textId="60C20CEA" w:rsidR="00E6136F" w:rsidRPr="003478AF" w:rsidRDefault="00E341FC" w:rsidP="00986D40">
      <w:pPr>
        <w:pStyle w:val="ARYCINA"/>
      </w:pPr>
      <w:r w:rsidRPr="003478AF">
        <w:t xml:space="preserve">Ryc. 3.1 </w:t>
      </w:r>
      <w:r w:rsidR="00C80541" w:rsidRPr="003478AF">
        <w:t>Kluczowe</w:t>
      </w:r>
      <w:r w:rsidRPr="003478AF">
        <w:t xml:space="preserve"> obszary GOZ w Wielkopolsce</w:t>
      </w:r>
    </w:p>
    <w:p w14:paraId="4419DE39" w14:textId="0B71BF96" w:rsidR="001774C5" w:rsidRPr="003478AF" w:rsidRDefault="001774C5" w:rsidP="00986D40">
      <w:pPr>
        <w:pStyle w:val="ARYCINA"/>
      </w:pPr>
      <w:r w:rsidRPr="003478AF">
        <w:rPr>
          <w:noProof/>
          <w:lang w:eastAsia="pl-PL"/>
        </w:rPr>
        <w:drawing>
          <wp:inline distT="0" distB="0" distL="0" distR="0" wp14:anchorId="0228FD48" wp14:editId="4220A9C0">
            <wp:extent cx="3194050" cy="3164945"/>
            <wp:effectExtent l="0" t="0" r="6350" b="0"/>
            <wp:docPr id="48" name="Obraz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3223285" cy="3193914"/>
                    </a:xfrm>
                    <a:prstGeom prst="rect">
                      <a:avLst/>
                    </a:prstGeom>
                  </pic:spPr>
                </pic:pic>
              </a:graphicData>
            </a:graphic>
          </wp:inline>
        </w:drawing>
      </w:r>
    </w:p>
    <w:p w14:paraId="5B1918C2" w14:textId="7DC67849" w:rsidR="00E341FC" w:rsidRPr="003478AF" w:rsidRDefault="00E341FC" w:rsidP="00C80541">
      <w:pPr>
        <w:jc w:val="center"/>
        <w:rPr>
          <w:sz w:val="16"/>
          <w:szCs w:val="16"/>
        </w:rPr>
      </w:pPr>
      <w:r w:rsidRPr="003478AF">
        <w:rPr>
          <w:sz w:val="16"/>
          <w:szCs w:val="16"/>
        </w:rPr>
        <w:t>Źródło: Opracowanie własne</w:t>
      </w:r>
    </w:p>
    <w:p w14:paraId="2934FDF2" w14:textId="77777777" w:rsidR="00E341FC" w:rsidRPr="003478AF" w:rsidRDefault="00E341FC" w:rsidP="00F1574F"/>
    <w:p w14:paraId="1999C9CE" w14:textId="7FBAD848" w:rsidR="00FA2BB9" w:rsidRPr="003478AF" w:rsidRDefault="00FA2BB9" w:rsidP="001774C5">
      <w:pPr>
        <w:rPr>
          <w:rFonts w:cs="Arial"/>
          <w:szCs w:val="20"/>
        </w:rPr>
      </w:pPr>
      <w:r w:rsidRPr="003478AF">
        <w:rPr>
          <w:rFonts w:cs="Arial"/>
          <w:szCs w:val="20"/>
        </w:rPr>
        <w:t xml:space="preserve">Wytypowane przykładowe </w:t>
      </w:r>
      <w:r w:rsidR="00E23F06" w:rsidRPr="003478AF">
        <w:rPr>
          <w:rFonts w:cs="Arial"/>
          <w:szCs w:val="20"/>
        </w:rPr>
        <w:t>branże</w:t>
      </w:r>
      <w:r w:rsidR="00E23F06" w:rsidRPr="003478AF" w:rsidDel="00E23F06">
        <w:rPr>
          <w:rFonts w:cs="Arial"/>
          <w:szCs w:val="20"/>
        </w:rPr>
        <w:t xml:space="preserve"> </w:t>
      </w:r>
      <w:r w:rsidRPr="003478AF">
        <w:rPr>
          <w:rFonts w:cs="Arial"/>
          <w:szCs w:val="20"/>
        </w:rPr>
        <w:t xml:space="preserve">wpisują się w te </w:t>
      </w:r>
      <w:r w:rsidR="00E23F06" w:rsidRPr="003478AF">
        <w:rPr>
          <w:rFonts w:cs="Arial"/>
          <w:szCs w:val="20"/>
        </w:rPr>
        <w:t>obszary</w:t>
      </w:r>
      <w:r w:rsidRPr="003478AF">
        <w:rPr>
          <w:rFonts w:cs="Arial"/>
          <w:szCs w:val="20"/>
        </w:rPr>
        <w:t>, które stanowią wysoki potencjał do wdrażania innowacyjnych rozwiązań i rozwoju nowoczesnych technologii</w:t>
      </w:r>
      <w:r w:rsidR="00BC5ADC" w:rsidRPr="003478AF">
        <w:rPr>
          <w:rFonts w:cs="Arial"/>
          <w:szCs w:val="20"/>
        </w:rPr>
        <w:t>,</w:t>
      </w:r>
      <w:r w:rsidRPr="003478AF">
        <w:rPr>
          <w:rFonts w:cs="Arial"/>
          <w:szCs w:val="20"/>
        </w:rPr>
        <w:t xml:space="preserve"> szczególnie w zakresie zagospodarowywania odpadów i przetwarzania ich w charakterze surowców wtórnych. Dodatkowo w obszarach tych wśród wyzwań na poziomie krajowym identyfikuje się konieczność transformacji modeli biznesowych przedsiębiorstw, zgodnie </w:t>
      </w:r>
      <w:r w:rsidR="004C5BDE" w:rsidRPr="003478AF">
        <w:rPr>
          <w:rFonts w:cs="Arial"/>
          <w:szCs w:val="20"/>
        </w:rPr>
        <w:br/>
      </w:r>
      <w:r w:rsidRPr="003478AF">
        <w:rPr>
          <w:rFonts w:cs="Arial"/>
          <w:szCs w:val="20"/>
        </w:rPr>
        <w:t>z wymogami GOZ, co znacznie zmniejszyłoby presję antropogeniczną gospodarki na środowisko naturalne.</w:t>
      </w:r>
    </w:p>
    <w:p w14:paraId="539DA32F" w14:textId="757DCECF" w:rsidR="00FA2BB9" w:rsidRPr="003478AF" w:rsidRDefault="00FA2BB9" w:rsidP="00E6136F">
      <w:pPr>
        <w:pStyle w:val="Tekstkomentarza"/>
        <w:spacing w:line="276" w:lineRule="auto"/>
        <w:rPr>
          <w:rFonts w:ascii="Arial" w:hAnsi="Arial" w:cs="Arial"/>
        </w:rPr>
      </w:pPr>
      <w:bookmarkStart w:id="40" w:name="_Hlk75910183"/>
      <w:r w:rsidRPr="003478AF">
        <w:rPr>
          <w:rFonts w:ascii="Arial" w:hAnsi="Arial" w:cs="Arial"/>
        </w:rPr>
        <w:t xml:space="preserve">Według ekspertów to właśnie gospodarka odpadami komunalnymi i przemysłowymi jest kluczowym elementem wpisującym się we wszystkie branże np. odpady z produkcji mebli </w:t>
      </w:r>
      <w:r w:rsidR="004C5BDE" w:rsidRPr="003478AF">
        <w:rPr>
          <w:rFonts w:ascii="Arial" w:hAnsi="Arial" w:cs="Arial"/>
        </w:rPr>
        <w:br/>
      </w:r>
      <w:r w:rsidRPr="003478AF">
        <w:rPr>
          <w:rFonts w:ascii="Arial" w:hAnsi="Arial" w:cs="Arial"/>
        </w:rPr>
        <w:t>w przetwórstwie przemysłowym. Wśród pozostałych wymieniono: energetykę (biogazownie, produkcja wodoru), gospodarkę zasobami, produkcję przemysłową, rolnictwo i przemysł rolno-spożywczy, zrównoważone budownictwo i transport, a także edukację. Ponadto podkreślano znaczenie Przemysłu 4.0 i komplementarne z nim rozwiązania informatyczne np. Big Data, które również mają zastosowanie we wszystkich analizowanych branżach.</w:t>
      </w:r>
    </w:p>
    <w:bookmarkEnd w:id="40"/>
    <w:p w14:paraId="618A2F65" w14:textId="77777777" w:rsidR="00FA2BB9" w:rsidRPr="003478AF" w:rsidRDefault="00FA2BB9" w:rsidP="00F1574F"/>
    <w:p w14:paraId="73209067" w14:textId="11F98043" w:rsidR="00503CAB" w:rsidRPr="003478AF" w:rsidRDefault="00503CAB" w:rsidP="00503CAB">
      <w:pPr>
        <w:ind w:firstLine="0"/>
        <w:rPr>
          <w:rFonts w:cs="Arial"/>
          <w:szCs w:val="20"/>
        </w:rPr>
      </w:pPr>
      <w:r w:rsidRPr="003478AF">
        <w:rPr>
          <w:rFonts w:cs="Arial"/>
          <w:b/>
          <w:szCs w:val="20"/>
        </w:rPr>
        <w:t>Rolnictwo</w:t>
      </w:r>
    </w:p>
    <w:p w14:paraId="46F9C52C" w14:textId="5A4D1842" w:rsidR="00FA2BB9" w:rsidRPr="003478AF" w:rsidRDefault="00FA2BB9" w:rsidP="00503CAB">
      <w:pPr>
        <w:rPr>
          <w:rFonts w:cs="Arial"/>
          <w:szCs w:val="20"/>
        </w:rPr>
      </w:pPr>
      <w:r w:rsidRPr="003478AF">
        <w:rPr>
          <w:rFonts w:cs="Arial"/>
          <w:szCs w:val="20"/>
        </w:rPr>
        <w:t>W tradycyjnym modelu rolnictwa zasady GOZ</w:t>
      </w:r>
      <w:r w:rsidR="006A6CD6" w:rsidRPr="003478AF">
        <w:rPr>
          <w:rFonts w:cs="Arial"/>
          <w:szCs w:val="20"/>
        </w:rPr>
        <w:t>,</w:t>
      </w:r>
      <w:r w:rsidRPr="003478AF">
        <w:rPr>
          <w:rFonts w:cs="Arial"/>
          <w:szCs w:val="20"/>
        </w:rPr>
        <w:t xml:space="preserve"> tj. zamykanie obiegów i recykling, a także wykorzystanie kapitału przyrodniczego</w:t>
      </w:r>
      <w:r w:rsidR="006A6CD6" w:rsidRPr="003478AF">
        <w:rPr>
          <w:rFonts w:cs="Arial"/>
          <w:szCs w:val="20"/>
        </w:rPr>
        <w:t>,</w:t>
      </w:r>
      <w:r w:rsidRPr="003478AF">
        <w:rPr>
          <w:rFonts w:cs="Arial"/>
          <w:szCs w:val="20"/>
        </w:rPr>
        <w:t xml:space="preserve"> było i jest nadal widoczne. Obszar rolnictwa najsilniej jest związany z obszarem przetwórstwa żywności. Zamknięty obieg od lat wykorzystuje się </w:t>
      </w:r>
      <w:r w:rsidR="008E08A2" w:rsidRPr="003478AF">
        <w:rPr>
          <w:rFonts w:cs="Arial"/>
          <w:szCs w:val="20"/>
        </w:rPr>
        <w:t xml:space="preserve">np. </w:t>
      </w:r>
      <w:r w:rsidRPr="003478AF">
        <w:rPr>
          <w:rFonts w:cs="Arial"/>
          <w:szCs w:val="20"/>
        </w:rPr>
        <w:t xml:space="preserve">w rolnictwie ekologicznym (organicznym). W obszarze tym obowiązuje zasada ograniczania stosowania środków zewnętrznych, ewentualnie ograniczanie ich do środków pochodzących </w:t>
      </w:r>
      <w:r w:rsidR="001B0CB3" w:rsidRPr="003478AF">
        <w:rPr>
          <w:rFonts w:cs="Arial"/>
          <w:szCs w:val="20"/>
        </w:rPr>
        <w:br/>
      </w:r>
      <w:r w:rsidRPr="003478AF">
        <w:rPr>
          <w:rFonts w:cs="Arial"/>
          <w:szCs w:val="20"/>
        </w:rPr>
        <w:lastRenderedPageBreak/>
        <w:t xml:space="preserve">z produkcji ekologicznej, substancji naturalnych lub substancji będących ich pochodnymi bądź wolno rozpuszczalnych nawozów mineralnych. Zamknięcie obiegu substancji odżywczych </w:t>
      </w:r>
      <w:r w:rsidR="001B0CB3" w:rsidRPr="003478AF">
        <w:rPr>
          <w:rFonts w:cs="Arial"/>
          <w:szCs w:val="20"/>
        </w:rPr>
        <w:br/>
      </w:r>
      <w:r w:rsidRPr="003478AF">
        <w:rPr>
          <w:rFonts w:cs="Arial"/>
          <w:szCs w:val="20"/>
        </w:rPr>
        <w:t>w rolnictwie pozwoliłoby, aby składniki: azot, fosfor i potas wracały do gleby pod postacią kompostu, skutecznie przechwytując węgiel i poprawiając odporność upraw oraz zdolność gleby do zatrzymywania wody.</w:t>
      </w:r>
    </w:p>
    <w:p w14:paraId="770E0BE3" w14:textId="68AB65BC" w:rsidR="00FA2BB9" w:rsidRPr="003478AF" w:rsidRDefault="00FA2BB9" w:rsidP="00FA2BB9">
      <w:pPr>
        <w:rPr>
          <w:rFonts w:cs="Arial"/>
          <w:szCs w:val="20"/>
        </w:rPr>
      </w:pPr>
      <w:r w:rsidRPr="003478AF">
        <w:rPr>
          <w:rFonts w:cs="Arial"/>
          <w:szCs w:val="20"/>
        </w:rPr>
        <w:t xml:space="preserve">Realizacja idei GOZ w obszarze rolnictwa wpłynie na przedsiębiorców zajmujących się m.in. produkcją, dystrybucją i przechowywaniem produktów spożywczych. W znacznie większym stopniu niż dotychczas branże te będą musiały ograniczyć występujące w ich działalności straty żywności. Dlatego też konieczne jest poszukiwanie dalszych rozwiązań </w:t>
      </w:r>
      <w:r w:rsidRPr="003478AF">
        <w:rPr>
          <w:rFonts w:cs="Arial"/>
          <w:szCs w:val="20"/>
        </w:rPr>
        <w:br/>
        <w:t>i sposobów zachowania zasobów naturalnych w produkcji rolnej przy jednoczesnym zabezpieczeniu samowystarczalności unijnego rolnictwa. W rolnictwie za GOZ uważa się przede wszystkim</w:t>
      </w:r>
      <w:r w:rsidRPr="003478AF">
        <w:rPr>
          <w:rStyle w:val="Odwoanieprzypisudolnego"/>
          <w:rFonts w:cs="Arial"/>
          <w:szCs w:val="20"/>
        </w:rPr>
        <w:footnoteReference w:id="64"/>
      </w:r>
      <w:r w:rsidRPr="003478AF">
        <w:rPr>
          <w:rFonts w:cs="Arial"/>
          <w:szCs w:val="20"/>
        </w:rPr>
        <w:t xml:space="preserve">: </w:t>
      </w:r>
    </w:p>
    <w:p w14:paraId="70EAFAAC" w14:textId="77777777" w:rsidR="00FA2BB9" w:rsidRPr="003478AF" w:rsidRDefault="00FA2BB9" w:rsidP="00B13D49">
      <w:pPr>
        <w:pStyle w:val="Akapitzlist"/>
        <w:numPr>
          <w:ilvl w:val="0"/>
          <w:numId w:val="6"/>
        </w:numPr>
        <w:spacing w:after="60" w:line="259" w:lineRule="auto"/>
        <w:ind w:left="714" w:hanging="357"/>
        <w:rPr>
          <w:rFonts w:cs="Arial"/>
          <w:szCs w:val="20"/>
        </w:rPr>
      </w:pPr>
      <w:r w:rsidRPr="003478AF">
        <w:rPr>
          <w:rFonts w:cs="Arial"/>
          <w:szCs w:val="20"/>
        </w:rPr>
        <w:t xml:space="preserve">zachowanie i wzmocnienie kapitału naturalnego; </w:t>
      </w:r>
    </w:p>
    <w:p w14:paraId="019F9864" w14:textId="77777777" w:rsidR="00FA2BB9" w:rsidRPr="003478AF" w:rsidRDefault="00FA2BB9" w:rsidP="00B13D49">
      <w:pPr>
        <w:pStyle w:val="Akapitzlist"/>
        <w:numPr>
          <w:ilvl w:val="0"/>
          <w:numId w:val="6"/>
        </w:numPr>
        <w:spacing w:after="60" w:line="259" w:lineRule="auto"/>
        <w:ind w:left="714" w:hanging="357"/>
        <w:rPr>
          <w:rFonts w:cs="Arial"/>
          <w:szCs w:val="20"/>
        </w:rPr>
      </w:pPr>
      <w:r w:rsidRPr="003478AF">
        <w:rPr>
          <w:rFonts w:cs="Arial"/>
          <w:szCs w:val="20"/>
        </w:rPr>
        <w:t xml:space="preserve">optymalizację (nie maksymalizację) wydajności zasobów naturalnych; </w:t>
      </w:r>
    </w:p>
    <w:p w14:paraId="62A5EA33" w14:textId="77777777" w:rsidR="00FA2BB9" w:rsidRPr="003478AF" w:rsidRDefault="00FA2BB9" w:rsidP="00B13D49">
      <w:pPr>
        <w:pStyle w:val="Akapitzlist"/>
        <w:numPr>
          <w:ilvl w:val="0"/>
          <w:numId w:val="6"/>
        </w:numPr>
        <w:spacing w:after="60" w:line="259" w:lineRule="auto"/>
        <w:ind w:left="714" w:hanging="357"/>
        <w:rPr>
          <w:rFonts w:cs="Arial"/>
          <w:szCs w:val="20"/>
        </w:rPr>
      </w:pPr>
      <w:r w:rsidRPr="003478AF">
        <w:rPr>
          <w:rFonts w:cs="Arial"/>
          <w:szCs w:val="20"/>
        </w:rPr>
        <w:t xml:space="preserve">wspieranie efektywności wykorzystania odpadów i eliminowania szkodliwych praktyk; </w:t>
      </w:r>
    </w:p>
    <w:p w14:paraId="12169760" w14:textId="3A674C9E" w:rsidR="00FA2BB9" w:rsidRPr="003478AF" w:rsidRDefault="00FA2BB9" w:rsidP="00B13D49">
      <w:pPr>
        <w:pStyle w:val="Akapitzlist"/>
        <w:numPr>
          <w:ilvl w:val="0"/>
          <w:numId w:val="6"/>
        </w:numPr>
        <w:spacing w:after="60" w:line="259" w:lineRule="auto"/>
        <w:ind w:left="714" w:hanging="357"/>
        <w:rPr>
          <w:rFonts w:cs="Arial"/>
          <w:szCs w:val="20"/>
        </w:rPr>
      </w:pPr>
      <w:r w:rsidRPr="003478AF">
        <w:rPr>
          <w:rFonts w:cs="Arial"/>
          <w:szCs w:val="20"/>
        </w:rPr>
        <w:t>wspieranie interakcji między ludźmi, efektywne wykorzystanie zasobów i optymalne zarządzanie nieuniknionymi odpadami</w:t>
      </w:r>
      <w:r w:rsidR="00563C02" w:rsidRPr="003478AF">
        <w:rPr>
          <w:rFonts w:cs="Arial"/>
          <w:szCs w:val="20"/>
        </w:rPr>
        <w:t>;</w:t>
      </w:r>
      <w:r w:rsidRPr="003478AF">
        <w:rPr>
          <w:rFonts w:cs="Arial"/>
          <w:szCs w:val="20"/>
        </w:rPr>
        <w:t xml:space="preserve"> </w:t>
      </w:r>
    </w:p>
    <w:p w14:paraId="07B9EB96" w14:textId="516821A0" w:rsidR="00FA2BB9" w:rsidRPr="003478AF" w:rsidRDefault="00FA2BB9" w:rsidP="00B13D49">
      <w:pPr>
        <w:pStyle w:val="Akapitzlist"/>
        <w:numPr>
          <w:ilvl w:val="0"/>
          <w:numId w:val="6"/>
        </w:numPr>
        <w:spacing w:after="60" w:line="259" w:lineRule="auto"/>
        <w:ind w:left="714" w:hanging="357"/>
        <w:rPr>
          <w:rFonts w:cs="Arial"/>
          <w:szCs w:val="20"/>
        </w:rPr>
      </w:pPr>
      <w:r w:rsidRPr="003478AF">
        <w:rPr>
          <w:rFonts w:cs="Arial"/>
          <w:szCs w:val="20"/>
        </w:rPr>
        <w:t>promocj</w:t>
      </w:r>
      <w:r w:rsidR="006A6CD6" w:rsidRPr="003478AF">
        <w:rPr>
          <w:rFonts w:cs="Arial"/>
          <w:szCs w:val="20"/>
        </w:rPr>
        <w:t>ę</w:t>
      </w:r>
      <w:r w:rsidRPr="003478AF">
        <w:rPr>
          <w:rFonts w:cs="Arial"/>
          <w:szCs w:val="20"/>
        </w:rPr>
        <w:t xml:space="preserve"> instrumentów ekonomicznych zniechęcających do składowania odpadów; </w:t>
      </w:r>
    </w:p>
    <w:p w14:paraId="028F8554" w14:textId="77777777" w:rsidR="00FA2BB9" w:rsidRPr="003478AF" w:rsidRDefault="00FA2BB9" w:rsidP="00B13D49">
      <w:pPr>
        <w:pStyle w:val="Akapitzlist"/>
        <w:numPr>
          <w:ilvl w:val="0"/>
          <w:numId w:val="6"/>
        </w:numPr>
        <w:spacing w:after="60" w:line="259" w:lineRule="auto"/>
        <w:ind w:left="714" w:hanging="357"/>
        <w:rPr>
          <w:rFonts w:cs="Arial"/>
          <w:szCs w:val="20"/>
        </w:rPr>
      </w:pPr>
      <w:r w:rsidRPr="003478AF">
        <w:rPr>
          <w:rFonts w:cs="Arial"/>
          <w:szCs w:val="20"/>
        </w:rPr>
        <w:t xml:space="preserve">konkretne działania w celu promowania ponownego używania produktów (promocja modelu „produkt końcowy z jednej branży – surowcem początkowym w innej branży”); </w:t>
      </w:r>
    </w:p>
    <w:p w14:paraId="56FAA4F5" w14:textId="77777777" w:rsidR="00FA2BB9" w:rsidRPr="003478AF" w:rsidRDefault="00FA2BB9" w:rsidP="00B13D49">
      <w:pPr>
        <w:pStyle w:val="Akapitzlist"/>
        <w:numPr>
          <w:ilvl w:val="0"/>
          <w:numId w:val="6"/>
        </w:numPr>
        <w:spacing w:after="60" w:line="259" w:lineRule="auto"/>
        <w:ind w:left="714" w:hanging="357"/>
        <w:rPr>
          <w:rFonts w:cs="Arial"/>
          <w:b/>
          <w:szCs w:val="20"/>
        </w:rPr>
      </w:pPr>
      <w:r w:rsidRPr="003478AF">
        <w:rPr>
          <w:rFonts w:cs="Arial"/>
          <w:szCs w:val="20"/>
        </w:rPr>
        <w:t>bodźce ekonomiczne dla producentów do wprowadzenia bardziej „zielonych” technologii.</w:t>
      </w:r>
    </w:p>
    <w:p w14:paraId="689722BF" w14:textId="27F32B2F" w:rsidR="00FA2BB9" w:rsidRPr="003478AF" w:rsidRDefault="00FA2BB9" w:rsidP="00FA2BB9">
      <w:pPr>
        <w:rPr>
          <w:rFonts w:cs="Arial"/>
          <w:szCs w:val="20"/>
        </w:rPr>
      </w:pPr>
      <w:r w:rsidRPr="003478AF">
        <w:rPr>
          <w:rFonts w:cs="Arial"/>
          <w:szCs w:val="20"/>
        </w:rPr>
        <w:t>Popularnym trendem w obszarze upraw, a tym samym stosowania nawozów jest recykling fosforu, który jest ważnym zasobem wykorzystywanym na potrzeby produkcji żywności</w:t>
      </w:r>
      <w:r w:rsidR="00554AB9" w:rsidRPr="003478AF">
        <w:rPr>
          <w:rFonts w:cs="Arial"/>
          <w:szCs w:val="20"/>
        </w:rPr>
        <w:t>. Niestety</w:t>
      </w:r>
      <w:r w:rsidRPr="003478AF">
        <w:rPr>
          <w:rFonts w:cs="Arial"/>
          <w:szCs w:val="20"/>
        </w:rPr>
        <w:t xml:space="preserve"> bezpieczeństwo jego dostaw jest poważnie zagrożone, a jego stosowanie wiąże się z marnotrawstwem i stratami na każdym etapie jego cyklu istnienia.</w:t>
      </w:r>
    </w:p>
    <w:p w14:paraId="091CDEC5" w14:textId="6C15411B" w:rsidR="00FA2BB9" w:rsidRPr="003478AF" w:rsidRDefault="00FA2BB9" w:rsidP="00FA2BB9">
      <w:pPr>
        <w:rPr>
          <w:rFonts w:cs="Arial"/>
          <w:szCs w:val="20"/>
        </w:rPr>
      </w:pPr>
      <w:r w:rsidRPr="003478AF">
        <w:rPr>
          <w:rFonts w:cs="Arial"/>
          <w:szCs w:val="20"/>
        </w:rPr>
        <w:t xml:space="preserve">Uważa się, że najważniejsze dla rolnictwa powinno być zamykanie obiegów (looping) zarówno jeśli chodzi o tworzywa sztuczne, a także rozwiązania prawne wymuszające recykling tworzyw sztucznych stosowanych coraz szerzej w rolnictwie (np. produkcja rur drenarskich </w:t>
      </w:r>
      <w:r w:rsidRPr="003478AF">
        <w:rPr>
          <w:rFonts w:cs="Arial"/>
          <w:szCs w:val="20"/>
        </w:rPr>
        <w:br/>
        <w:t>z folii stosowanych w produkcji kiszonek i opakowań po pestycydach)</w:t>
      </w:r>
      <w:r w:rsidR="006A6CD6" w:rsidRPr="003478AF">
        <w:rPr>
          <w:rFonts w:cs="Arial"/>
          <w:szCs w:val="20"/>
        </w:rPr>
        <w:t xml:space="preserve"> oraz </w:t>
      </w:r>
      <w:r w:rsidRPr="003478AF">
        <w:rPr>
          <w:rFonts w:cs="Arial"/>
          <w:szCs w:val="20"/>
        </w:rPr>
        <w:t xml:space="preserve">przerabianie odpadów organicznych na biowęgiel, który jest trwałą postacią węgla. Produkcja </w:t>
      </w:r>
      <w:r w:rsidRPr="003478AF">
        <w:rPr>
          <w:rFonts w:cs="Arial"/>
          <w:szCs w:val="20"/>
        </w:rPr>
        <w:br/>
        <w:t xml:space="preserve">i zastosowanie doglebowe biowęgla jest jedyną do tej pory w pełni opanowaną technologią </w:t>
      </w:r>
      <w:r w:rsidRPr="003478AF">
        <w:rPr>
          <w:rFonts w:cs="Arial"/>
          <w:szCs w:val="20"/>
        </w:rPr>
        <w:br/>
        <w:t xml:space="preserve">o ujemnym bilansie węgla. Podkreśla się również, że uprawa roślin pod osłonami powinna być pierwszym krokiem do zastosowania GOZ. Analizy cyklu życia wykazały z kolei, iż uprawa roślin na podłożach bezglebowych uważana bywa jako przyjazna dla środowiska metoda produkcji. W takich rozwiązaniach obciążenie środowiska upraw bezglebowych jest o 50% niższe niż upraw tradycyjnych z powodu niższych emisji składników odżywczych i pestycydów do środowiska. W przypadku poziomu emisji gazów cieplarnianych dla uprawy pomidora wynosi on </w:t>
      </w:r>
      <w:r w:rsidR="006A6CD6" w:rsidRPr="003478AF">
        <w:rPr>
          <w:rFonts w:cs="Arial"/>
          <w:szCs w:val="20"/>
        </w:rPr>
        <w:t xml:space="preserve">odpowiednio w uprawie bezglebowej i tradycyjnej glebowej </w:t>
      </w:r>
      <w:r w:rsidRPr="003478AF">
        <w:rPr>
          <w:rFonts w:cs="Arial"/>
          <w:szCs w:val="20"/>
        </w:rPr>
        <w:t>853 i 1</w:t>
      </w:r>
      <w:r w:rsidR="006A6CD6" w:rsidRPr="003478AF">
        <w:rPr>
          <w:rFonts w:cs="Arial"/>
          <w:szCs w:val="20"/>
        </w:rPr>
        <w:t> </w:t>
      </w:r>
      <w:r w:rsidRPr="003478AF">
        <w:rPr>
          <w:rFonts w:cs="Arial"/>
          <w:szCs w:val="20"/>
        </w:rPr>
        <w:t>303 g CO</w:t>
      </w:r>
      <w:r w:rsidRPr="003478AF">
        <w:rPr>
          <w:rFonts w:cs="Arial"/>
          <w:szCs w:val="20"/>
          <w:vertAlign w:val="subscript"/>
        </w:rPr>
        <w:t>2</w:t>
      </w:r>
      <w:r w:rsidRPr="003478AF">
        <w:rPr>
          <w:rFonts w:cs="Arial"/>
          <w:szCs w:val="20"/>
        </w:rPr>
        <w:t xml:space="preserve">/kg. Innymi rozwiązaniami technologicznymi zgodnymi z zasadą gospodarki cyrkularnej w systemie upraw pod osłonami są: </w:t>
      </w:r>
    </w:p>
    <w:p w14:paraId="339AD5D4" w14:textId="77777777" w:rsidR="00FA2BB9" w:rsidRPr="003478AF" w:rsidRDefault="00FA2BB9" w:rsidP="00B13D49">
      <w:pPr>
        <w:pStyle w:val="Akapitzlist"/>
        <w:numPr>
          <w:ilvl w:val="0"/>
          <w:numId w:val="7"/>
        </w:numPr>
        <w:ind w:left="714" w:hanging="357"/>
        <w:rPr>
          <w:rFonts w:cs="Arial"/>
          <w:szCs w:val="20"/>
        </w:rPr>
      </w:pPr>
      <w:r w:rsidRPr="003478AF">
        <w:rPr>
          <w:rFonts w:cs="Arial"/>
          <w:szCs w:val="20"/>
        </w:rPr>
        <w:t xml:space="preserve">wytwarzanie błonnika pokarmowego i białka pokarmowego z biomasy odpadowej; </w:t>
      </w:r>
    </w:p>
    <w:p w14:paraId="5609EA93" w14:textId="77777777" w:rsidR="00FA2BB9" w:rsidRPr="003478AF" w:rsidRDefault="00FA2BB9" w:rsidP="00B13D49">
      <w:pPr>
        <w:pStyle w:val="Akapitzlist"/>
        <w:numPr>
          <w:ilvl w:val="0"/>
          <w:numId w:val="7"/>
        </w:numPr>
        <w:ind w:left="714" w:hanging="357"/>
        <w:rPr>
          <w:rFonts w:cs="Arial"/>
          <w:szCs w:val="20"/>
        </w:rPr>
      </w:pPr>
      <w:r w:rsidRPr="003478AF">
        <w:rPr>
          <w:rFonts w:cs="Arial"/>
          <w:szCs w:val="20"/>
        </w:rPr>
        <w:t xml:space="preserve">jak najszersze stosowanie energii odnawialnej w produkcji szklarniowej; </w:t>
      </w:r>
    </w:p>
    <w:p w14:paraId="5578EAF5" w14:textId="066F89EB" w:rsidR="00FA2BB9" w:rsidRPr="003478AF" w:rsidRDefault="00FA2BB9" w:rsidP="00B13D49">
      <w:pPr>
        <w:pStyle w:val="Akapitzlist"/>
        <w:numPr>
          <w:ilvl w:val="0"/>
          <w:numId w:val="7"/>
        </w:numPr>
        <w:ind w:left="714" w:hanging="357"/>
        <w:rPr>
          <w:rFonts w:cs="Arial"/>
          <w:szCs w:val="20"/>
        </w:rPr>
      </w:pPr>
      <w:r w:rsidRPr="003478AF">
        <w:rPr>
          <w:rFonts w:cs="Arial"/>
          <w:szCs w:val="20"/>
        </w:rPr>
        <w:lastRenderedPageBreak/>
        <w:t>stosowani</w:t>
      </w:r>
      <w:r w:rsidR="004E7193" w:rsidRPr="003478AF">
        <w:rPr>
          <w:rFonts w:cs="Arial"/>
          <w:szCs w:val="20"/>
        </w:rPr>
        <w:t>e</w:t>
      </w:r>
      <w:r w:rsidRPr="003478AF">
        <w:rPr>
          <w:rFonts w:cs="Arial"/>
          <w:szCs w:val="20"/>
        </w:rPr>
        <w:t xml:space="preserve"> wertykalnych miejskich szklarni z użyciem wody opadowej; </w:t>
      </w:r>
    </w:p>
    <w:p w14:paraId="1ADAA5E1" w14:textId="77777777" w:rsidR="00FA2BB9" w:rsidRPr="003478AF" w:rsidRDefault="00FA2BB9" w:rsidP="00B13D49">
      <w:pPr>
        <w:pStyle w:val="Akapitzlist"/>
        <w:numPr>
          <w:ilvl w:val="0"/>
          <w:numId w:val="7"/>
        </w:numPr>
        <w:ind w:left="714" w:hanging="357"/>
        <w:rPr>
          <w:rFonts w:cs="Arial"/>
          <w:szCs w:val="20"/>
        </w:rPr>
      </w:pPr>
      <w:r w:rsidRPr="003478AF">
        <w:rPr>
          <w:rFonts w:cs="Arial"/>
          <w:szCs w:val="20"/>
        </w:rPr>
        <w:t xml:space="preserve">szersze zastosowanie nawozów organicznych (problem dyskusyjny); </w:t>
      </w:r>
    </w:p>
    <w:p w14:paraId="511A594B" w14:textId="3D0ACD8B" w:rsidR="00FA2BB9" w:rsidRPr="003478AF" w:rsidRDefault="00FA2BB9" w:rsidP="00B13D49">
      <w:pPr>
        <w:pStyle w:val="Akapitzlist"/>
        <w:numPr>
          <w:ilvl w:val="0"/>
          <w:numId w:val="7"/>
        </w:numPr>
        <w:ind w:left="714" w:hanging="357"/>
        <w:rPr>
          <w:rFonts w:cs="Arial"/>
          <w:szCs w:val="20"/>
        </w:rPr>
      </w:pPr>
      <w:r w:rsidRPr="003478AF">
        <w:rPr>
          <w:rFonts w:cs="Arial"/>
          <w:szCs w:val="20"/>
        </w:rPr>
        <w:t>wprowadzenie dla wielkich obiektów szklarniowych</w:t>
      </w:r>
      <w:r w:rsidR="00304E6C" w:rsidRPr="003478AF">
        <w:rPr>
          <w:rFonts w:cs="Arial"/>
          <w:szCs w:val="20"/>
        </w:rPr>
        <w:t>,</w:t>
      </w:r>
      <w:r w:rsidRPr="003478AF">
        <w:rPr>
          <w:rFonts w:cs="Arial"/>
          <w:szCs w:val="20"/>
        </w:rPr>
        <w:t xml:space="preserve"> wzorem Holandii</w:t>
      </w:r>
      <w:r w:rsidR="00304E6C" w:rsidRPr="003478AF">
        <w:rPr>
          <w:rFonts w:cs="Arial"/>
          <w:szCs w:val="20"/>
        </w:rPr>
        <w:t>,</w:t>
      </w:r>
      <w:r w:rsidRPr="003478AF">
        <w:rPr>
          <w:rFonts w:cs="Arial"/>
          <w:szCs w:val="20"/>
        </w:rPr>
        <w:t xml:space="preserve"> obowiązku retencji wody deszczowej; </w:t>
      </w:r>
    </w:p>
    <w:p w14:paraId="7AE060B1" w14:textId="000ABF70" w:rsidR="00FA2BB9" w:rsidRPr="003478AF" w:rsidRDefault="00FA2BB9" w:rsidP="00B13D49">
      <w:pPr>
        <w:pStyle w:val="Akapitzlist"/>
        <w:numPr>
          <w:ilvl w:val="0"/>
          <w:numId w:val="7"/>
        </w:numPr>
        <w:ind w:left="714" w:hanging="357"/>
        <w:rPr>
          <w:rFonts w:cs="Arial"/>
          <w:szCs w:val="20"/>
        </w:rPr>
      </w:pPr>
      <w:r w:rsidRPr="003478AF">
        <w:rPr>
          <w:rFonts w:cs="Arial"/>
          <w:szCs w:val="20"/>
        </w:rPr>
        <w:t>używani</w:t>
      </w:r>
      <w:r w:rsidR="004E7193" w:rsidRPr="003478AF">
        <w:rPr>
          <w:rFonts w:cs="Arial"/>
          <w:szCs w:val="20"/>
        </w:rPr>
        <w:t>e</w:t>
      </w:r>
      <w:r w:rsidRPr="003478AF">
        <w:rPr>
          <w:rFonts w:cs="Arial"/>
          <w:szCs w:val="20"/>
        </w:rPr>
        <w:t xml:space="preserve"> pasywnych systemów gromadzenia ciepła; </w:t>
      </w:r>
    </w:p>
    <w:p w14:paraId="0CEA6D53" w14:textId="375ECE9B" w:rsidR="00FA2BB9" w:rsidRPr="003478AF" w:rsidRDefault="00FA2BB9" w:rsidP="00B13D49">
      <w:pPr>
        <w:pStyle w:val="Akapitzlist"/>
        <w:numPr>
          <w:ilvl w:val="0"/>
          <w:numId w:val="7"/>
        </w:numPr>
        <w:ind w:left="714" w:hanging="357"/>
        <w:rPr>
          <w:rFonts w:cs="Arial"/>
          <w:szCs w:val="20"/>
        </w:rPr>
      </w:pPr>
      <w:r w:rsidRPr="003478AF">
        <w:rPr>
          <w:rFonts w:cs="Arial"/>
          <w:szCs w:val="20"/>
        </w:rPr>
        <w:t>innowacyjne zastosowani</w:t>
      </w:r>
      <w:r w:rsidR="004E7193" w:rsidRPr="003478AF">
        <w:rPr>
          <w:rFonts w:cs="Arial"/>
          <w:szCs w:val="20"/>
        </w:rPr>
        <w:t>e</w:t>
      </w:r>
      <w:r w:rsidRPr="003478AF">
        <w:rPr>
          <w:rFonts w:cs="Arial"/>
          <w:szCs w:val="20"/>
        </w:rPr>
        <w:t xml:space="preserve"> biomasy odpadowej – np. produkcja kartonu z włókien celulozowych ogórka i pomidora; </w:t>
      </w:r>
    </w:p>
    <w:p w14:paraId="1870C8EB" w14:textId="77777777" w:rsidR="00FA2BB9" w:rsidRPr="003478AF" w:rsidRDefault="00FA2BB9" w:rsidP="00B13D49">
      <w:pPr>
        <w:pStyle w:val="Akapitzlist"/>
        <w:numPr>
          <w:ilvl w:val="0"/>
          <w:numId w:val="7"/>
        </w:numPr>
        <w:ind w:left="714" w:hanging="357"/>
        <w:rPr>
          <w:rFonts w:cs="Arial"/>
          <w:b/>
          <w:szCs w:val="20"/>
        </w:rPr>
      </w:pPr>
      <w:r w:rsidRPr="003478AF">
        <w:rPr>
          <w:rFonts w:cs="Arial"/>
          <w:szCs w:val="20"/>
        </w:rPr>
        <w:t>biorafinacja</w:t>
      </w:r>
      <w:r w:rsidRPr="003478AF">
        <w:rPr>
          <w:rStyle w:val="Odwoanieprzypisudolnego"/>
        </w:rPr>
        <w:footnoteReference w:id="65"/>
      </w:r>
      <w:r w:rsidRPr="003478AF">
        <w:rPr>
          <w:rFonts w:cs="Arial"/>
          <w:szCs w:val="20"/>
        </w:rPr>
        <w:t>.</w:t>
      </w:r>
    </w:p>
    <w:p w14:paraId="39D8A8F4" w14:textId="6D89675E" w:rsidR="00FA2BB9" w:rsidRPr="003478AF" w:rsidRDefault="00FA2BB9" w:rsidP="00FA2BB9">
      <w:pPr>
        <w:rPr>
          <w:rFonts w:cs="Arial"/>
          <w:szCs w:val="20"/>
        </w:rPr>
      </w:pPr>
      <w:r w:rsidRPr="003478AF">
        <w:rPr>
          <w:rFonts w:cs="Arial"/>
          <w:szCs w:val="20"/>
        </w:rPr>
        <w:t xml:space="preserve">Popularną branżą w obszarze rolnym w rejonie Wielkopolski są stawy hodowlane. </w:t>
      </w:r>
      <w:r w:rsidRPr="003478AF">
        <w:rPr>
          <w:rFonts w:cs="Arial"/>
          <w:szCs w:val="20"/>
        </w:rPr>
        <w:br/>
        <w:t xml:space="preserve">W dobie rozwoju nowych technologii oraz promowania szeroko pojętej innowacyjności </w:t>
      </w:r>
      <w:r w:rsidRPr="003478AF">
        <w:rPr>
          <w:rFonts w:cs="Arial"/>
          <w:szCs w:val="20"/>
        </w:rPr>
        <w:br/>
        <w:t xml:space="preserve">w zakresie produkcji żywności, szuka się rozwiązań, które w efektywny sposób mogą połączyć różne formy produkcji, tak aby w konsekwencji uzyskać dodatkową wartość oraz maksymalnie wykorzystać potencjał gospodarstwa lub firmy. Jednym z nurtów GOZ są również zrównoważone systemy produkcji w akwakulturze. </w:t>
      </w:r>
      <w:r w:rsidR="00554AB9" w:rsidRPr="003478AF">
        <w:rPr>
          <w:rFonts w:cs="Arial"/>
          <w:szCs w:val="20"/>
        </w:rPr>
        <w:t>Przykładem</w:t>
      </w:r>
      <w:r w:rsidRPr="003478AF">
        <w:rPr>
          <w:rFonts w:cs="Arial"/>
          <w:szCs w:val="20"/>
        </w:rPr>
        <w:t xml:space="preserve"> zrównoważonej akwakultury jest klasyczna produkcja stawowa, generująca wiele korzyści pozaprodukcyjnych, </w:t>
      </w:r>
      <w:r w:rsidR="004E7193" w:rsidRPr="003478AF">
        <w:rPr>
          <w:rFonts w:cs="Arial"/>
          <w:szCs w:val="20"/>
        </w:rPr>
        <w:t>m.in.</w:t>
      </w:r>
      <w:r w:rsidRPr="003478AF">
        <w:rPr>
          <w:rFonts w:cs="Arial"/>
          <w:szCs w:val="20"/>
        </w:rPr>
        <w:t xml:space="preserve">: pozytywny wpływ na gospodarkę wodną w zlewni, w szczególności retencję oraz poprawę jakości wód powierzchniowych, </w:t>
      </w:r>
      <w:r w:rsidR="004A1309" w:rsidRPr="003478AF">
        <w:rPr>
          <w:rFonts w:cs="Arial"/>
          <w:szCs w:val="20"/>
        </w:rPr>
        <w:t xml:space="preserve">tworzenie siedlisk </w:t>
      </w:r>
      <w:r w:rsidRPr="003478AF">
        <w:rPr>
          <w:rFonts w:cs="Arial"/>
          <w:szCs w:val="20"/>
        </w:rPr>
        <w:t>czy zachowanie bioróżnorodności</w:t>
      </w:r>
      <w:r w:rsidRPr="003478AF">
        <w:rPr>
          <w:rStyle w:val="Odwoanieprzypisudolnego"/>
        </w:rPr>
        <w:footnoteReference w:id="66"/>
      </w:r>
      <w:r w:rsidRPr="003478AF">
        <w:rPr>
          <w:rFonts w:cs="Arial"/>
          <w:szCs w:val="20"/>
          <w:vertAlign w:val="superscript"/>
        </w:rPr>
        <w:t>,</w:t>
      </w:r>
      <w:r w:rsidRPr="003478AF">
        <w:rPr>
          <w:rStyle w:val="Odwoanieprzypisudolnego"/>
        </w:rPr>
        <w:footnoteReference w:id="67"/>
      </w:r>
      <w:r w:rsidRPr="003478AF">
        <w:rPr>
          <w:rFonts w:cs="Arial"/>
          <w:szCs w:val="20"/>
        </w:rPr>
        <w:t>. Istotna jest w tym rozwiązaniu idea integracji</w:t>
      </w:r>
      <w:r w:rsidR="004E7193" w:rsidRPr="003478AF">
        <w:rPr>
          <w:rFonts w:cs="Arial"/>
          <w:szCs w:val="20"/>
        </w:rPr>
        <w:t>,</w:t>
      </w:r>
      <w:r w:rsidRPr="003478AF">
        <w:rPr>
          <w:rFonts w:cs="Arial"/>
          <w:szCs w:val="20"/>
        </w:rPr>
        <w:t xml:space="preserve"> tj. wykorzystanie plonów produkcji roślinnej </w:t>
      </w:r>
      <w:r w:rsidR="001B0CB3" w:rsidRPr="003478AF">
        <w:rPr>
          <w:rFonts w:cs="Arial"/>
          <w:szCs w:val="20"/>
        </w:rPr>
        <w:br/>
      </w:r>
      <w:r w:rsidRPr="003478AF">
        <w:rPr>
          <w:rFonts w:cs="Arial"/>
          <w:szCs w:val="20"/>
        </w:rPr>
        <w:t xml:space="preserve">w żywieniu ryb, wykorzystanie nawozów naturalnych pochodzących </w:t>
      </w:r>
      <w:r w:rsidR="00554AB9" w:rsidRPr="003478AF">
        <w:rPr>
          <w:rFonts w:cs="Arial"/>
          <w:szCs w:val="20"/>
        </w:rPr>
        <w:t>z</w:t>
      </w:r>
      <w:r w:rsidR="004E7193" w:rsidRPr="003478AF">
        <w:rPr>
          <w:rFonts w:cs="Arial"/>
          <w:szCs w:val="20"/>
        </w:rPr>
        <w:t xml:space="preserve"> </w:t>
      </w:r>
      <w:r w:rsidRPr="003478AF">
        <w:rPr>
          <w:rFonts w:cs="Arial"/>
          <w:szCs w:val="20"/>
        </w:rPr>
        <w:t xml:space="preserve">produkcji zwierzęcej do nawożenia stawów, chów i hodowla drobiu wodnego na stawach rybnych, wypas owiec na groblach stawowych oraz wykorzystanie roślinności wodnej </w:t>
      </w:r>
      <w:r w:rsidR="00554AB9" w:rsidRPr="003478AF">
        <w:rPr>
          <w:rFonts w:cs="Arial"/>
          <w:szCs w:val="20"/>
        </w:rPr>
        <w:t>w</w:t>
      </w:r>
      <w:r w:rsidR="004E7193" w:rsidRPr="003478AF">
        <w:t xml:space="preserve"> </w:t>
      </w:r>
      <w:r w:rsidRPr="003478AF">
        <w:rPr>
          <w:rFonts w:cs="Arial"/>
          <w:szCs w:val="20"/>
        </w:rPr>
        <w:t>karmi</w:t>
      </w:r>
      <w:r w:rsidR="004E7193" w:rsidRPr="003478AF">
        <w:rPr>
          <w:rFonts w:cs="Arial"/>
          <w:szCs w:val="20"/>
        </w:rPr>
        <w:t>e</w:t>
      </w:r>
      <w:r w:rsidRPr="003478AF">
        <w:rPr>
          <w:rFonts w:cs="Arial"/>
          <w:szCs w:val="20"/>
        </w:rPr>
        <w:t>niu zwierząt gospodarskich oraz kompostowaniu i nawożeniu pól</w:t>
      </w:r>
      <w:r w:rsidRPr="003478AF">
        <w:rPr>
          <w:rStyle w:val="Odwoanieprzypisudolnego"/>
        </w:rPr>
        <w:footnoteReference w:id="68"/>
      </w:r>
      <w:r w:rsidRPr="003478AF">
        <w:rPr>
          <w:rFonts w:cs="Arial"/>
          <w:szCs w:val="20"/>
          <w:vertAlign w:val="superscript"/>
        </w:rPr>
        <w:t>,</w:t>
      </w:r>
      <w:r w:rsidRPr="003478AF">
        <w:rPr>
          <w:rStyle w:val="Odwoanieprzypisudolnego"/>
        </w:rPr>
        <w:footnoteReference w:id="69"/>
      </w:r>
      <w:r w:rsidRPr="003478AF">
        <w:rPr>
          <w:rFonts w:cs="Arial"/>
          <w:szCs w:val="20"/>
        </w:rPr>
        <w:t>.</w:t>
      </w:r>
    </w:p>
    <w:p w14:paraId="47D65A5A" w14:textId="0EED42F8" w:rsidR="00FA2BB9" w:rsidRPr="003478AF" w:rsidRDefault="00FA2BB9" w:rsidP="00FA2BB9">
      <w:pPr>
        <w:rPr>
          <w:rFonts w:cs="Arial"/>
          <w:szCs w:val="20"/>
        </w:rPr>
      </w:pPr>
      <w:r w:rsidRPr="003478AF">
        <w:rPr>
          <w:rFonts w:cs="Arial"/>
          <w:szCs w:val="20"/>
        </w:rPr>
        <w:t>Kolejnym nurtem GOZ w obszarze rolnym, ale też spożywczym jest biorafinacja, czyli konwersja. W dzisiejszych czasach biorafinacja nie ogranicza się tylko do produkcji biopaliw, ale jest postrzegana jako racjonalnie zaprojektowany ciąg technologiczny, który pozwoli wykorzystać do maksimum możliwości przetwórstwa surowców odnawialnych</w:t>
      </w:r>
      <w:r w:rsidRPr="003478AF">
        <w:rPr>
          <w:rStyle w:val="Odwoanieprzypisudolnego"/>
        </w:rPr>
        <w:footnoteReference w:id="70"/>
      </w:r>
      <w:r w:rsidRPr="003478AF">
        <w:rPr>
          <w:rFonts w:cs="Arial"/>
          <w:szCs w:val="20"/>
        </w:rPr>
        <w:t>. Z biomasy bogatej w węglowodany podczas fermentacji etanolowej wytwarzany jest bioetanol. Główne surowce do produkcji bioetanolu to ziarno kukurydzy, ponadto wykorzystywany jest destylat rolniczy, melasa, ziemniaki oraz w niewielkich ilościach ziarno zbóż</w:t>
      </w:r>
      <w:r w:rsidRPr="003478AF">
        <w:rPr>
          <w:rStyle w:val="Odwoanieprzypisudolnego"/>
        </w:rPr>
        <w:footnoteReference w:id="71"/>
      </w:r>
      <w:r w:rsidRPr="003478AF">
        <w:rPr>
          <w:rFonts w:cs="Arial"/>
          <w:szCs w:val="20"/>
        </w:rPr>
        <w:t xml:space="preserve">. Z biomasy bogatej </w:t>
      </w:r>
      <w:r w:rsidRPr="003478AF">
        <w:rPr>
          <w:rFonts w:cs="Arial"/>
          <w:szCs w:val="20"/>
        </w:rPr>
        <w:br/>
        <w:t>w oleje w procesie transestryfikacji otrzymywany jest biodiesel</w:t>
      </w:r>
      <w:r w:rsidRPr="003478AF">
        <w:rPr>
          <w:rStyle w:val="Odwoanieprzypisudolnego"/>
        </w:rPr>
        <w:footnoteReference w:id="72"/>
      </w:r>
      <w:r w:rsidRPr="003478AF">
        <w:rPr>
          <w:rFonts w:cs="Arial"/>
          <w:szCs w:val="20"/>
        </w:rPr>
        <w:t xml:space="preserve">. Olej rzepakowy wykorzystywany </w:t>
      </w:r>
      <w:r w:rsidR="003A685A" w:rsidRPr="003478AF">
        <w:rPr>
          <w:rFonts w:cs="Arial"/>
          <w:szCs w:val="20"/>
        </w:rPr>
        <w:t xml:space="preserve">jest </w:t>
      </w:r>
      <w:r w:rsidRPr="003478AF">
        <w:rPr>
          <w:rFonts w:cs="Arial"/>
          <w:szCs w:val="20"/>
        </w:rPr>
        <w:t xml:space="preserve">do produkcji estrów metylowych. Z biomasy odpadowej w procesie </w:t>
      </w:r>
      <w:r w:rsidRPr="003478AF">
        <w:rPr>
          <w:rFonts w:cs="Arial"/>
          <w:szCs w:val="20"/>
        </w:rPr>
        <w:lastRenderedPageBreak/>
        <w:t xml:space="preserve">fermentacji metanowej otrzymywany jest biogaz, którego głównym składnikiem jest biometan. W obszarze rolnictwa szczególnie ważne są biogazownie rolnicze, które umożliwiają zagospodarowanie wszelkiej biomasy odpadowej i jej konwersję do użytecznej energii oraz nawozu rolniczego a dodatkowo rozwiązują problem emisji metanu uwalnianego z biomasy. Istotnym czynnikiem w aspekcie GOZ są lokalne biogazownie rolnicze, oddające nadwyżki energii do sieci energetycznej lub metanu do sieci gazowej, </w:t>
      </w:r>
      <w:r w:rsidR="004E7193" w:rsidRPr="003478AF">
        <w:rPr>
          <w:rFonts w:cs="Arial"/>
          <w:szCs w:val="20"/>
        </w:rPr>
        <w:t xml:space="preserve">które </w:t>
      </w:r>
      <w:r w:rsidRPr="003478AF">
        <w:rPr>
          <w:rFonts w:cs="Arial"/>
          <w:szCs w:val="20"/>
        </w:rPr>
        <w:t xml:space="preserve">mogą stać się </w:t>
      </w:r>
      <w:r w:rsidR="004E7193" w:rsidRPr="003478AF">
        <w:rPr>
          <w:rFonts w:cs="Arial"/>
          <w:szCs w:val="20"/>
        </w:rPr>
        <w:t xml:space="preserve">ważnymi </w:t>
      </w:r>
      <w:r w:rsidRPr="003478AF">
        <w:rPr>
          <w:rFonts w:cs="Arial"/>
          <w:szCs w:val="20"/>
        </w:rPr>
        <w:t>ogniwami zdecentralizowanego systemu produkcji energii</w:t>
      </w:r>
      <w:r w:rsidRPr="003478AF">
        <w:rPr>
          <w:rStyle w:val="Odwoanieprzypisudolnego"/>
        </w:rPr>
        <w:footnoteReference w:id="73"/>
      </w:r>
      <w:r w:rsidRPr="003478AF">
        <w:rPr>
          <w:rFonts w:cs="Arial"/>
          <w:szCs w:val="20"/>
        </w:rPr>
        <w:t>. W ostatnich latach w Polsce znacząco wzrosła liczba instalacji do produkcji biogazu rolniczego. Przykładem rozwinięcia koncepcji biorafinerii I generacji i wyjścia z produkcji biopaliw do bioproduktów o większej wartości jest przetwórstwo komercyjne ziemniaka, w dużych zakładach przetwórczych, gdzie zróżnicowana produkcja po</w:t>
      </w:r>
      <w:r w:rsidR="006D5ECB" w:rsidRPr="003478AF">
        <w:rPr>
          <w:rFonts w:cs="Arial"/>
          <w:szCs w:val="20"/>
        </w:rPr>
        <w:t>z</w:t>
      </w:r>
      <w:r w:rsidRPr="003478AF">
        <w:rPr>
          <w:rFonts w:cs="Arial"/>
          <w:szCs w:val="20"/>
        </w:rPr>
        <w:t>wala osiągać znaczne zyski. Produktem odpadowym z tego rodzaju przetwórstwa jest sok z ziemniaka, który może być zagospodarowany jako pasza dla zwierząt. Nowe technologie pozwoliły na wykorzystanie tego strumienia do produkcji wysokowartościowego produktu jakim jest lizyna, co korzystnie wpływa na bilans ekonomiczny przedsięwzięcia</w:t>
      </w:r>
      <w:r w:rsidRPr="003478AF">
        <w:rPr>
          <w:rStyle w:val="Odwoanieprzypisudolnego"/>
        </w:rPr>
        <w:footnoteReference w:id="74"/>
      </w:r>
      <w:r w:rsidRPr="003478AF">
        <w:rPr>
          <w:rFonts w:cs="Arial"/>
          <w:szCs w:val="20"/>
        </w:rPr>
        <w:t xml:space="preserve">. Warto zwrócić uwagę na pojawienie się na obszarze Wielkopolski topowej technologii biogazowej III generacji, o sprawności sięgającej 97% – wyższej o 1/4 od innych biogazowni rolniczych. Najnowocześniejsza biogazownia w Polsce – unikatowa w skali europejskiej, uruchomiona została w Rolniczo – Sadowniczym Gospodarstwie Doświadczalnym w Przybrodzie. Twórca technologii, firma Dynamic Biogas, w kooperacji </w:t>
      </w:r>
      <w:r w:rsidR="001B0CB3" w:rsidRPr="003478AF">
        <w:rPr>
          <w:rFonts w:cs="Arial"/>
          <w:szCs w:val="20"/>
        </w:rPr>
        <w:br/>
      </w:r>
      <w:r w:rsidRPr="003478AF">
        <w:rPr>
          <w:rFonts w:cs="Arial"/>
          <w:szCs w:val="20"/>
        </w:rPr>
        <w:t xml:space="preserve">z naukowcami Uniwersytetu Przyrodniczego w Poznaniu opracowała efektywnie energetyczny system wykorzystywany przez H. Cegielski-Poznań S.A. </w:t>
      </w:r>
    </w:p>
    <w:p w14:paraId="05551401" w14:textId="77777777" w:rsidR="00FA2BB9" w:rsidRPr="003478AF" w:rsidRDefault="00FA2BB9" w:rsidP="00FA2BB9">
      <w:pPr>
        <w:rPr>
          <w:rFonts w:cs="Arial"/>
          <w:b/>
          <w:bCs/>
          <w:szCs w:val="20"/>
        </w:rPr>
      </w:pPr>
    </w:p>
    <w:p w14:paraId="2BED0DA8" w14:textId="77777777" w:rsidR="00FA2BB9" w:rsidRPr="003478AF" w:rsidRDefault="00FA2BB9" w:rsidP="00175EF7">
      <w:pPr>
        <w:ind w:firstLine="0"/>
        <w:rPr>
          <w:rFonts w:cs="Arial"/>
          <w:szCs w:val="20"/>
        </w:rPr>
      </w:pPr>
      <w:r w:rsidRPr="003478AF">
        <w:rPr>
          <w:rFonts w:cs="Arial"/>
          <w:b/>
          <w:bCs/>
          <w:szCs w:val="20"/>
        </w:rPr>
        <w:t>Przetwórstwo przemysłowe</w:t>
      </w:r>
    </w:p>
    <w:p w14:paraId="73AE93D1" w14:textId="0EB0B450" w:rsidR="00E44697" w:rsidRPr="003478AF" w:rsidRDefault="00E44697" w:rsidP="00E44697">
      <w:pPr>
        <w:rPr>
          <w:rFonts w:cs="Arial"/>
          <w:szCs w:val="20"/>
        </w:rPr>
      </w:pPr>
      <w:r w:rsidRPr="003478AF">
        <w:rPr>
          <w:rFonts w:cs="Arial"/>
          <w:szCs w:val="20"/>
        </w:rPr>
        <w:t>W przetwórstwie przemysłowym ważne dla Wielkopolski są przemysł</w:t>
      </w:r>
      <w:r w:rsidR="006D5ECB" w:rsidRPr="003478AF">
        <w:rPr>
          <w:rFonts w:cs="Arial"/>
          <w:szCs w:val="20"/>
        </w:rPr>
        <w:t>y:</w:t>
      </w:r>
      <w:r w:rsidRPr="003478AF">
        <w:rPr>
          <w:rFonts w:cs="Arial"/>
          <w:szCs w:val="20"/>
        </w:rPr>
        <w:t xml:space="preserve"> meblowy, tekstylny, opakowań, rolniczy i rolno-spożywczy.</w:t>
      </w:r>
    </w:p>
    <w:p w14:paraId="4031AEB6" w14:textId="667EC7F1" w:rsidR="00FA2BB9" w:rsidRPr="003478AF" w:rsidRDefault="00FA2BB9" w:rsidP="00FA2BB9">
      <w:pPr>
        <w:rPr>
          <w:rFonts w:cs="Arial"/>
          <w:szCs w:val="20"/>
        </w:rPr>
      </w:pPr>
      <w:r w:rsidRPr="003478AF">
        <w:rPr>
          <w:rFonts w:cs="Arial"/>
          <w:szCs w:val="20"/>
        </w:rPr>
        <w:t xml:space="preserve">Sektor spożywczy w Wielkopolsce charakteryzuje się względnie niskim stopniem automatyzacji i poziomem innowacyjności, a więc wyzwaniem dla tej branży nadal pozostaje adaptacja do warunków trzeciej rewolucji przemysłowej. Gospodarka o obiegu zamkniętym </w:t>
      </w:r>
      <w:r w:rsidRPr="003478AF">
        <w:rPr>
          <w:rFonts w:cs="Arial"/>
          <w:szCs w:val="20"/>
        </w:rPr>
        <w:br/>
        <w:t>w tym obszarze ściśle koreluje z rozwiązaniami dla obszaru rolnego. Stąd też obszary te są łączone tworząc obszar rolno-spożywczy</w:t>
      </w:r>
      <w:r w:rsidR="00516D19" w:rsidRPr="003478AF">
        <w:rPr>
          <w:rFonts w:cs="Arial"/>
          <w:szCs w:val="20"/>
        </w:rPr>
        <w:t xml:space="preserve">, w którym </w:t>
      </w:r>
      <w:r w:rsidRPr="003478AF">
        <w:rPr>
          <w:rFonts w:cs="Arial"/>
          <w:szCs w:val="20"/>
        </w:rPr>
        <w:t xml:space="preserve">coraz bardziej na popularności zyskują ekologiczne gospodarstwa rolne. </w:t>
      </w:r>
    </w:p>
    <w:p w14:paraId="4D085D4C" w14:textId="1F2E210E" w:rsidR="00FA2BB9" w:rsidRPr="003478AF" w:rsidRDefault="00FA2BB9" w:rsidP="00FA2BB9">
      <w:pPr>
        <w:rPr>
          <w:rFonts w:cs="Arial"/>
          <w:szCs w:val="20"/>
        </w:rPr>
      </w:pPr>
      <w:r w:rsidRPr="003478AF">
        <w:rPr>
          <w:rFonts w:cs="Arial"/>
          <w:szCs w:val="20"/>
        </w:rPr>
        <w:t>Dla rejonu wielkopolski liczba ekologicznych gospodarstw od kilku lat utrzymuje się na wysokim poziome (</w:t>
      </w:r>
      <w:r w:rsidR="00381971" w:rsidRPr="003478AF">
        <w:rPr>
          <w:rFonts w:cs="Arial"/>
          <w:szCs w:val="20"/>
        </w:rPr>
        <w:t>ryc.</w:t>
      </w:r>
      <w:r w:rsidRPr="003478AF">
        <w:rPr>
          <w:rFonts w:cs="Arial"/>
          <w:szCs w:val="20"/>
        </w:rPr>
        <w:t xml:space="preserve"> </w:t>
      </w:r>
      <w:r w:rsidR="00843D1E" w:rsidRPr="003478AF">
        <w:rPr>
          <w:rFonts w:cs="Arial"/>
          <w:szCs w:val="20"/>
        </w:rPr>
        <w:t>3</w:t>
      </w:r>
      <w:r w:rsidRPr="003478AF">
        <w:rPr>
          <w:rFonts w:cs="Arial"/>
          <w:szCs w:val="20"/>
        </w:rPr>
        <w:t>.</w:t>
      </w:r>
      <w:r w:rsidR="00E23F06" w:rsidRPr="003478AF">
        <w:rPr>
          <w:rFonts w:cs="Arial"/>
          <w:szCs w:val="20"/>
        </w:rPr>
        <w:t>2</w:t>
      </w:r>
      <w:r w:rsidRPr="003478AF">
        <w:rPr>
          <w:rFonts w:cs="Arial"/>
          <w:szCs w:val="20"/>
        </w:rPr>
        <w:t>). O dużym potencjale gospodarczym rolnictwa w tym regionie świadczy wielkość globalnej produkcji rolniczej, będącej sumą wartości surowych (nieprzetworzonych) produktów pochodzenia roślinnego i zwierzęcego, która utrzymuje się na jednym z najwyższych poziomów w Polsce</w:t>
      </w:r>
      <w:r w:rsidRPr="003478AF">
        <w:rPr>
          <w:rStyle w:val="Odwoanieprzypisudolnego"/>
        </w:rPr>
        <w:footnoteReference w:id="75"/>
      </w:r>
      <w:r w:rsidRPr="003478AF">
        <w:rPr>
          <w:rFonts w:cs="Arial"/>
          <w:szCs w:val="20"/>
        </w:rPr>
        <w:t xml:space="preserve">. Dlatego też idea </w:t>
      </w:r>
      <w:r w:rsidR="00CA27CE" w:rsidRPr="003478AF">
        <w:rPr>
          <w:rFonts w:cs="Arial"/>
          <w:szCs w:val="20"/>
        </w:rPr>
        <w:t>GOZ</w:t>
      </w:r>
      <w:r w:rsidRPr="003478AF">
        <w:rPr>
          <w:rFonts w:cs="Arial"/>
          <w:szCs w:val="20"/>
        </w:rPr>
        <w:t xml:space="preserve"> dla tego obszaru ma istotne znaczenie. </w:t>
      </w:r>
    </w:p>
    <w:p w14:paraId="54F01D00" w14:textId="77777777" w:rsidR="00FA2BB9" w:rsidRPr="003478AF" w:rsidRDefault="00FA2BB9" w:rsidP="00FA2BB9">
      <w:pPr>
        <w:rPr>
          <w:rFonts w:cs="Arial"/>
          <w:szCs w:val="20"/>
        </w:rPr>
      </w:pPr>
    </w:p>
    <w:p w14:paraId="06C87BC9" w14:textId="77777777" w:rsidR="00F1574F" w:rsidRPr="003478AF" w:rsidRDefault="00F1574F">
      <w:pPr>
        <w:spacing w:line="240" w:lineRule="auto"/>
        <w:ind w:firstLine="0"/>
        <w:jc w:val="left"/>
        <w:rPr>
          <w:rFonts w:eastAsia="Arial" w:cs="Arial"/>
          <w:b/>
          <w:bCs/>
          <w:sz w:val="16"/>
          <w:szCs w:val="16"/>
        </w:rPr>
      </w:pPr>
      <w:r w:rsidRPr="003478AF">
        <w:br w:type="page"/>
      </w:r>
    </w:p>
    <w:p w14:paraId="1A957486" w14:textId="3E2E06D2" w:rsidR="00FA2BB9" w:rsidRPr="003478AF" w:rsidRDefault="00FA2BB9" w:rsidP="00986D40">
      <w:pPr>
        <w:pStyle w:val="ARYCINA"/>
      </w:pPr>
      <w:r w:rsidRPr="003478AF">
        <w:lastRenderedPageBreak/>
        <w:t xml:space="preserve">Ryc. </w:t>
      </w:r>
      <w:r w:rsidR="00843D1E" w:rsidRPr="003478AF">
        <w:t>3</w:t>
      </w:r>
      <w:r w:rsidRPr="003478AF">
        <w:t>.</w:t>
      </w:r>
      <w:r w:rsidR="00E23F06" w:rsidRPr="003478AF">
        <w:t>2</w:t>
      </w:r>
      <w:r w:rsidRPr="003478AF">
        <w:t xml:space="preserve"> Liczba ekologicznych gospodarstw rolnych (z certyfikatem zgodności Głównego Inspektoratu Jakości Handlowej Artykułów Rolno-Spożywczych oraz w okresie przestawiania gospodarowania </w:t>
      </w:r>
      <w:r w:rsidR="004A1309" w:rsidRPr="003478AF">
        <w:br/>
      </w:r>
      <w:r w:rsidRPr="003478AF">
        <w:t xml:space="preserve">na metody ekologiczne) oraz powierzchnia użytków rolnych tych gospodarstw (ha) </w:t>
      </w:r>
      <w:r w:rsidR="004A1309" w:rsidRPr="003478AF">
        <w:br/>
      </w:r>
      <w:r w:rsidRPr="003478AF">
        <w:t xml:space="preserve">w </w:t>
      </w:r>
      <w:r w:rsidR="004A1309" w:rsidRPr="003478AF">
        <w:t>województwie wielkopolskim</w:t>
      </w:r>
      <w:r w:rsidRPr="003478AF">
        <w:t xml:space="preserve"> w latach 2010-2019</w:t>
      </w:r>
    </w:p>
    <w:p w14:paraId="70F353E9" w14:textId="0F860FA8" w:rsidR="003B6070" w:rsidRPr="003478AF" w:rsidRDefault="00726E3A" w:rsidP="00E6136F">
      <w:pPr>
        <w:keepNext/>
        <w:ind w:firstLine="0"/>
        <w:jc w:val="center"/>
        <w:rPr>
          <w:rFonts w:cs="Arial"/>
        </w:rPr>
      </w:pPr>
      <w:r w:rsidRPr="003478AF">
        <w:rPr>
          <w:noProof/>
          <w:lang w:eastAsia="pl-PL"/>
        </w:rPr>
        <w:drawing>
          <wp:inline distT="0" distB="0" distL="0" distR="0" wp14:anchorId="25136C16" wp14:editId="5422C0DD">
            <wp:extent cx="5242812" cy="2160000"/>
            <wp:effectExtent l="0" t="0" r="15240" b="12065"/>
            <wp:docPr id="46" name="Wykres 46"/>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p w14:paraId="196A80E2" w14:textId="262987A9" w:rsidR="00FA2BB9" w:rsidRPr="003478AF" w:rsidRDefault="00FA2BB9" w:rsidP="00986D40">
      <w:pPr>
        <w:pStyle w:val="AZRODLO"/>
      </w:pPr>
      <w:r w:rsidRPr="003478AF">
        <w:t xml:space="preserve">Źródło: </w:t>
      </w:r>
      <w:r w:rsidR="00F50320" w:rsidRPr="003478AF">
        <w:t>O</w:t>
      </w:r>
      <w:r w:rsidRPr="003478AF">
        <w:t>pracowanie własne na podstawie GUS BDL</w:t>
      </w:r>
    </w:p>
    <w:p w14:paraId="25DF11BB" w14:textId="77777777" w:rsidR="00FA2BB9" w:rsidRPr="003478AF" w:rsidRDefault="00FA2BB9" w:rsidP="00FA2BB9">
      <w:pPr>
        <w:rPr>
          <w:rFonts w:cs="Arial"/>
          <w:color w:val="000000" w:themeColor="text1"/>
          <w:szCs w:val="20"/>
        </w:rPr>
      </w:pPr>
    </w:p>
    <w:p w14:paraId="79B7EC2D" w14:textId="23053E41" w:rsidR="00FA2BB9" w:rsidRPr="003478AF" w:rsidRDefault="00FA2BB9" w:rsidP="00FA2BB9">
      <w:pPr>
        <w:rPr>
          <w:rFonts w:cs="Arial"/>
          <w:color w:val="000000" w:themeColor="text1"/>
          <w:szCs w:val="20"/>
        </w:rPr>
      </w:pPr>
      <w:r w:rsidRPr="003478AF">
        <w:rPr>
          <w:rFonts w:cs="Arial"/>
          <w:color w:val="000000" w:themeColor="text1"/>
          <w:szCs w:val="20"/>
        </w:rPr>
        <w:t xml:space="preserve">Badania nad rozwojem przyjaznych dla środowiska technik uprawy roślin obejmują m.in. hodowlę nowych odmian, lepiej dostosowanych do warunków środowiska o podwyższonej odporności na niekorzystne czynniki środowiska, optymalizację metod nawadniania oraz nawożenia upraw, wykorzystanie płodozmianu w celu ograniczenia występowania organizmów patogenicznych w glebie, ściółkowanie gleby, stosowanie nawozów pochodzenia naturalnego z hodowli zwierząt lub rolnictwa z aplikacją mikroorganizmów glebowych dla zwiększania żyzności i różnorodności biologicznej gleby oraz podniesienia odporności roślin na patogeny </w:t>
      </w:r>
      <w:r w:rsidR="00DF6558" w:rsidRPr="003478AF">
        <w:rPr>
          <w:rFonts w:cs="Arial"/>
          <w:color w:val="000000" w:themeColor="text1"/>
          <w:szCs w:val="20"/>
        </w:rPr>
        <w:br/>
      </w:r>
      <w:r w:rsidR="00554AB9" w:rsidRPr="003478AF">
        <w:rPr>
          <w:rFonts w:cs="Arial"/>
          <w:color w:val="000000" w:themeColor="text1"/>
          <w:szCs w:val="20"/>
        </w:rPr>
        <w:t>i</w:t>
      </w:r>
      <w:r w:rsidR="00DF6558" w:rsidRPr="003478AF">
        <w:rPr>
          <w:rFonts w:cs="Arial"/>
          <w:color w:val="000000" w:themeColor="text1"/>
          <w:szCs w:val="20"/>
        </w:rPr>
        <w:t xml:space="preserve"> </w:t>
      </w:r>
      <w:r w:rsidRPr="003478AF">
        <w:rPr>
          <w:rFonts w:cs="Arial"/>
          <w:color w:val="000000" w:themeColor="text1"/>
          <w:szCs w:val="20"/>
        </w:rPr>
        <w:t>szkodniki</w:t>
      </w:r>
      <w:r w:rsidRPr="003478AF">
        <w:rPr>
          <w:rStyle w:val="Odwoanieprzypisudolnego"/>
        </w:rPr>
        <w:footnoteReference w:id="76"/>
      </w:r>
      <w:r w:rsidRPr="003478AF">
        <w:rPr>
          <w:rFonts w:cs="Arial"/>
          <w:color w:val="000000" w:themeColor="text1"/>
          <w:szCs w:val="20"/>
        </w:rPr>
        <w:t>.</w:t>
      </w:r>
    </w:p>
    <w:p w14:paraId="1FEC71DC" w14:textId="60328F5E" w:rsidR="00FA2BB9" w:rsidRPr="003478AF" w:rsidRDefault="00FA2BB9" w:rsidP="00FA2BB9">
      <w:pPr>
        <w:rPr>
          <w:rFonts w:cs="Arial"/>
          <w:szCs w:val="20"/>
        </w:rPr>
      </w:pPr>
      <w:r w:rsidRPr="003478AF">
        <w:rPr>
          <w:rFonts w:cs="Arial"/>
          <w:szCs w:val="20"/>
        </w:rPr>
        <w:t xml:space="preserve">Rosnąca produkcja żywności, już nie tylko ekologicznej, niezbędnej do zaspokojenia potrzeb coraz większej liczby ludzi na świecie wiąże się z poważnymi problemami środowiskowymi. Problemy, które mogą pojawić się w przetwórstwie żywności są związane </w:t>
      </w:r>
      <w:r w:rsidRPr="003478AF">
        <w:rPr>
          <w:rFonts w:cs="Arial"/>
          <w:szCs w:val="20"/>
        </w:rPr>
        <w:br/>
        <w:t xml:space="preserve">z zarządzaniem energią i odpadami. Duże ilości odpadów wytwarzanych w przemyśle spożywczym rodzą ważne kwestie związane z problemami gospodarowania, zarówno </w:t>
      </w:r>
      <w:r w:rsidRPr="003478AF">
        <w:rPr>
          <w:rFonts w:cs="Arial"/>
          <w:szCs w:val="20"/>
        </w:rPr>
        <w:br/>
        <w:t xml:space="preserve">z </w:t>
      </w:r>
      <w:r w:rsidR="00DF6558" w:rsidRPr="003478AF">
        <w:rPr>
          <w:rFonts w:cs="Arial"/>
          <w:szCs w:val="20"/>
        </w:rPr>
        <w:t xml:space="preserve">punktu widzenia </w:t>
      </w:r>
      <w:r w:rsidRPr="003478AF">
        <w:rPr>
          <w:rFonts w:cs="Arial"/>
          <w:szCs w:val="20"/>
        </w:rPr>
        <w:t>ekonomicznego</w:t>
      </w:r>
      <w:r w:rsidR="00DF6558" w:rsidRPr="003478AF">
        <w:rPr>
          <w:rFonts w:cs="Arial"/>
          <w:szCs w:val="20"/>
        </w:rPr>
        <w:t>,</w:t>
      </w:r>
      <w:r w:rsidRPr="003478AF">
        <w:rPr>
          <w:rFonts w:cs="Arial"/>
          <w:szCs w:val="20"/>
        </w:rPr>
        <w:t xml:space="preserve"> jak i środowiskowego</w:t>
      </w:r>
      <w:r w:rsidRPr="003478AF">
        <w:rPr>
          <w:rStyle w:val="Odwoanieprzypisudolnego"/>
        </w:rPr>
        <w:footnoteReference w:id="77"/>
      </w:r>
      <w:r w:rsidRPr="003478AF">
        <w:rPr>
          <w:rFonts w:cs="Arial"/>
          <w:szCs w:val="20"/>
        </w:rPr>
        <w:t xml:space="preserve"> . Pod koniec lat siedemdziesiątych XX wieku rozpoczęto pierwsze badania, które dotyczyły ograniczenia ilości odpadów </w:t>
      </w:r>
      <w:r w:rsidR="001B0CB3" w:rsidRPr="003478AF">
        <w:rPr>
          <w:rFonts w:cs="Arial"/>
          <w:szCs w:val="20"/>
        </w:rPr>
        <w:br/>
      </w:r>
      <w:r w:rsidRPr="003478AF">
        <w:rPr>
          <w:rFonts w:cs="Arial"/>
          <w:szCs w:val="20"/>
        </w:rPr>
        <w:t xml:space="preserve">i produktów ubocznych przemysłu spożywczego. </w:t>
      </w:r>
    </w:p>
    <w:p w14:paraId="4CD8D3F9" w14:textId="1561F3C2" w:rsidR="00FA2BB9" w:rsidRPr="003478AF" w:rsidRDefault="00FA2BB9" w:rsidP="00FA2BB9">
      <w:pPr>
        <w:rPr>
          <w:rFonts w:cs="Arial"/>
          <w:szCs w:val="20"/>
        </w:rPr>
      </w:pPr>
      <w:r w:rsidRPr="003478AF">
        <w:rPr>
          <w:rFonts w:cs="Arial"/>
          <w:szCs w:val="20"/>
        </w:rPr>
        <w:t>Na ograniczenie wytwarzania odpadów wpływa doskonalenie struktury zarządzania oraz jakoś</w:t>
      </w:r>
      <w:r w:rsidR="00713E1B" w:rsidRPr="003478AF">
        <w:rPr>
          <w:rFonts w:cs="Arial"/>
          <w:szCs w:val="20"/>
        </w:rPr>
        <w:t>ć</w:t>
      </w:r>
      <w:r w:rsidRPr="003478AF">
        <w:rPr>
          <w:rFonts w:cs="Arial"/>
          <w:szCs w:val="20"/>
        </w:rPr>
        <w:t xml:space="preserve"> monitoringu w łańcuchach produkcji żywności. W wielu organizacjach granica między odpadami a produktami ubocznymi nie jest ustalona</w:t>
      </w:r>
      <w:r w:rsidRPr="003478AF">
        <w:rPr>
          <w:rStyle w:val="Odwoanieprzypisudolnego"/>
        </w:rPr>
        <w:footnoteReference w:id="78"/>
      </w:r>
      <w:r w:rsidRPr="003478AF">
        <w:rPr>
          <w:rFonts w:cs="Arial"/>
          <w:szCs w:val="20"/>
        </w:rPr>
        <w:t xml:space="preserve">. Według dyrektywy w sprawie odpadów, wyróżnia się tzw. odpady zróżnicowane (materiał wyrzucany przez posiadacza), pozostałości </w:t>
      </w:r>
      <w:r w:rsidRPr="003478AF">
        <w:rPr>
          <w:rFonts w:cs="Arial"/>
          <w:szCs w:val="20"/>
        </w:rPr>
        <w:lastRenderedPageBreak/>
        <w:t>poprodukcyjne (materiał, który nie został wyprodukowany celowo, który nie musi być ściśle określony, ale może zostać uznany za odpad) i produkty uboczne (pozostałość, którą można wykorzystać bezpośrednio bez dalszego przetwarzania)</w:t>
      </w:r>
      <w:r w:rsidRPr="003478AF">
        <w:rPr>
          <w:rStyle w:val="Odwoanieprzypisudolnego"/>
        </w:rPr>
        <w:footnoteReference w:id="79"/>
      </w:r>
      <w:r w:rsidRPr="003478AF">
        <w:rPr>
          <w:rFonts w:cs="Arial"/>
          <w:szCs w:val="20"/>
        </w:rPr>
        <w:t>. Według badaczy i naukowców produkty uboczne powstają w trakcie procesu produkcji głównego produktu i nie są głównym celem produkcji</w:t>
      </w:r>
      <w:r w:rsidRPr="003478AF">
        <w:rPr>
          <w:rStyle w:val="Odwoanieprzypisudolnego"/>
        </w:rPr>
        <w:footnoteReference w:id="80"/>
      </w:r>
      <w:r w:rsidRPr="003478AF">
        <w:rPr>
          <w:rFonts w:cs="Arial"/>
          <w:szCs w:val="20"/>
        </w:rPr>
        <w:t>, podczas gdy inni definiują produkty uboczne jako substraty oddzielone od procesu produkcji żywności, w których można wykorzystać funkcjonalne komponenty, ułatwiając w ten sposób opracowywanie na rynku nowych produktów wysokiej jakości</w:t>
      </w:r>
      <w:r w:rsidRPr="003478AF">
        <w:rPr>
          <w:rStyle w:val="Odwoanieprzypisudolnego"/>
        </w:rPr>
        <w:footnoteReference w:id="81"/>
      </w:r>
      <w:r w:rsidRPr="003478AF">
        <w:rPr>
          <w:rFonts w:cs="Arial"/>
          <w:szCs w:val="20"/>
        </w:rPr>
        <w:t>. Produkty uboczne z produkcji żywności można ogólnie podzielić na dwie grupy, w zależności od tego, czy pochodzą z żywności pochodzenia roślinnego lub zwierzęcego</w:t>
      </w:r>
      <w:r w:rsidRPr="003478AF">
        <w:rPr>
          <w:rStyle w:val="Odwoanieprzypisudolnego"/>
        </w:rPr>
        <w:footnoteReference w:id="82"/>
      </w:r>
      <w:r w:rsidRPr="003478AF">
        <w:rPr>
          <w:rFonts w:cs="Arial"/>
          <w:szCs w:val="20"/>
        </w:rPr>
        <w:t xml:space="preserve"> .</w:t>
      </w:r>
    </w:p>
    <w:p w14:paraId="3548C323" w14:textId="69D124C7" w:rsidR="00FA2BB9" w:rsidRPr="003478AF" w:rsidRDefault="00FA2BB9" w:rsidP="00FA2BB9">
      <w:pPr>
        <w:rPr>
          <w:rFonts w:cs="Arial"/>
          <w:szCs w:val="20"/>
        </w:rPr>
      </w:pPr>
      <w:r w:rsidRPr="003478AF">
        <w:rPr>
          <w:rFonts w:cs="Arial"/>
          <w:szCs w:val="20"/>
        </w:rPr>
        <w:t xml:space="preserve">Produkcja odpadów i produktów ubocznych z żywności przebiega przez cały cykl życia żywności, od rolnictwa, poprzez produkcję przemysłową, przetwórstwo i sprzedaż żywności, aż po spożycie w gospodarstwach domowych. W krajach rozwiniętych 42% marnotrawionej żywności powstaje w gospodarstwach domowych, 39% jest tracone w przemysłowej produkcji żywności, 14% w sektorach gastronomicznych, a 5% w sieciach handlowych i podczas dystrybucji. Odpady i produkty uboczne mają ogromny potencjał do ponownego wykorzystania w różnych systemach produkcyjnych. Biorąc pod uwagę ograniczenia w branży, istnieje duża tendencja do stosowania produktów ubocznych i stosowania niezbędnych składników żywności, ponieważ mogą one stanowić ważne źródło związków, które mogą częściowo lub całkowicie zastąpić niektóre surowce. Celem jest zmniejszenie ilości odpadów poprzez odpowiednio opracowaną strategię produkcji, a następnie zdefiniowanie zasady, zgodnie </w:t>
      </w:r>
      <w:r w:rsidR="00220DE7" w:rsidRPr="003478AF">
        <w:rPr>
          <w:rFonts w:cs="Arial"/>
          <w:szCs w:val="20"/>
        </w:rPr>
        <w:t>z </w:t>
      </w:r>
      <w:r w:rsidRPr="003478AF">
        <w:rPr>
          <w:rFonts w:cs="Arial"/>
          <w:szCs w:val="20"/>
        </w:rPr>
        <w:t>któr</w:t>
      </w:r>
      <w:r w:rsidR="00286A0C" w:rsidRPr="003478AF">
        <w:rPr>
          <w:rFonts w:cs="Arial"/>
          <w:szCs w:val="20"/>
        </w:rPr>
        <w:t>ą</w:t>
      </w:r>
      <w:r w:rsidRPr="003478AF">
        <w:rPr>
          <w:rFonts w:cs="Arial"/>
          <w:szCs w:val="20"/>
        </w:rPr>
        <w:t xml:space="preserve"> wszelkie wytwarzane odpady i produkty uboczne mogą być wykorzystane do produkcji innych produktów spożywczych lub niespożywczych. Dlatego wdrażanie i realizacja różnych inicjatyw na poziomie przemysłowym prowadzi do osiągnięcia maksymalnego wykorzystania odpadów</w:t>
      </w:r>
      <w:r w:rsidRPr="003478AF">
        <w:rPr>
          <w:rStyle w:val="Odwoanieprzypisudolnego"/>
        </w:rPr>
        <w:footnoteReference w:id="83"/>
      </w:r>
      <w:r w:rsidRPr="003478AF">
        <w:rPr>
          <w:rFonts w:cs="Arial"/>
          <w:szCs w:val="20"/>
        </w:rPr>
        <w:t xml:space="preserve"> .</w:t>
      </w:r>
    </w:p>
    <w:p w14:paraId="4372DAB9" w14:textId="77777777" w:rsidR="00FA2BB9" w:rsidRPr="003478AF" w:rsidRDefault="00FA2BB9" w:rsidP="00FA2BB9">
      <w:pPr>
        <w:rPr>
          <w:rFonts w:cs="Arial"/>
          <w:szCs w:val="20"/>
        </w:rPr>
      </w:pPr>
      <w:r w:rsidRPr="003478AF">
        <w:rPr>
          <w:rFonts w:cs="Arial"/>
          <w:szCs w:val="20"/>
        </w:rPr>
        <w:t>Zasadę zarządzania Zielonymi Procesami Produkcyjnymi można osiągnąć poprzez:</w:t>
      </w:r>
    </w:p>
    <w:p w14:paraId="283DD036" w14:textId="6DB21F9E" w:rsidR="00FA2BB9" w:rsidRPr="003478AF" w:rsidRDefault="00FA2BB9" w:rsidP="00B13D49">
      <w:pPr>
        <w:pStyle w:val="Akapitzlist"/>
        <w:numPr>
          <w:ilvl w:val="0"/>
          <w:numId w:val="19"/>
        </w:numPr>
        <w:ind w:left="714" w:hanging="357"/>
        <w:rPr>
          <w:rFonts w:cs="Arial"/>
          <w:szCs w:val="20"/>
        </w:rPr>
      </w:pPr>
      <w:r w:rsidRPr="003478AF">
        <w:rPr>
          <w:rFonts w:cs="Arial"/>
          <w:szCs w:val="20"/>
        </w:rPr>
        <w:t xml:space="preserve">cele krótkoterminowe, które obejmują </w:t>
      </w:r>
      <w:r w:rsidR="00687A86" w:rsidRPr="003478AF">
        <w:rPr>
          <w:rFonts w:cs="Arial"/>
          <w:szCs w:val="20"/>
        </w:rPr>
        <w:t xml:space="preserve">minimalizację </w:t>
      </w:r>
      <w:r w:rsidRPr="003478AF">
        <w:rPr>
          <w:rFonts w:cs="Arial"/>
          <w:szCs w:val="20"/>
        </w:rPr>
        <w:t xml:space="preserve">ilości odpadów poprzez redukcję </w:t>
      </w:r>
      <w:r w:rsidRPr="003478AF">
        <w:rPr>
          <w:rFonts w:cs="Arial"/>
          <w:szCs w:val="20"/>
        </w:rPr>
        <w:br/>
        <w:t>i recykling cennych substancji, produktów ubocznych i pozostałości, przy czym końcowym efektem jest zmniejszenie zarówno emisji, jak i ryzyka</w:t>
      </w:r>
      <w:r w:rsidR="00220DE7" w:rsidRPr="003478AF">
        <w:rPr>
          <w:rFonts w:cs="Arial"/>
          <w:szCs w:val="20"/>
        </w:rPr>
        <w:t>;</w:t>
      </w:r>
    </w:p>
    <w:p w14:paraId="66697BC2" w14:textId="6573DEFE" w:rsidR="00FA2BB9" w:rsidRPr="003478AF" w:rsidRDefault="00FA2BB9" w:rsidP="00B13D49">
      <w:pPr>
        <w:pStyle w:val="Akapitzlist"/>
        <w:numPr>
          <w:ilvl w:val="0"/>
          <w:numId w:val="19"/>
        </w:numPr>
        <w:ind w:left="714" w:hanging="357"/>
        <w:rPr>
          <w:rFonts w:cs="Arial"/>
          <w:szCs w:val="20"/>
        </w:rPr>
      </w:pPr>
      <w:r w:rsidRPr="003478AF">
        <w:rPr>
          <w:rFonts w:cs="Arial"/>
          <w:szCs w:val="20"/>
        </w:rPr>
        <w:t>cele średniookresowe, do których należy rozwój efektywnego procesu produkcyjnego, a tym samym wzrost wartości produktów ubocznych</w:t>
      </w:r>
      <w:r w:rsidR="00220DE7" w:rsidRPr="003478AF">
        <w:rPr>
          <w:rFonts w:cs="Arial"/>
          <w:szCs w:val="20"/>
        </w:rPr>
        <w:t>;</w:t>
      </w:r>
    </w:p>
    <w:p w14:paraId="77BDC100" w14:textId="293E9403" w:rsidR="00FA2BB9" w:rsidRPr="003478AF" w:rsidRDefault="00FA2BB9" w:rsidP="00B13D49">
      <w:pPr>
        <w:pStyle w:val="Akapitzlist"/>
        <w:numPr>
          <w:ilvl w:val="0"/>
          <w:numId w:val="19"/>
        </w:numPr>
        <w:ind w:left="714" w:hanging="357"/>
        <w:rPr>
          <w:rFonts w:cs="Arial"/>
          <w:szCs w:val="20"/>
        </w:rPr>
      </w:pPr>
      <w:r w:rsidRPr="003478AF">
        <w:rPr>
          <w:rFonts w:cs="Arial"/>
          <w:szCs w:val="20"/>
        </w:rPr>
        <w:t>cele długoterminowe, które obejmują sukcesywne zastosowania produkcji ekologicznej, a tym samym rozwój „innowacyjnych produktów” (np. funkcjonaln</w:t>
      </w:r>
      <w:r w:rsidR="00E23F06" w:rsidRPr="003478AF">
        <w:rPr>
          <w:rFonts w:cs="Arial"/>
          <w:szCs w:val="20"/>
        </w:rPr>
        <w:t>ej</w:t>
      </w:r>
      <w:r w:rsidRPr="003478AF">
        <w:rPr>
          <w:rFonts w:cs="Arial"/>
          <w:szCs w:val="20"/>
        </w:rPr>
        <w:t xml:space="preserve"> </w:t>
      </w:r>
      <w:r w:rsidRPr="003478AF">
        <w:rPr>
          <w:rFonts w:cs="Arial"/>
          <w:szCs w:val="20"/>
        </w:rPr>
        <w:lastRenderedPageBreak/>
        <w:t>żywności), otwierając w ten sposób możliwości dla nowych rynków i spełniając cele dotyczące ekologicznej produktywności</w:t>
      </w:r>
      <w:r w:rsidRPr="003478AF">
        <w:rPr>
          <w:rStyle w:val="Odwoanieprzypisudolnego"/>
        </w:rPr>
        <w:footnoteReference w:id="84"/>
      </w:r>
      <w:r w:rsidRPr="003478AF">
        <w:rPr>
          <w:rFonts w:cs="Arial"/>
          <w:szCs w:val="20"/>
          <w:vertAlign w:val="superscript"/>
        </w:rPr>
        <w:t>,</w:t>
      </w:r>
      <w:r w:rsidRPr="003478AF">
        <w:rPr>
          <w:rStyle w:val="Odwoanieprzypisudolnego"/>
        </w:rPr>
        <w:footnoteReference w:id="85"/>
      </w:r>
      <w:r w:rsidRPr="003478AF">
        <w:rPr>
          <w:rFonts w:cs="Arial"/>
          <w:szCs w:val="20"/>
        </w:rPr>
        <w:t>.</w:t>
      </w:r>
    </w:p>
    <w:p w14:paraId="45A2230C" w14:textId="60C0F37B" w:rsidR="00FA2BB9" w:rsidRPr="003478AF" w:rsidRDefault="00FA2BB9" w:rsidP="00FA2BB9">
      <w:pPr>
        <w:rPr>
          <w:rFonts w:cs="Arial"/>
          <w:szCs w:val="20"/>
        </w:rPr>
      </w:pPr>
      <w:r w:rsidRPr="003478AF">
        <w:rPr>
          <w:rFonts w:cs="Arial"/>
          <w:szCs w:val="20"/>
        </w:rPr>
        <w:t>Znaczne ilości odpadów wytwarzane są rocznie w łańcuchach produkcji żywności, które wymagają pilnej eksploatacji. Przemysł spożywczy wytwarza znaczne ilości odpadów, do których zalicza się: resztki owoców i warzyw, wyrzucone produkty, melasę i płatki z rafinacji cukru, kości, krew i skórki z przetwórstwa mięsa i ryb, pozostałości po winiarniach, gorzelniach i browarach, odpady z przemysłu mleczarskiego</w:t>
      </w:r>
      <w:r w:rsidR="00687A86" w:rsidRPr="003478AF">
        <w:rPr>
          <w:rFonts w:cs="Arial"/>
          <w:szCs w:val="20"/>
        </w:rPr>
        <w:t xml:space="preserve">, </w:t>
      </w:r>
      <w:r w:rsidRPr="003478AF">
        <w:rPr>
          <w:rFonts w:cs="Arial"/>
          <w:szCs w:val="20"/>
        </w:rPr>
        <w:t xml:space="preserve">np. serwatka, ścieki z </w:t>
      </w:r>
      <w:r w:rsidR="00220DE7" w:rsidRPr="003478AF">
        <w:rPr>
          <w:rFonts w:cs="Arial"/>
          <w:szCs w:val="20"/>
        </w:rPr>
        <w:t xml:space="preserve">procesów </w:t>
      </w:r>
      <w:r w:rsidRPr="003478AF">
        <w:rPr>
          <w:rFonts w:cs="Arial"/>
          <w:szCs w:val="20"/>
        </w:rPr>
        <w:t>mycia, blanszowania i chłodzenia</w:t>
      </w:r>
      <w:r w:rsidRPr="003478AF">
        <w:rPr>
          <w:rStyle w:val="Odwoanieprzypisudolnego"/>
        </w:rPr>
        <w:footnoteReference w:id="86"/>
      </w:r>
      <w:r w:rsidRPr="003478AF">
        <w:rPr>
          <w:rFonts w:cs="Arial"/>
          <w:szCs w:val="20"/>
        </w:rPr>
        <w:t xml:space="preserve"> . Większość odpadów przemysłu spożywczego to odpady mniej niebezpieczne ze względu na swoje organiczne pochodzenie, jednak mogą one również negatywnie wpływać na jakość środowiska.</w:t>
      </w:r>
    </w:p>
    <w:p w14:paraId="78275B8C" w14:textId="2B0B65AF" w:rsidR="00FA2BB9" w:rsidRPr="003478AF" w:rsidRDefault="00FA2BB9" w:rsidP="00FA2BB9">
      <w:pPr>
        <w:rPr>
          <w:rFonts w:cs="Arial"/>
          <w:szCs w:val="20"/>
        </w:rPr>
      </w:pPr>
      <w:r w:rsidRPr="003478AF">
        <w:rPr>
          <w:rFonts w:cs="Arial"/>
          <w:szCs w:val="20"/>
        </w:rPr>
        <w:t>Odpady w przemyśle spożywczym powstają w różnych sektorach wzdłuż łańcucha produkcyjnego, z gospodarstw rolnych, pakowania/przetwarzania, transportu/dystrybucji, handlu detalicznego, usług i gospodarstw domowych,</w:t>
      </w:r>
      <w:r w:rsidR="009D3C4E" w:rsidRPr="003478AF">
        <w:rPr>
          <w:rFonts w:cs="Arial"/>
          <w:szCs w:val="20"/>
        </w:rPr>
        <w:t xml:space="preserve"> przy czym szacuje się, że </w:t>
      </w:r>
      <w:r w:rsidR="00B00360" w:rsidRPr="003478AF">
        <w:rPr>
          <w:rFonts w:cs="Arial"/>
          <w:szCs w:val="20"/>
        </w:rPr>
        <w:t>około</w:t>
      </w:r>
      <w:r w:rsidRPr="003478AF">
        <w:rPr>
          <w:rFonts w:cs="Arial"/>
          <w:szCs w:val="20"/>
        </w:rPr>
        <w:t xml:space="preserve"> 18% odpadów pochodzi z przetwórstwa i pakowania w wyniku niezbędnych operacji </w:t>
      </w:r>
      <w:r w:rsidR="00687A86" w:rsidRPr="003478AF">
        <w:rPr>
          <w:rFonts w:cs="Arial"/>
          <w:szCs w:val="20"/>
        </w:rPr>
        <w:t>t</w:t>
      </w:r>
      <w:r w:rsidR="00286A0C" w:rsidRPr="003478AF">
        <w:rPr>
          <w:rFonts w:cs="Arial"/>
          <w:szCs w:val="20"/>
        </w:rPr>
        <w:t xml:space="preserve">akich </w:t>
      </w:r>
      <w:r w:rsidR="00687A86" w:rsidRPr="003478AF">
        <w:rPr>
          <w:rFonts w:cs="Arial"/>
          <w:szCs w:val="20"/>
        </w:rPr>
        <w:t>j</w:t>
      </w:r>
      <w:r w:rsidR="00286A0C" w:rsidRPr="003478AF">
        <w:rPr>
          <w:rFonts w:cs="Arial"/>
          <w:szCs w:val="20"/>
        </w:rPr>
        <w:t>ak</w:t>
      </w:r>
      <w:r w:rsidRPr="003478AF">
        <w:rPr>
          <w:rFonts w:cs="Arial"/>
          <w:szCs w:val="20"/>
        </w:rPr>
        <w:t xml:space="preserve"> mycie, obieranie, usuwanie nasion, oddzielanie itp.</w:t>
      </w:r>
    </w:p>
    <w:p w14:paraId="18F0020C" w14:textId="0A473F39" w:rsidR="00FA2BB9" w:rsidRPr="003478AF" w:rsidRDefault="00FA2BB9" w:rsidP="00FA2BB9">
      <w:pPr>
        <w:rPr>
          <w:rFonts w:cs="Arial"/>
          <w:szCs w:val="20"/>
        </w:rPr>
      </w:pPr>
      <w:r w:rsidRPr="003478AF">
        <w:rPr>
          <w:rFonts w:cs="Arial"/>
          <w:szCs w:val="20"/>
        </w:rPr>
        <w:t>Eksploatacja produktów ubocznych przemysłu spożywczego może mieć wielorakie znaczenie. Przy odpowiednim przetworzeniu odpad</w:t>
      </w:r>
      <w:r w:rsidR="00286A0C" w:rsidRPr="003478AF">
        <w:rPr>
          <w:rFonts w:cs="Arial"/>
          <w:szCs w:val="20"/>
        </w:rPr>
        <w:t>y</w:t>
      </w:r>
      <w:r w:rsidRPr="003478AF">
        <w:rPr>
          <w:rFonts w:cs="Arial"/>
          <w:szCs w:val="20"/>
        </w:rPr>
        <w:t xml:space="preserve"> </w:t>
      </w:r>
      <w:r w:rsidR="00286A0C" w:rsidRPr="003478AF">
        <w:rPr>
          <w:rFonts w:cs="Arial"/>
          <w:szCs w:val="20"/>
        </w:rPr>
        <w:t xml:space="preserve">mogą </w:t>
      </w:r>
      <w:r w:rsidRPr="003478AF">
        <w:rPr>
          <w:rFonts w:cs="Arial"/>
          <w:szCs w:val="20"/>
        </w:rPr>
        <w:t xml:space="preserve">być </w:t>
      </w:r>
      <w:r w:rsidR="00286A0C" w:rsidRPr="003478AF">
        <w:rPr>
          <w:rFonts w:cs="Arial"/>
          <w:szCs w:val="20"/>
        </w:rPr>
        <w:t xml:space="preserve">stosowane </w:t>
      </w:r>
      <w:r w:rsidRPr="003478AF">
        <w:rPr>
          <w:rFonts w:cs="Arial"/>
          <w:szCs w:val="20"/>
        </w:rPr>
        <w:t>w postaci bioabsorbentów, dodatków, nowych produktów, w tym żywności funkcjonalnej i składników bioaktywnych, karmy dla zwierząt, substratu wzrostu mikroorganizmów, materiałów nawozowych po kompostowaniu lub jako źródła energii do produkcji biopaliw (bio-wodór, biodiesel)</w:t>
      </w:r>
      <w:r w:rsidRPr="003478AF">
        <w:rPr>
          <w:rStyle w:val="Odwoanieprzypisudolnego"/>
        </w:rPr>
        <w:footnoteReference w:id="87"/>
      </w:r>
      <w:r w:rsidRPr="003478AF">
        <w:rPr>
          <w:rFonts w:cs="Arial"/>
          <w:szCs w:val="20"/>
        </w:rPr>
        <w:t>. Według ekspertów z dziedziny odpadów, odpady żywnościowe stanowią tanie źródło ważnych składników, które przy odpowiedniej separacji mogą służyć jako dodatki funkcjonalne</w:t>
      </w:r>
      <w:r w:rsidRPr="003478AF">
        <w:rPr>
          <w:rStyle w:val="Odwoanieprzypisudolnego"/>
        </w:rPr>
        <w:footnoteReference w:id="88"/>
      </w:r>
      <w:r w:rsidRPr="003478AF">
        <w:rPr>
          <w:rFonts w:cs="Arial"/>
          <w:szCs w:val="20"/>
        </w:rPr>
        <w:t>.</w:t>
      </w:r>
    </w:p>
    <w:p w14:paraId="4A8B4752" w14:textId="6A511D0F" w:rsidR="00FA2BB9" w:rsidRPr="003478AF" w:rsidRDefault="00EE38BE" w:rsidP="00FA2BB9">
      <w:pPr>
        <w:rPr>
          <w:rFonts w:cs="Arial"/>
          <w:szCs w:val="20"/>
        </w:rPr>
      </w:pPr>
      <w:r w:rsidRPr="003478AF">
        <w:rPr>
          <w:rFonts w:cs="Arial"/>
          <w:szCs w:val="20"/>
        </w:rPr>
        <w:t>Na</w:t>
      </w:r>
      <w:r w:rsidR="00FA2BB9" w:rsidRPr="003478AF">
        <w:rPr>
          <w:rFonts w:cs="Arial"/>
          <w:szCs w:val="20"/>
        </w:rPr>
        <w:t xml:space="preserve"> obszarze Wielkopolski znajdują się również winnice, produkujące odpady (wycieki winogronowe, wytłoki i łodygi winogron), stąd analiza kierunków ich wykorzystania również byłaby wskazana. Produkcja win białych i czerwonych generuje znaczne ilości stałych odpadów organicznych, </w:t>
      </w:r>
      <w:r w:rsidR="00906F14" w:rsidRPr="003478AF">
        <w:rPr>
          <w:rFonts w:cs="Arial"/>
          <w:szCs w:val="20"/>
        </w:rPr>
        <w:t>tj.</w:t>
      </w:r>
      <w:r w:rsidR="00FA2BB9" w:rsidRPr="003478AF">
        <w:rPr>
          <w:rFonts w:cs="Arial"/>
          <w:szCs w:val="20"/>
        </w:rPr>
        <w:t xml:space="preserve"> wytłoki i łodygi winogron. Wytłoki winogronowe są formą biomasy, która wraz z innymi organicznymi pozostałościami z produkcji wina i pozostałościami z winnic, takimi jak łodygi winogron, jest uważana za typowy produkt odpadowy</w:t>
      </w:r>
      <w:r w:rsidR="00FA2BB9" w:rsidRPr="003478AF">
        <w:rPr>
          <w:rStyle w:val="Odwoanieprzypisudolnego"/>
        </w:rPr>
        <w:footnoteReference w:id="89"/>
      </w:r>
      <w:r w:rsidR="00FA2BB9" w:rsidRPr="003478AF">
        <w:rPr>
          <w:rFonts w:cs="Arial"/>
          <w:szCs w:val="20"/>
        </w:rPr>
        <w:t>.</w:t>
      </w:r>
    </w:p>
    <w:p w14:paraId="5C3C0122" w14:textId="4AD963D5" w:rsidR="00FA2BB9" w:rsidRPr="003478AF" w:rsidRDefault="00FA2BB9" w:rsidP="00FA2BB9">
      <w:pPr>
        <w:rPr>
          <w:rFonts w:cs="Arial"/>
          <w:szCs w:val="20"/>
        </w:rPr>
      </w:pPr>
      <w:r w:rsidRPr="003478AF">
        <w:rPr>
          <w:rFonts w:cs="Arial"/>
          <w:szCs w:val="20"/>
        </w:rPr>
        <w:t xml:space="preserve">Przykładem wykorzystania tego typu odpadu jest Hiszpania, gdzie rząd oferuje firmom winiarskim trzy alternatywy dla zarządzania wytłoczynami: recykling, waloryzację lub usuwanie, z dużymi opłatami za usuwanie wytłoczyn, zachęcając tym samym przedsiębiorstwa </w:t>
      </w:r>
      <w:r w:rsidRPr="003478AF">
        <w:rPr>
          <w:rFonts w:cs="Arial"/>
          <w:szCs w:val="20"/>
        </w:rPr>
        <w:lastRenderedPageBreak/>
        <w:t xml:space="preserve">do korzystania z innych, bardziej użytecznych </w:t>
      </w:r>
      <w:r w:rsidR="00220DE7" w:rsidRPr="003478AF">
        <w:rPr>
          <w:rFonts w:cs="Arial"/>
          <w:szCs w:val="20"/>
        </w:rPr>
        <w:t>rozwiązań</w:t>
      </w:r>
      <w:r w:rsidRPr="003478AF">
        <w:rPr>
          <w:rStyle w:val="Odwoanieprzypisudolnego"/>
        </w:rPr>
        <w:footnoteReference w:id="90"/>
      </w:r>
      <w:r w:rsidRPr="003478AF">
        <w:rPr>
          <w:rFonts w:cs="Arial"/>
          <w:szCs w:val="20"/>
        </w:rPr>
        <w:t xml:space="preserve">. Wytłoki winogronowe mogą mieć wiele zastosowań, </w:t>
      </w:r>
      <w:r w:rsidR="00906F14" w:rsidRPr="003478AF">
        <w:rPr>
          <w:rFonts w:cs="Arial"/>
          <w:szCs w:val="20"/>
        </w:rPr>
        <w:t>tj.</w:t>
      </w:r>
      <w:r w:rsidRPr="003478AF">
        <w:rPr>
          <w:rFonts w:cs="Arial"/>
          <w:szCs w:val="20"/>
        </w:rPr>
        <w:t xml:space="preserve"> żywność funkcjonalna, biosurfaktanty, kosmetyki, farmaceutyki </w:t>
      </w:r>
      <w:r w:rsidR="00EE38BE" w:rsidRPr="003478AF">
        <w:rPr>
          <w:rFonts w:cs="Arial"/>
          <w:szCs w:val="20"/>
        </w:rPr>
        <w:br/>
      </w:r>
      <w:r w:rsidR="00220DE7" w:rsidRPr="003478AF">
        <w:rPr>
          <w:rFonts w:cs="Arial"/>
          <w:szCs w:val="20"/>
        </w:rPr>
        <w:t>i</w:t>
      </w:r>
      <w:r w:rsidR="00EE38BE" w:rsidRPr="003478AF">
        <w:rPr>
          <w:rFonts w:cs="Arial"/>
          <w:szCs w:val="20"/>
        </w:rPr>
        <w:t xml:space="preserve"> </w:t>
      </w:r>
      <w:r w:rsidRPr="003478AF">
        <w:rPr>
          <w:rFonts w:cs="Arial"/>
          <w:szCs w:val="20"/>
        </w:rPr>
        <w:t>suplementy</w:t>
      </w:r>
      <w:r w:rsidR="00220DE7" w:rsidRPr="003478AF">
        <w:rPr>
          <w:rStyle w:val="Odwoanieprzypisudolnego"/>
        </w:rPr>
        <w:footnoteReference w:id="91"/>
      </w:r>
      <w:r w:rsidR="00220DE7" w:rsidRPr="003478AF">
        <w:rPr>
          <w:rFonts w:cs="Arial"/>
          <w:szCs w:val="20"/>
          <w:vertAlign w:val="superscript"/>
        </w:rPr>
        <w:t>,</w:t>
      </w:r>
      <w:r w:rsidR="00220DE7" w:rsidRPr="003478AF">
        <w:rPr>
          <w:rStyle w:val="Odwoanieprzypisudolnego"/>
        </w:rPr>
        <w:footnoteReference w:id="92"/>
      </w:r>
      <w:r w:rsidRPr="003478AF">
        <w:rPr>
          <w:rFonts w:cs="Arial"/>
          <w:szCs w:val="20"/>
        </w:rPr>
        <w:t>.</w:t>
      </w:r>
    </w:p>
    <w:p w14:paraId="05046838" w14:textId="44D4C0DC" w:rsidR="00FA2BB9" w:rsidRPr="003478AF" w:rsidRDefault="00FA2BB9" w:rsidP="00FA2BB9">
      <w:pPr>
        <w:rPr>
          <w:rFonts w:cs="Arial"/>
          <w:szCs w:val="20"/>
        </w:rPr>
      </w:pPr>
      <w:r w:rsidRPr="003478AF">
        <w:rPr>
          <w:rFonts w:cs="Arial"/>
          <w:szCs w:val="20"/>
        </w:rPr>
        <w:t xml:space="preserve">Innym przykładem przemysłu spożywczego w rejonie </w:t>
      </w:r>
      <w:r w:rsidR="009E1C4F" w:rsidRPr="003478AF">
        <w:rPr>
          <w:rFonts w:cs="Arial"/>
          <w:szCs w:val="20"/>
        </w:rPr>
        <w:t>W</w:t>
      </w:r>
      <w:r w:rsidRPr="003478AF">
        <w:rPr>
          <w:rFonts w:cs="Arial"/>
          <w:szCs w:val="20"/>
        </w:rPr>
        <w:t xml:space="preserve">ielkopolski są branże produkujące i eksportujące kawę i herbatę. W zakładzie produkującym kawę możliwe jest użycie fusów kawowych, będących produktami ubocznymi. Tradycyjnie traktuje się je jako odpady, ale można przeznaczyć je do produkcji pary w kotle biomasowym. Pozwala to zaoszczędzić gaz do produkcji pary potrzebnej na cele produkcyjne oraz uniknąć kosztów składowania i utylizowania fusów. Z kolei w zakładach zajmujących się przetwórstwem kukurydzy i warzyw do produkcji pary może być wykorzystany biogaz, będący produktem ubocznym procesów oczyszczania w przedsiębiorstwie. </w:t>
      </w:r>
    </w:p>
    <w:p w14:paraId="151EF148" w14:textId="77777777" w:rsidR="00FA2BB9" w:rsidRPr="003478AF" w:rsidRDefault="00FA2BB9" w:rsidP="00FA2BB9">
      <w:pPr>
        <w:rPr>
          <w:rFonts w:cs="Arial"/>
          <w:b/>
          <w:szCs w:val="20"/>
        </w:rPr>
      </w:pPr>
    </w:p>
    <w:p w14:paraId="5F1B0ED4" w14:textId="77777777" w:rsidR="00FA2BB9" w:rsidRPr="003478AF" w:rsidRDefault="00FA2BB9" w:rsidP="00175EF7">
      <w:pPr>
        <w:ind w:firstLine="0"/>
        <w:rPr>
          <w:rFonts w:cs="Arial"/>
          <w:b/>
          <w:szCs w:val="20"/>
        </w:rPr>
      </w:pPr>
      <w:r w:rsidRPr="003478AF">
        <w:rPr>
          <w:rFonts w:cs="Arial"/>
          <w:b/>
          <w:szCs w:val="20"/>
        </w:rPr>
        <w:t>Energetyka</w:t>
      </w:r>
    </w:p>
    <w:p w14:paraId="2C14B348" w14:textId="319F3EEB" w:rsidR="00FA2BB9" w:rsidRPr="003478AF" w:rsidRDefault="00FA2BB9" w:rsidP="00FA2BB9">
      <w:pPr>
        <w:rPr>
          <w:rFonts w:cs="Arial"/>
          <w:szCs w:val="20"/>
        </w:rPr>
      </w:pPr>
      <w:r w:rsidRPr="003478AF">
        <w:rPr>
          <w:rFonts w:cs="Arial"/>
          <w:szCs w:val="20"/>
        </w:rPr>
        <w:t xml:space="preserve">W przejściu do </w:t>
      </w:r>
      <w:r w:rsidR="00AA0B12" w:rsidRPr="003478AF">
        <w:rPr>
          <w:rFonts w:cs="Arial"/>
          <w:szCs w:val="20"/>
        </w:rPr>
        <w:t>GOZ</w:t>
      </w:r>
      <w:r w:rsidRPr="003478AF">
        <w:rPr>
          <w:rFonts w:cs="Arial"/>
          <w:szCs w:val="20"/>
        </w:rPr>
        <w:t xml:space="preserve"> dużą rolę do odegrania ma transformacja sektora energetycznego. Rok rocznie rośnie udział produkcji energii pochodzącej z czystych źródeł</w:t>
      </w:r>
      <w:r w:rsidR="00AA0B12" w:rsidRPr="003478AF">
        <w:rPr>
          <w:rFonts w:cs="Arial"/>
          <w:szCs w:val="20"/>
        </w:rPr>
        <w:t>,</w:t>
      </w:r>
      <w:r w:rsidRPr="003478AF">
        <w:rPr>
          <w:rFonts w:cs="Arial"/>
          <w:szCs w:val="20"/>
        </w:rPr>
        <w:t xml:space="preserve"> tj. spalania gazu ziemnego, jak również źródeł </w:t>
      </w:r>
      <w:r w:rsidR="001E1450" w:rsidRPr="003478AF">
        <w:rPr>
          <w:rFonts w:cs="Arial"/>
          <w:szCs w:val="20"/>
        </w:rPr>
        <w:t>odnawialnych (</w:t>
      </w:r>
      <w:r w:rsidRPr="003478AF">
        <w:rPr>
          <w:rFonts w:cs="Arial"/>
          <w:szCs w:val="20"/>
        </w:rPr>
        <w:t>energia słoneczna, wiatrowa, wodna i biopaliwa</w:t>
      </w:r>
      <w:r w:rsidR="00906F14" w:rsidRPr="003478AF">
        <w:rPr>
          <w:rFonts w:cs="Arial"/>
          <w:szCs w:val="20"/>
        </w:rPr>
        <w:t>)</w:t>
      </w:r>
      <w:r w:rsidRPr="003478AF">
        <w:rPr>
          <w:rFonts w:cs="Arial"/>
          <w:szCs w:val="20"/>
        </w:rPr>
        <w:t xml:space="preserve">. </w:t>
      </w:r>
      <w:r w:rsidR="00BB326D" w:rsidRPr="003478AF">
        <w:rPr>
          <w:rFonts w:cs="Arial"/>
          <w:szCs w:val="20"/>
        </w:rPr>
        <w:t>Rozwój</w:t>
      </w:r>
      <w:r w:rsidRPr="003478AF">
        <w:rPr>
          <w:rFonts w:cs="Arial"/>
          <w:szCs w:val="20"/>
        </w:rPr>
        <w:t xml:space="preserve"> powin</w:t>
      </w:r>
      <w:r w:rsidR="00BB326D" w:rsidRPr="003478AF">
        <w:rPr>
          <w:rFonts w:cs="Arial"/>
          <w:szCs w:val="20"/>
        </w:rPr>
        <w:t>ien</w:t>
      </w:r>
      <w:r w:rsidRPr="003478AF">
        <w:rPr>
          <w:rFonts w:cs="Arial"/>
          <w:szCs w:val="20"/>
        </w:rPr>
        <w:t xml:space="preserve"> odbywać się na wielu poziomach – również gospodarstw domowych, stąd też na popularności zyskują mikroinstalacje OZE. </w:t>
      </w:r>
    </w:p>
    <w:p w14:paraId="0FA3CD52" w14:textId="453D7CFC" w:rsidR="00A03E2D" w:rsidRPr="003478AF" w:rsidRDefault="00A03E2D" w:rsidP="00FA2BB9">
      <w:pPr>
        <w:rPr>
          <w:rFonts w:cs="Arial"/>
          <w:szCs w:val="20"/>
        </w:rPr>
      </w:pPr>
      <w:r w:rsidRPr="003478AF">
        <w:t>Według stanu na koniec 2020 roku łączna moc zainstalowana z OZE jaką deklaruje U</w:t>
      </w:r>
      <w:r w:rsidR="00BB326D" w:rsidRPr="003478AF">
        <w:t xml:space="preserve">rząd </w:t>
      </w:r>
      <w:r w:rsidRPr="003478AF">
        <w:t>R</w:t>
      </w:r>
      <w:r w:rsidR="00BB326D" w:rsidRPr="003478AF">
        <w:t xml:space="preserve">egulacji </w:t>
      </w:r>
      <w:r w:rsidRPr="003478AF">
        <w:t>E</w:t>
      </w:r>
      <w:r w:rsidR="00BB326D" w:rsidRPr="003478AF">
        <w:t>nergetyki</w:t>
      </w:r>
      <w:r w:rsidRPr="003478AF">
        <w:t xml:space="preserve"> wyniosła w Wielkopolsce 1</w:t>
      </w:r>
      <w:r w:rsidR="00AA0B12" w:rsidRPr="003478AF">
        <w:t> </w:t>
      </w:r>
      <w:r w:rsidRPr="003478AF">
        <w:t>000,177 MW z 442 instalacji, w tym 239 instalacji wiatrowych o</w:t>
      </w:r>
      <w:r w:rsidR="00AA0B12" w:rsidRPr="003478AF">
        <w:t xml:space="preserve"> </w:t>
      </w:r>
      <w:r w:rsidRPr="003478AF">
        <w:t>łącznej mocy zainstalowanej 746,9 MW, 124 instalacji fotowoltaicznych o łącznej mocy 70</w:t>
      </w:r>
      <w:r w:rsidR="00EA6CD8" w:rsidRPr="003478AF">
        <w:t xml:space="preserve"> </w:t>
      </w:r>
      <w:r w:rsidRPr="003478AF">
        <w:t xml:space="preserve">MW, 39 instalacji wodnych o łącznej mocy 12,6 MW, 34 </w:t>
      </w:r>
      <w:r w:rsidR="00AA0B12" w:rsidRPr="003478AF">
        <w:t xml:space="preserve">instalacji </w:t>
      </w:r>
      <w:r w:rsidRPr="003478AF">
        <w:t>biogazow</w:t>
      </w:r>
      <w:r w:rsidR="00AA0B12" w:rsidRPr="003478AF">
        <w:t>ych</w:t>
      </w:r>
      <w:r w:rsidRPr="003478AF">
        <w:t xml:space="preserve"> o łącznej mocy 28,6</w:t>
      </w:r>
      <w:r w:rsidR="00962290" w:rsidRPr="003478AF">
        <w:t>8</w:t>
      </w:r>
      <w:r w:rsidRPr="003478AF">
        <w:t xml:space="preserve"> MW,</w:t>
      </w:r>
      <w:r w:rsidR="00EA6CD8" w:rsidRPr="003478AF">
        <w:t xml:space="preserve"> </w:t>
      </w:r>
      <w:r w:rsidRPr="003478AF">
        <w:t>4 instalacj</w:t>
      </w:r>
      <w:r w:rsidR="00AA0B12" w:rsidRPr="003478AF">
        <w:t>i</w:t>
      </w:r>
      <w:r w:rsidRPr="003478AF">
        <w:t xml:space="preserve"> biomasow</w:t>
      </w:r>
      <w:r w:rsidR="00AA0B12" w:rsidRPr="003478AF">
        <w:t>ych</w:t>
      </w:r>
      <w:r w:rsidRPr="003478AF">
        <w:t xml:space="preserve"> o łącznej mocy 116,6</w:t>
      </w:r>
      <w:r w:rsidR="00962290" w:rsidRPr="003478AF">
        <w:t>7</w:t>
      </w:r>
      <w:r w:rsidR="00EA6CD8" w:rsidRPr="003478AF">
        <w:t xml:space="preserve"> </w:t>
      </w:r>
      <w:r w:rsidRPr="003478AF">
        <w:t>MW oraz 2 instalacj</w:t>
      </w:r>
      <w:r w:rsidR="00AA0B12" w:rsidRPr="003478AF">
        <w:t>i</w:t>
      </w:r>
      <w:r w:rsidRPr="003478AF">
        <w:t xml:space="preserve"> termicznego przekształcania odpadów o łącznej mocy 25,23</w:t>
      </w:r>
      <w:r w:rsidR="00962290" w:rsidRPr="003478AF">
        <w:t xml:space="preserve"> </w:t>
      </w:r>
      <w:r w:rsidRPr="003478AF">
        <w:t>MW</w:t>
      </w:r>
      <w:r w:rsidR="00962290" w:rsidRPr="003478AF">
        <w:rPr>
          <w:rStyle w:val="Odwoanieprzypisudolnego"/>
        </w:rPr>
        <w:footnoteReference w:id="93"/>
      </w:r>
      <w:r w:rsidR="00EA6CD8" w:rsidRPr="003478AF">
        <w:t>.</w:t>
      </w:r>
    </w:p>
    <w:p w14:paraId="29657EEE" w14:textId="49BC09C6" w:rsidR="002C0F55" w:rsidRPr="003478AF" w:rsidRDefault="00FA2BB9" w:rsidP="00F27460">
      <w:pPr>
        <w:rPr>
          <w:rFonts w:cs="Arial"/>
          <w:szCs w:val="20"/>
        </w:rPr>
      </w:pPr>
      <w:r w:rsidRPr="003478AF">
        <w:rPr>
          <w:rFonts w:cs="Arial"/>
          <w:szCs w:val="20"/>
        </w:rPr>
        <w:t>Energia elektryczna w Wielkopolsce jest produkowana głównie przez konwencjonalne elektrownie zawodowe spalające paliwa kopalne</w:t>
      </w:r>
      <w:r w:rsidR="00AA0B12" w:rsidRPr="003478AF">
        <w:rPr>
          <w:rFonts w:cs="Arial"/>
          <w:szCs w:val="20"/>
        </w:rPr>
        <w:t>,</w:t>
      </w:r>
      <w:r w:rsidRPr="003478AF">
        <w:rPr>
          <w:rFonts w:cs="Arial"/>
          <w:szCs w:val="20"/>
        </w:rPr>
        <w:t xml:space="preserve"> </w:t>
      </w:r>
      <w:r w:rsidR="00220DE7" w:rsidRPr="003478AF">
        <w:rPr>
          <w:rFonts w:cs="Arial"/>
          <w:szCs w:val="20"/>
        </w:rPr>
        <w:t xml:space="preserve">przede wszystkim </w:t>
      </w:r>
      <w:r w:rsidRPr="003478AF">
        <w:rPr>
          <w:rFonts w:cs="Arial"/>
          <w:szCs w:val="20"/>
        </w:rPr>
        <w:t>węgiel brunatny. Podstawowym obiektem zasilającym województwo w energię elektryczną jest Zespół Elektrowni Pątnów–Adamów–Konin (ZE</w:t>
      </w:r>
      <w:r w:rsidR="00F75F16" w:rsidRPr="003478AF">
        <w:rPr>
          <w:rFonts w:cs="Arial"/>
          <w:szCs w:val="20"/>
        </w:rPr>
        <w:t xml:space="preserve"> </w:t>
      </w:r>
      <w:r w:rsidRPr="003478AF">
        <w:rPr>
          <w:rFonts w:cs="Arial"/>
          <w:szCs w:val="20"/>
        </w:rPr>
        <w:t xml:space="preserve">PAK), który ma również znaczenie strategiczne dla kraju, ponieważ zasila znaczną część terytorium państwa. </w:t>
      </w:r>
      <w:r w:rsidR="00F27460" w:rsidRPr="003478AF">
        <w:rPr>
          <w:rFonts w:cs="Arial"/>
          <w:szCs w:val="20"/>
        </w:rPr>
        <w:t>Udział grupy kapitałowej ZE PAK SA w wolumenie energii elektrycznej wprowadzonej do sieci (2019 r</w:t>
      </w:r>
      <w:r w:rsidR="00AA0B12" w:rsidRPr="003478AF">
        <w:rPr>
          <w:rFonts w:cs="Arial"/>
          <w:szCs w:val="20"/>
        </w:rPr>
        <w:t>ok</w:t>
      </w:r>
      <w:r w:rsidR="00F27460" w:rsidRPr="003478AF">
        <w:rPr>
          <w:rFonts w:cs="Arial"/>
          <w:szCs w:val="20"/>
        </w:rPr>
        <w:t>) wynosił 4%</w:t>
      </w:r>
      <w:r w:rsidR="00F27460" w:rsidRPr="003478AF">
        <w:rPr>
          <w:rStyle w:val="Odwoanieprzypisudolnego"/>
          <w:rFonts w:cs="Arial"/>
          <w:szCs w:val="20"/>
        </w:rPr>
        <w:footnoteReference w:id="94"/>
      </w:r>
      <w:r w:rsidR="00F27460" w:rsidRPr="003478AF">
        <w:rPr>
          <w:rFonts w:cs="Arial"/>
          <w:szCs w:val="20"/>
        </w:rPr>
        <w:t>. Jest to zarazem drugi, pod względem wielkości, krajowy producent energii elektrycznej otrzymywanej z węgla brunatnego</w:t>
      </w:r>
      <w:r w:rsidR="00F27460" w:rsidRPr="003478AF">
        <w:rPr>
          <w:rStyle w:val="Odwoanieprzypisudolnego"/>
          <w:rFonts w:cs="Arial"/>
          <w:szCs w:val="20"/>
        </w:rPr>
        <w:footnoteReference w:id="95"/>
      </w:r>
      <w:r w:rsidR="00F27460" w:rsidRPr="003478AF">
        <w:rPr>
          <w:rFonts w:cs="Arial"/>
          <w:szCs w:val="20"/>
        </w:rPr>
        <w:t>. 1 października 2020 roku ZE PAK SA ogłosił nową strategię spółki, której celem jest transformacja energetyczna od węgla do zielonej energii. Istotnym kierunkiem nowej strategii PAK jest produkcja i wykorzystanie wodoru.</w:t>
      </w:r>
    </w:p>
    <w:p w14:paraId="663A8C1E" w14:textId="4DCFD1A9" w:rsidR="00FA2BB9" w:rsidRPr="003478AF" w:rsidRDefault="00FA2BB9" w:rsidP="00FA2BB9">
      <w:pPr>
        <w:rPr>
          <w:rFonts w:cs="Arial"/>
          <w:szCs w:val="20"/>
        </w:rPr>
      </w:pPr>
      <w:r w:rsidRPr="003478AF">
        <w:rPr>
          <w:rFonts w:cs="Arial"/>
          <w:szCs w:val="20"/>
        </w:rPr>
        <w:lastRenderedPageBreak/>
        <w:t>Problem środowiskowy kogeneracji polega na restrykcjach narzucanych przez dyrektywę IED</w:t>
      </w:r>
      <w:r w:rsidR="003B71A0" w:rsidRPr="003478AF">
        <w:rPr>
          <w:rStyle w:val="Odwoanieprzypisudolnego"/>
          <w:rFonts w:cs="Arial"/>
          <w:szCs w:val="20"/>
        </w:rPr>
        <w:footnoteReference w:id="96"/>
      </w:r>
      <w:r w:rsidRPr="003478AF">
        <w:rPr>
          <w:rFonts w:cs="Arial"/>
          <w:szCs w:val="20"/>
        </w:rPr>
        <w:t xml:space="preserve"> obligując</w:t>
      </w:r>
      <w:r w:rsidR="00B04312" w:rsidRPr="003478AF">
        <w:rPr>
          <w:rFonts w:cs="Arial"/>
          <w:szCs w:val="20"/>
        </w:rPr>
        <w:t>ych</w:t>
      </w:r>
      <w:r w:rsidRPr="003478AF">
        <w:rPr>
          <w:rFonts w:cs="Arial"/>
          <w:szCs w:val="20"/>
        </w:rPr>
        <w:t xml:space="preserve"> do ograniczania emisji zanieczyszczeń do atmosfery</w:t>
      </w:r>
      <w:r w:rsidR="00B04312" w:rsidRPr="003478AF">
        <w:rPr>
          <w:rFonts w:cs="Arial"/>
          <w:szCs w:val="20"/>
        </w:rPr>
        <w:t>,</w:t>
      </w:r>
      <w:r w:rsidRPr="003478AF">
        <w:rPr>
          <w:rFonts w:cs="Arial"/>
          <w:szCs w:val="20"/>
        </w:rPr>
        <w:t xml:space="preserve"> m.in. NOx, SOx. Kolejny problem to znaczne ilości ubocznych produktów spalania (UPS). </w:t>
      </w:r>
    </w:p>
    <w:p w14:paraId="6F1E479E" w14:textId="4EBE0EEA" w:rsidR="00FA2BB9" w:rsidRPr="003478AF" w:rsidRDefault="00FA2BB9" w:rsidP="00FA2BB9">
      <w:pPr>
        <w:rPr>
          <w:rFonts w:cs="Arial"/>
          <w:szCs w:val="20"/>
        </w:rPr>
      </w:pPr>
      <w:r w:rsidRPr="003478AF">
        <w:rPr>
          <w:rFonts w:cs="Arial"/>
          <w:szCs w:val="20"/>
        </w:rPr>
        <w:t xml:space="preserve">Rozpatrując działalność kogeneracji w związku z GOZ istotne jest, iż </w:t>
      </w:r>
      <w:r w:rsidR="00B04312" w:rsidRPr="003478AF">
        <w:rPr>
          <w:rFonts w:cs="Arial"/>
          <w:szCs w:val="20"/>
        </w:rPr>
        <w:t>ZE PAK</w:t>
      </w:r>
      <w:r w:rsidRPr="003478AF">
        <w:rPr>
          <w:rFonts w:cs="Arial"/>
          <w:szCs w:val="20"/>
        </w:rPr>
        <w:t xml:space="preserve"> jest Członkiem Stowarzyszenia Programu Czysta Polska. Spółka znacząco zmniejszyła swój udział węgla w miksie energetycznym. W 2019 </w:t>
      </w:r>
      <w:r w:rsidR="00C226D3" w:rsidRPr="003478AF">
        <w:rPr>
          <w:rFonts w:cs="Arial"/>
          <w:szCs w:val="20"/>
        </w:rPr>
        <w:t xml:space="preserve">roku </w:t>
      </w:r>
      <w:r w:rsidRPr="003478AF">
        <w:rPr>
          <w:rFonts w:cs="Arial"/>
          <w:szCs w:val="20"/>
        </w:rPr>
        <w:t>emisja CO</w:t>
      </w:r>
      <w:r w:rsidRPr="003478AF">
        <w:rPr>
          <w:rFonts w:cs="Arial"/>
          <w:szCs w:val="20"/>
          <w:vertAlign w:val="subscript"/>
        </w:rPr>
        <w:t>2</w:t>
      </w:r>
      <w:r w:rsidRPr="003478AF">
        <w:rPr>
          <w:rFonts w:cs="Arial"/>
          <w:szCs w:val="20"/>
        </w:rPr>
        <w:t xml:space="preserve"> </w:t>
      </w:r>
      <w:r w:rsidR="00B04312" w:rsidRPr="003478AF">
        <w:rPr>
          <w:rFonts w:cs="Arial"/>
          <w:szCs w:val="20"/>
        </w:rPr>
        <w:t xml:space="preserve">w </w:t>
      </w:r>
      <w:r w:rsidRPr="003478AF">
        <w:rPr>
          <w:rFonts w:cs="Arial"/>
          <w:szCs w:val="20"/>
        </w:rPr>
        <w:t xml:space="preserve">stosunku do roku wcześniejszego spadła o ponad 30%. Powodem było przed wszystkim zakończenie działalności elektrowni Adamów. </w:t>
      </w:r>
      <w:r w:rsidR="00C226D3" w:rsidRPr="003478AF">
        <w:rPr>
          <w:rFonts w:cs="Arial"/>
          <w:szCs w:val="20"/>
        </w:rPr>
        <w:t xml:space="preserve">Ponadto </w:t>
      </w:r>
      <w:r w:rsidRPr="003478AF">
        <w:rPr>
          <w:rFonts w:cs="Arial"/>
          <w:szCs w:val="20"/>
        </w:rPr>
        <w:t xml:space="preserve">zgodnie z deklaracjami </w:t>
      </w:r>
      <w:r w:rsidR="00597BA8" w:rsidRPr="003478AF">
        <w:rPr>
          <w:rFonts w:cs="Arial"/>
          <w:szCs w:val="20"/>
        </w:rPr>
        <w:t xml:space="preserve">z </w:t>
      </w:r>
      <w:r w:rsidRPr="003478AF">
        <w:rPr>
          <w:rFonts w:cs="Arial"/>
          <w:szCs w:val="20"/>
        </w:rPr>
        <w:t>30 czerwca 2020 roku odstawieniu uległy dwa bloki węglowe w elektrowni Pątnów o mocy 200 MW oraz zmniejszeniu o 93 MW uległa moc elektrowni Konin w wyniku odstawienia wyeksploatowanych instalacji węglowych. Zmniejszenie potencjału wytwórczego ZE</w:t>
      </w:r>
      <w:r w:rsidR="00B04312" w:rsidRPr="003478AF">
        <w:rPr>
          <w:rFonts w:cs="Arial"/>
          <w:szCs w:val="20"/>
        </w:rPr>
        <w:t xml:space="preserve"> </w:t>
      </w:r>
      <w:r w:rsidRPr="003478AF">
        <w:rPr>
          <w:rFonts w:cs="Arial"/>
          <w:szCs w:val="20"/>
        </w:rPr>
        <w:t xml:space="preserve">PAK przełożyło się na przestrzeni ostatnich lat na </w:t>
      </w:r>
      <w:r w:rsidR="00B04312" w:rsidRPr="003478AF">
        <w:rPr>
          <w:rFonts w:cs="Arial"/>
          <w:szCs w:val="20"/>
        </w:rPr>
        <w:t xml:space="preserve">ograniczenie </w:t>
      </w:r>
      <w:r w:rsidRPr="003478AF">
        <w:rPr>
          <w:rFonts w:cs="Arial"/>
          <w:szCs w:val="20"/>
        </w:rPr>
        <w:t>zarówno produkcji energii z węgla brunatnego</w:t>
      </w:r>
      <w:r w:rsidR="00D05BC7" w:rsidRPr="003478AF">
        <w:rPr>
          <w:rFonts w:cs="Arial"/>
          <w:szCs w:val="20"/>
        </w:rPr>
        <w:t>,</w:t>
      </w:r>
      <w:r w:rsidRPr="003478AF">
        <w:rPr>
          <w:rFonts w:cs="Arial"/>
          <w:szCs w:val="20"/>
        </w:rPr>
        <w:t xml:space="preserve"> jak i emisji CO</w:t>
      </w:r>
      <w:r w:rsidRPr="003478AF">
        <w:rPr>
          <w:rFonts w:cs="Arial"/>
          <w:szCs w:val="20"/>
          <w:vertAlign w:val="subscript"/>
        </w:rPr>
        <w:t>2</w:t>
      </w:r>
      <w:r w:rsidRPr="003478AF">
        <w:rPr>
          <w:rFonts w:cs="Arial"/>
          <w:szCs w:val="20"/>
        </w:rPr>
        <w:t>, SO</w:t>
      </w:r>
      <w:r w:rsidRPr="003478AF">
        <w:rPr>
          <w:rFonts w:cs="Arial"/>
          <w:szCs w:val="20"/>
          <w:vertAlign w:val="subscript"/>
        </w:rPr>
        <w:t>2</w:t>
      </w:r>
      <w:r w:rsidRPr="003478AF">
        <w:rPr>
          <w:rFonts w:cs="Arial"/>
          <w:szCs w:val="20"/>
        </w:rPr>
        <w:t>, NO</w:t>
      </w:r>
      <w:r w:rsidRPr="003478AF">
        <w:rPr>
          <w:rFonts w:cs="Arial"/>
          <w:szCs w:val="20"/>
          <w:vertAlign w:val="subscript"/>
        </w:rPr>
        <w:t>x</w:t>
      </w:r>
      <w:r w:rsidRPr="003478AF">
        <w:rPr>
          <w:rFonts w:cs="Arial"/>
          <w:szCs w:val="20"/>
        </w:rPr>
        <w:t xml:space="preserve"> oraz pyłu</w:t>
      </w:r>
      <w:r w:rsidRPr="003478AF">
        <w:rPr>
          <w:rStyle w:val="Odwoanieprzypisudolnego"/>
        </w:rPr>
        <w:footnoteReference w:id="97"/>
      </w:r>
      <w:r w:rsidRPr="003478AF">
        <w:rPr>
          <w:rFonts w:cs="Arial"/>
          <w:szCs w:val="20"/>
        </w:rPr>
        <w:t>.</w:t>
      </w:r>
    </w:p>
    <w:p w14:paraId="77AE67BD" w14:textId="62F0B18D" w:rsidR="00FA2BB9" w:rsidRPr="003478AF" w:rsidRDefault="00FA2BB9" w:rsidP="00FA2BB9">
      <w:pPr>
        <w:rPr>
          <w:rFonts w:cs="Arial"/>
          <w:szCs w:val="20"/>
        </w:rPr>
      </w:pPr>
      <w:r w:rsidRPr="003478AF">
        <w:rPr>
          <w:rFonts w:cs="Arial"/>
          <w:szCs w:val="20"/>
        </w:rPr>
        <w:t xml:space="preserve">W przypadku Elektrowni Konin krokiem </w:t>
      </w:r>
      <w:r w:rsidR="00CD60BF" w:rsidRPr="003478AF">
        <w:rPr>
          <w:rFonts w:cs="Arial"/>
          <w:szCs w:val="20"/>
        </w:rPr>
        <w:t xml:space="preserve">w kierunku </w:t>
      </w:r>
      <w:r w:rsidRPr="003478AF">
        <w:rPr>
          <w:rFonts w:cs="Arial"/>
          <w:szCs w:val="20"/>
        </w:rPr>
        <w:t>GOZ jest blok biomasowy o mocy 50</w:t>
      </w:r>
      <w:r w:rsidR="00597BA8" w:rsidRPr="003478AF">
        <w:rPr>
          <w:rFonts w:cs="Arial"/>
          <w:szCs w:val="20"/>
        </w:rPr>
        <w:t> </w:t>
      </w:r>
      <w:r w:rsidRPr="003478AF">
        <w:rPr>
          <w:rFonts w:cs="Arial"/>
          <w:szCs w:val="20"/>
        </w:rPr>
        <w:t xml:space="preserve">MW, eksploatowany od 2012 roku. Jednostka ta zostanie wkrótce powiększona o kolejny blok na biomasę o podobnej mocy. Tym samym elektrownia w Koninie stanie się pierwszą </w:t>
      </w:r>
      <w:r w:rsidR="001B0CB3" w:rsidRPr="003478AF">
        <w:rPr>
          <w:rFonts w:cs="Arial"/>
          <w:szCs w:val="20"/>
        </w:rPr>
        <w:br/>
      </w:r>
      <w:r w:rsidRPr="003478AF">
        <w:rPr>
          <w:rFonts w:cs="Arial"/>
          <w:szCs w:val="20"/>
        </w:rPr>
        <w:t xml:space="preserve">w kraju elektrownią węglową przekształconą na biomasę. Ważne jest, że już obecnie miasto Konin ma zapewnione dostawy ciepła pochodzące w 100% z </w:t>
      </w:r>
      <w:r w:rsidR="005C79C0" w:rsidRPr="003478AF">
        <w:rPr>
          <w:rFonts w:cs="Arial"/>
          <w:szCs w:val="20"/>
        </w:rPr>
        <w:t>OZE</w:t>
      </w:r>
      <w:r w:rsidRPr="003478AF">
        <w:rPr>
          <w:rFonts w:cs="Arial"/>
          <w:szCs w:val="20"/>
        </w:rPr>
        <w:t>, ze wspomnianego bloku biomasowego.</w:t>
      </w:r>
    </w:p>
    <w:p w14:paraId="78CEBADD" w14:textId="57F011ED" w:rsidR="00FA2BB9" w:rsidRPr="003478AF" w:rsidRDefault="00C853EA" w:rsidP="00FA2BB9">
      <w:pPr>
        <w:rPr>
          <w:rFonts w:cs="Arial"/>
          <w:szCs w:val="20"/>
        </w:rPr>
      </w:pPr>
      <w:r w:rsidRPr="003478AF">
        <w:rPr>
          <w:rFonts w:cs="Arial"/>
          <w:szCs w:val="20"/>
        </w:rPr>
        <w:t>ZE PAK</w:t>
      </w:r>
      <w:r w:rsidR="00FA2BB9" w:rsidRPr="003478AF">
        <w:rPr>
          <w:rFonts w:cs="Arial"/>
          <w:szCs w:val="20"/>
        </w:rPr>
        <w:t xml:space="preserve"> dba również o zbyt ubocznych produktów spalania celem ponownego wykorzystania. W swojej ofercie oferują sprzedaż następujących odpadów</w:t>
      </w:r>
      <w:r w:rsidR="00FA2BB9" w:rsidRPr="003478AF">
        <w:rPr>
          <w:rStyle w:val="Odwoanieprzypisudolnego"/>
        </w:rPr>
        <w:footnoteReference w:id="98"/>
      </w:r>
      <w:r w:rsidR="00FA2BB9" w:rsidRPr="003478AF">
        <w:rPr>
          <w:rFonts w:cs="Arial"/>
          <w:szCs w:val="20"/>
        </w:rPr>
        <w:t>:</w:t>
      </w:r>
    </w:p>
    <w:p w14:paraId="2DE39E35" w14:textId="4D85E8C7" w:rsidR="00FA2BB9" w:rsidRPr="003478AF" w:rsidRDefault="008F31E4" w:rsidP="00132A23">
      <w:pPr>
        <w:pStyle w:val="Akapitzlist"/>
        <w:numPr>
          <w:ilvl w:val="0"/>
          <w:numId w:val="34"/>
        </w:numPr>
        <w:ind w:left="709"/>
        <w:rPr>
          <w:rFonts w:cs="Arial"/>
          <w:szCs w:val="20"/>
        </w:rPr>
      </w:pPr>
      <w:r w:rsidRPr="003478AF">
        <w:rPr>
          <w:rFonts w:cs="Arial"/>
          <w:szCs w:val="20"/>
        </w:rPr>
        <w:t>p</w:t>
      </w:r>
      <w:r w:rsidR="00FA2BB9" w:rsidRPr="003478AF">
        <w:rPr>
          <w:rFonts w:cs="Arial"/>
          <w:szCs w:val="20"/>
        </w:rPr>
        <w:t>opiół lotny ze spalania węgla brunatnego (kod 10 01 02),</w:t>
      </w:r>
    </w:p>
    <w:p w14:paraId="3ED18CA1" w14:textId="7DD6790B" w:rsidR="008F31E4" w:rsidRPr="003478AF" w:rsidRDefault="008F31E4" w:rsidP="00132A23">
      <w:pPr>
        <w:pStyle w:val="Akapitzlist"/>
        <w:numPr>
          <w:ilvl w:val="0"/>
          <w:numId w:val="34"/>
        </w:numPr>
        <w:ind w:left="709"/>
        <w:rPr>
          <w:rFonts w:cs="Arial"/>
          <w:szCs w:val="20"/>
        </w:rPr>
      </w:pPr>
      <w:r w:rsidRPr="003478AF">
        <w:rPr>
          <w:rFonts w:cs="Arial"/>
          <w:szCs w:val="20"/>
        </w:rPr>
        <w:t>REA Gips z Instalacji Odsiarczania Spalin (kod 10 01 05)</w:t>
      </w:r>
      <w:r w:rsidR="00735D06" w:rsidRPr="003478AF">
        <w:rPr>
          <w:rFonts w:cs="Arial"/>
          <w:szCs w:val="20"/>
        </w:rPr>
        <w:t>,</w:t>
      </w:r>
    </w:p>
    <w:p w14:paraId="10391CB7" w14:textId="64739212" w:rsidR="00FA2BB9" w:rsidRPr="003478AF" w:rsidRDefault="008F31E4" w:rsidP="00132A23">
      <w:pPr>
        <w:pStyle w:val="Akapitzlist"/>
        <w:numPr>
          <w:ilvl w:val="0"/>
          <w:numId w:val="34"/>
        </w:numPr>
        <w:ind w:left="709"/>
        <w:rPr>
          <w:rFonts w:cs="Arial"/>
          <w:szCs w:val="20"/>
        </w:rPr>
      </w:pPr>
      <w:r w:rsidRPr="003478AF">
        <w:rPr>
          <w:rFonts w:cs="Arial"/>
          <w:szCs w:val="20"/>
        </w:rPr>
        <w:t>ż</w:t>
      </w:r>
      <w:r w:rsidR="00FA2BB9" w:rsidRPr="003478AF">
        <w:rPr>
          <w:rFonts w:cs="Arial"/>
          <w:szCs w:val="20"/>
        </w:rPr>
        <w:t>użel ze spalania węgla brunatnego (kod 10 01 01),</w:t>
      </w:r>
    </w:p>
    <w:p w14:paraId="3A124E75" w14:textId="46D85E8A" w:rsidR="00FA2BB9" w:rsidRPr="003478AF" w:rsidRDefault="00FA2BB9" w:rsidP="00132A23">
      <w:pPr>
        <w:pStyle w:val="Akapitzlist"/>
        <w:numPr>
          <w:ilvl w:val="0"/>
          <w:numId w:val="34"/>
        </w:numPr>
        <w:ind w:left="709"/>
        <w:rPr>
          <w:rFonts w:cs="Arial"/>
          <w:szCs w:val="20"/>
        </w:rPr>
      </w:pPr>
      <w:r w:rsidRPr="003478AF">
        <w:rPr>
          <w:rFonts w:cs="Arial"/>
          <w:szCs w:val="20"/>
        </w:rPr>
        <w:t>popiół lotny z bloku biomasowego El</w:t>
      </w:r>
      <w:r w:rsidR="00597BA8" w:rsidRPr="003478AF">
        <w:rPr>
          <w:rFonts w:cs="Arial"/>
          <w:szCs w:val="20"/>
        </w:rPr>
        <w:t>ektrowni</w:t>
      </w:r>
      <w:r w:rsidR="00F75F16" w:rsidRPr="003478AF">
        <w:rPr>
          <w:rFonts w:cs="Arial"/>
          <w:szCs w:val="20"/>
        </w:rPr>
        <w:t xml:space="preserve"> </w:t>
      </w:r>
      <w:r w:rsidRPr="003478AF">
        <w:rPr>
          <w:rFonts w:cs="Arial"/>
          <w:szCs w:val="20"/>
        </w:rPr>
        <w:t>Konin (kod 10 01 03)</w:t>
      </w:r>
      <w:r w:rsidR="008F31E4" w:rsidRPr="003478AF">
        <w:rPr>
          <w:rFonts w:cs="Arial"/>
          <w:szCs w:val="20"/>
        </w:rPr>
        <w:t>.</w:t>
      </w:r>
    </w:p>
    <w:p w14:paraId="0AA476DE" w14:textId="75AFB8AF" w:rsidR="008F31E4" w:rsidRPr="003478AF" w:rsidRDefault="008F31E4" w:rsidP="00FA2BB9">
      <w:pPr>
        <w:rPr>
          <w:rFonts w:cs="Arial"/>
          <w:szCs w:val="20"/>
        </w:rPr>
      </w:pPr>
      <w:r w:rsidRPr="003478AF">
        <w:t xml:space="preserve">Popioły lotne wytwarzane podczas spalania węgla brunatnego w elektrowniach wykorzystywane są w budownictwie. W latach 2015-2019 Grupa ZE PAK przekazała </w:t>
      </w:r>
      <w:r w:rsidR="00597BA8" w:rsidRPr="003478AF">
        <w:t xml:space="preserve">na cele </w:t>
      </w:r>
      <w:r w:rsidRPr="003478AF">
        <w:t>drogownictw</w:t>
      </w:r>
      <w:r w:rsidR="00597BA8" w:rsidRPr="003478AF">
        <w:t>a</w:t>
      </w:r>
      <w:r w:rsidRPr="003478AF">
        <w:t xml:space="preserve"> i cementowniom </w:t>
      </w:r>
      <w:r w:rsidR="00B00360" w:rsidRPr="003478AF">
        <w:t>około</w:t>
      </w:r>
      <w:r w:rsidRPr="003478AF">
        <w:t xml:space="preserve"> 1,4 mln ton popiołów.</w:t>
      </w:r>
    </w:p>
    <w:p w14:paraId="1E51D59C" w14:textId="7C969C1F" w:rsidR="008F31E4" w:rsidRPr="003478AF" w:rsidRDefault="008F31E4" w:rsidP="00FA2BB9">
      <w:pPr>
        <w:rPr>
          <w:szCs w:val="20"/>
        </w:rPr>
      </w:pPr>
      <w:r w:rsidRPr="003478AF">
        <w:t xml:space="preserve">Podobna sytuacja dotyczy gipsu powstającego jako produkt uboczny w procesie </w:t>
      </w:r>
      <w:r w:rsidRPr="003478AF">
        <w:rPr>
          <w:szCs w:val="20"/>
        </w:rPr>
        <w:t xml:space="preserve">odsiarczania spalin w instalacjach elektrowni, który jest wykorzystywany gospodarczo </w:t>
      </w:r>
      <w:r w:rsidR="001B0CB3" w:rsidRPr="003478AF">
        <w:rPr>
          <w:szCs w:val="20"/>
        </w:rPr>
        <w:br/>
      </w:r>
      <w:r w:rsidR="00C45033" w:rsidRPr="003478AF">
        <w:rPr>
          <w:szCs w:val="20"/>
        </w:rPr>
        <w:t xml:space="preserve">w </w:t>
      </w:r>
      <w:r w:rsidRPr="003478AF">
        <w:rPr>
          <w:szCs w:val="20"/>
        </w:rPr>
        <w:t>produkcji wyrobów gipsowych, klejów, płyt kartonowo-gipsowych itp. W ostatnich pięciu latach Grupa ZE PAK przekazała do przemysłu blisko 1,3 mln ton tego surowca.</w:t>
      </w:r>
    </w:p>
    <w:p w14:paraId="302F32FC" w14:textId="4A64D668" w:rsidR="008F31E4" w:rsidRPr="003478AF" w:rsidRDefault="008F31E4" w:rsidP="00FA2BB9">
      <w:pPr>
        <w:rPr>
          <w:szCs w:val="20"/>
        </w:rPr>
      </w:pPr>
      <w:r w:rsidRPr="003478AF">
        <w:rPr>
          <w:szCs w:val="20"/>
        </w:rPr>
        <w:t xml:space="preserve">Produkty uboczne wydobycia w </w:t>
      </w:r>
      <w:r w:rsidR="003B71A0" w:rsidRPr="003478AF">
        <w:rPr>
          <w:rStyle w:val="Odwoaniedokomentarza"/>
          <w:sz w:val="20"/>
          <w:szCs w:val="20"/>
        </w:rPr>
        <w:t>Kopalni Węgla Brunatnego</w:t>
      </w:r>
      <w:r w:rsidRPr="003478AF">
        <w:rPr>
          <w:szCs w:val="20"/>
        </w:rPr>
        <w:t xml:space="preserve"> Konin (m.in. iły i piaski podwęglowe), ale i produkty uboczne spalania elektrowni (głównie popiół i żużel) wykorzystywane są natomiast przez Firmę Wienerberger w zakład</w:t>
      </w:r>
      <w:r w:rsidR="00597BA8" w:rsidRPr="003478AF">
        <w:rPr>
          <w:szCs w:val="20"/>
        </w:rPr>
        <w:t>zie</w:t>
      </w:r>
      <w:r w:rsidRPr="003478AF">
        <w:rPr>
          <w:szCs w:val="20"/>
        </w:rPr>
        <w:t xml:space="preserve"> w Honoratce (gmina Ślesin) do produkcji asortymentu wyrobów ceramicznych</w:t>
      </w:r>
      <w:r w:rsidR="00AC3427" w:rsidRPr="003478AF">
        <w:rPr>
          <w:rStyle w:val="Odwoanieprzypisudolnego"/>
          <w:szCs w:val="20"/>
        </w:rPr>
        <w:footnoteReference w:id="99"/>
      </w:r>
      <w:r w:rsidR="00AC3427" w:rsidRPr="003478AF">
        <w:rPr>
          <w:szCs w:val="20"/>
        </w:rPr>
        <w:t>.</w:t>
      </w:r>
    </w:p>
    <w:p w14:paraId="6B58B9FD" w14:textId="53FC912C" w:rsidR="00FA2BB9" w:rsidRPr="003478AF" w:rsidRDefault="00FA2BB9" w:rsidP="00FA2BB9">
      <w:pPr>
        <w:rPr>
          <w:rFonts w:cs="Arial"/>
          <w:szCs w:val="20"/>
        </w:rPr>
      </w:pPr>
      <w:r w:rsidRPr="003478AF">
        <w:rPr>
          <w:rFonts w:cs="Arial"/>
          <w:szCs w:val="20"/>
        </w:rPr>
        <w:lastRenderedPageBreak/>
        <w:t>Opracowany został też szereg pomysłów z zakresu wytwarzania energii z odnawialnych źródeł, magazynowania energii oraz produkcji i wykorzystania wodoru, w związku planowanym całkowitym odejściem Elektrowni PAK od wykorzystania węgla brunatnego do 2030</w:t>
      </w:r>
      <w:r w:rsidR="00C45033" w:rsidRPr="003478AF">
        <w:rPr>
          <w:rFonts w:cs="Arial"/>
          <w:szCs w:val="20"/>
        </w:rPr>
        <w:t xml:space="preserve"> roku</w:t>
      </w:r>
      <w:r w:rsidRPr="003478AF">
        <w:rPr>
          <w:rFonts w:cs="Arial"/>
          <w:szCs w:val="20"/>
        </w:rPr>
        <w:t>.</w:t>
      </w:r>
    </w:p>
    <w:p w14:paraId="45E416CC" w14:textId="2FB2FA3D" w:rsidR="00FA2BB9" w:rsidRPr="003478AF" w:rsidRDefault="00FA2BB9" w:rsidP="00FA2BB9">
      <w:pPr>
        <w:rPr>
          <w:rFonts w:cs="Arial"/>
          <w:szCs w:val="20"/>
        </w:rPr>
      </w:pPr>
      <w:r w:rsidRPr="003478AF">
        <w:rPr>
          <w:rFonts w:cs="Arial"/>
          <w:szCs w:val="20"/>
        </w:rPr>
        <w:t xml:space="preserve">Część z planowanych projektów jest już zgłoszona do specjalnego programu w ramach wsparcia środkami unijnymi regionów silnie uzależnionych od eksploatacji węgla (tzw. Platforma węglowa). Spółka przystąpiła również do „Porozumienia na rzecz sprawiedliwej transformacji energetycznej </w:t>
      </w:r>
      <w:r w:rsidR="00E0397F" w:rsidRPr="003478AF">
        <w:rPr>
          <w:rFonts w:cs="Arial"/>
          <w:szCs w:val="20"/>
        </w:rPr>
        <w:t xml:space="preserve">Wielkopolski </w:t>
      </w:r>
      <w:r w:rsidRPr="003478AF">
        <w:rPr>
          <w:rFonts w:cs="Arial"/>
          <w:szCs w:val="20"/>
        </w:rPr>
        <w:t xml:space="preserve">Wschodniej”, </w:t>
      </w:r>
      <w:r w:rsidR="001335F1" w:rsidRPr="003478AF">
        <w:rPr>
          <w:rFonts w:cs="Arial"/>
          <w:szCs w:val="20"/>
        </w:rPr>
        <w:t xml:space="preserve">w </w:t>
      </w:r>
      <w:r w:rsidRPr="003478AF">
        <w:rPr>
          <w:rFonts w:cs="Arial"/>
          <w:szCs w:val="20"/>
        </w:rPr>
        <w:t>któr</w:t>
      </w:r>
      <w:r w:rsidR="001335F1" w:rsidRPr="003478AF">
        <w:rPr>
          <w:rFonts w:cs="Arial"/>
          <w:szCs w:val="20"/>
        </w:rPr>
        <w:t>ym</w:t>
      </w:r>
      <w:r w:rsidRPr="003478AF">
        <w:rPr>
          <w:rFonts w:cs="Arial"/>
          <w:szCs w:val="20"/>
        </w:rPr>
        <w:t xml:space="preserve"> przedstawiciele władz lokalnych, organizacji pozarządowych oraz przedsiębiorcy wyrazili chęć współdziałania w celu maksymalnego wykorzystania wspólnego potencjału w procesie transformacji regionu</w:t>
      </w:r>
      <w:r w:rsidRPr="003478AF">
        <w:rPr>
          <w:rStyle w:val="Odwoanieprzypisudolnego"/>
        </w:rPr>
        <w:footnoteReference w:id="100"/>
      </w:r>
      <w:r w:rsidRPr="003478AF">
        <w:rPr>
          <w:rFonts w:cs="Arial"/>
          <w:szCs w:val="20"/>
        </w:rPr>
        <w:t>.</w:t>
      </w:r>
    </w:p>
    <w:p w14:paraId="5A4B5B90" w14:textId="15AF8483" w:rsidR="00FA2BB9" w:rsidRPr="003478AF" w:rsidRDefault="00FA2BB9" w:rsidP="00FA2BB9">
      <w:pPr>
        <w:rPr>
          <w:rFonts w:cs="Arial"/>
          <w:szCs w:val="20"/>
        </w:rPr>
      </w:pPr>
      <w:r w:rsidRPr="003478AF">
        <w:rPr>
          <w:rFonts w:cs="Arial"/>
          <w:szCs w:val="20"/>
        </w:rPr>
        <w:t xml:space="preserve">Istotną kwestią w poprawie bezpieczeństwa energetycznego oraz jakości powietrza ma rozwój energetyki rozproszonej opartej na alternatywnych źródłach energii, w tym na wodorze. Jednym z wiodących przedsiębiorstw rozwijających technologie wodorowe jest PKN ORLEN. Głównym kierunkiem wykorzystania wodoru jest jego zastosowanie w transporcie. </w:t>
      </w:r>
      <w:r w:rsidRPr="003478AF">
        <w:rPr>
          <w:rFonts w:cs="Arial"/>
          <w:szCs w:val="20"/>
        </w:rPr>
        <w:br/>
        <w:t>W pierwszej kolejności paliwa wodorowe rozważa się pod kątem zastosowania w pojazdach ciężarowych (śmieciarki, zamiatarki), komunikacji miejskiej (autobusy) i pociągach.</w:t>
      </w:r>
    </w:p>
    <w:p w14:paraId="180479C8" w14:textId="5251FC1C" w:rsidR="00FA2BB9" w:rsidRPr="003478AF" w:rsidRDefault="00FA2BB9" w:rsidP="00FA2BB9">
      <w:pPr>
        <w:rPr>
          <w:rFonts w:cs="Arial"/>
          <w:szCs w:val="20"/>
        </w:rPr>
      </w:pPr>
      <w:r w:rsidRPr="003478AF">
        <w:rPr>
          <w:rFonts w:cs="Arial"/>
          <w:szCs w:val="20"/>
        </w:rPr>
        <w:t xml:space="preserve">W Wielkopolsce zostało już podpisanych kilka listów intencyjnych o współpracy na rzecz rozwoju zeroemisyjnego transportu publicznego opartego o napędy wodorowe z samorządami i miejskimi spółkami – Miejskim Przedsiębiorstwem Komunikacyjnym w Poznaniu, Gminą Piła i Miejskim Zakładem Komunikacji w Pile. Efektem działań prowadzonych w ramach porozumień będzie </w:t>
      </w:r>
      <w:r w:rsidR="00CB03AA" w:rsidRPr="003478AF">
        <w:rPr>
          <w:rFonts w:cs="Arial"/>
          <w:szCs w:val="20"/>
        </w:rPr>
        <w:t>m.in.</w:t>
      </w:r>
      <w:r w:rsidRPr="003478AF">
        <w:rPr>
          <w:rFonts w:cs="Arial"/>
          <w:szCs w:val="20"/>
        </w:rPr>
        <w:t xml:space="preserve"> stworzenie infrastruktury tankowania wodoru przeznaczonej dla pojazdów komunikacji miejskiej. Pierwsze stacje na potrzeby transportu publicznego </w:t>
      </w:r>
      <w:r w:rsidR="00597BA8" w:rsidRPr="003478AF">
        <w:rPr>
          <w:rFonts w:cs="Arial"/>
          <w:szCs w:val="20"/>
        </w:rPr>
        <w:t xml:space="preserve">mają </w:t>
      </w:r>
      <w:r w:rsidRPr="003478AF">
        <w:rPr>
          <w:rFonts w:cs="Arial"/>
          <w:szCs w:val="20"/>
        </w:rPr>
        <w:t>powsta</w:t>
      </w:r>
      <w:r w:rsidR="00597BA8" w:rsidRPr="003478AF">
        <w:rPr>
          <w:rFonts w:cs="Arial"/>
          <w:szCs w:val="20"/>
        </w:rPr>
        <w:t>ć</w:t>
      </w:r>
      <w:r w:rsidRPr="003478AF">
        <w:rPr>
          <w:rFonts w:cs="Arial"/>
          <w:szCs w:val="20"/>
        </w:rPr>
        <w:t xml:space="preserve"> </w:t>
      </w:r>
      <w:r w:rsidR="00CB03AA" w:rsidRPr="003478AF">
        <w:rPr>
          <w:rFonts w:cs="Arial"/>
          <w:szCs w:val="20"/>
        </w:rPr>
        <w:t>np</w:t>
      </w:r>
      <w:r w:rsidRPr="003478AF">
        <w:rPr>
          <w:rFonts w:cs="Arial"/>
          <w:szCs w:val="20"/>
        </w:rPr>
        <w:t>. w Poznaniu i Katowicach</w:t>
      </w:r>
      <w:r w:rsidRPr="003478AF">
        <w:rPr>
          <w:rStyle w:val="Odwoanieprzypisudolnego"/>
        </w:rPr>
        <w:footnoteReference w:id="101"/>
      </w:r>
      <w:r w:rsidRPr="003478AF">
        <w:rPr>
          <w:rFonts w:cs="Arial"/>
          <w:szCs w:val="20"/>
        </w:rPr>
        <w:t>. Warto również podkreślić, iż obecna definicja odnawialnego wodoru w opublikowanej wersji strategii wodorowej</w:t>
      </w:r>
      <w:r w:rsidRPr="003478AF">
        <w:rPr>
          <w:rStyle w:val="Odwoanieprzypisudolnego"/>
        </w:rPr>
        <w:footnoteReference w:id="102"/>
      </w:r>
      <w:r w:rsidRPr="003478AF">
        <w:rPr>
          <w:rFonts w:cs="Arial"/>
          <w:szCs w:val="20"/>
        </w:rPr>
        <w:t xml:space="preserve"> uwzględnia możliwość wytwarzania odnawialnego wodoru w wyniku reformingu biogazu, co umożliwia wykorzystanie potencjału rynku biometanu w Wielkopolsce.</w:t>
      </w:r>
    </w:p>
    <w:p w14:paraId="7EC0B8A8" w14:textId="0ADD7616" w:rsidR="00FA2BB9" w:rsidRPr="003478AF" w:rsidRDefault="00FA2BB9" w:rsidP="00FA2BB9">
      <w:pPr>
        <w:rPr>
          <w:rFonts w:cs="Arial"/>
          <w:szCs w:val="20"/>
        </w:rPr>
      </w:pPr>
      <w:r w:rsidRPr="003478AF">
        <w:rPr>
          <w:rFonts w:cs="Arial"/>
          <w:szCs w:val="20"/>
        </w:rPr>
        <w:t xml:space="preserve">Innym przykładem są fundusze publiczne </w:t>
      </w:r>
      <w:r w:rsidR="002C0F55" w:rsidRPr="003478AF">
        <w:rPr>
          <w:rFonts w:cs="Arial"/>
          <w:szCs w:val="20"/>
        </w:rPr>
        <w:t xml:space="preserve">np. </w:t>
      </w:r>
      <w:r w:rsidRPr="003478AF">
        <w:rPr>
          <w:rFonts w:cs="Arial"/>
          <w:szCs w:val="20"/>
        </w:rPr>
        <w:t>z NFOŚiGW, które aktualnie zapewniają dofinansowani</w:t>
      </w:r>
      <w:r w:rsidR="007D11F5" w:rsidRPr="003478AF">
        <w:rPr>
          <w:rFonts w:cs="Arial"/>
          <w:szCs w:val="20"/>
        </w:rPr>
        <w:t>e</w:t>
      </w:r>
      <w:r w:rsidRPr="003478AF">
        <w:rPr>
          <w:rFonts w:cs="Arial"/>
          <w:szCs w:val="20"/>
        </w:rPr>
        <w:t xml:space="preserve"> termomodernizacj</w:t>
      </w:r>
      <w:r w:rsidR="007D11F5" w:rsidRPr="003478AF">
        <w:rPr>
          <w:rFonts w:cs="Arial"/>
          <w:szCs w:val="20"/>
        </w:rPr>
        <w:t>i</w:t>
      </w:r>
      <w:r w:rsidRPr="003478AF">
        <w:rPr>
          <w:rFonts w:cs="Arial"/>
          <w:szCs w:val="20"/>
        </w:rPr>
        <w:t xml:space="preserve"> budynków. Z punktu widzenia </w:t>
      </w:r>
      <w:r w:rsidR="001335F1" w:rsidRPr="003478AF">
        <w:rPr>
          <w:rFonts w:cs="Arial"/>
          <w:szCs w:val="20"/>
        </w:rPr>
        <w:t>GOZ</w:t>
      </w:r>
      <w:r w:rsidRPr="003478AF">
        <w:rPr>
          <w:rFonts w:cs="Arial"/>
          <w:szCs w:val="20"/>
        </w:rPr>
        <w:t xml:space="preserve"> warto przechodzić na ogrzewanie budynków gazem ziemnym bądź przy pomocy innych ekologicznych źródeł, </w:t>
      </w:r>
      <w:r w:rsidR="00CB03AA" w:rsidRPr="003478AF">
        <w:rPr>
          <w:rFonts w:cs="Arial"/>
          <w:szCs w:val="20"/>
        </w:rPr>
        <w:t>np.</w:t>
      </w:r>
      <w:r w:rsidRPr="003478AF">
        <w:rPr>
          <w:rFonts w:cs="Arial"/>
          <w:szCs w:val="20"/>
        </w:rPr>
        <w:t xml:space="preserve"> pompy ciepła lub biomasy</w:t>
      </w:r>
      <w:r w:rsidRPr="003478AF">
        <w:rPr>
          <w:rStyle w:val="Odwoanieprzypisudolnego"/>
        </w:rPr>
        <w:footnoteReference w:id="103"/>
      </w:r>
      <w:r w:rsidRPr="003478AF">
        <w:rPr>
          <w:rFonts w:cs="Arial"/>
          <w:szCs w:val="20"/>
        </w:rPr>
        <w:t>.</w:t>
      </w:r>
    </w:p>
    <w:p w14:paraId="4278FE6A" w14:textId="77777777" w:rsidR="00FA2BB9" w:rsidRPr="003478AF" w:rsidRDefault="00FA2BB9" w:rsidP="00FA2BB9">
      <w:pPr>
        <w:rPr>
          <w:rFonts w:cs="Arial"/>
          <w:b/>
          <w:szCs w:val="20"/>
        </w:rPr>
      </w:pPr>
    </w:p>
    <w:p w14:paraId="36C50C3D" w14:textId="77777777" w:rsidR="00FA2BB9" w:rsidRPr="003478AF" w:rsidRDefault="00FA2BB9" w:rsidP="00175EF7">
      <w:pPr>
        <w:ind w:firstLine="0"/>
        <w:rPr>
          <w:rFonts w:cs="Arial"/>
          <w:b/>
          <w:szCs w:val="20"/>
        </w:rPr>
      </w:pPr>
      <w:r w:rsidRPr="003478AF">
        <w:rPr>
          <w:rFonts w:cs="Arial"/>
          <w:b/>
          <w:szCs w:val="20"/>
        </w:rPr>
        <w:t>Odpady i ścieki</w:t>
      </w:r>
    </w:p>
    <w:p w14:paraId="407350EF" w14:textId="77777777" w:rsidR="00FA2BB9" w:rsidRPr="003478AF" w:rsidRDefault="00FA2BB9" w:rsidP="00FA2BB9">
      <w:pPr>
        <w:rPr>
          <w:rFonts w:cs="Arial"/>
          <w:szCs w:val="20"/>
        </w:rPr>
      </w:pPr>
      <w:r w:rsidRPr="003478AF">
        <w:rPr>
          <w:rFonts w:cs="Arial"/>
          <w:szCs w:val="20"/>
        </w:rPr>
        <w:t>GOZ w aspekcie odpadów przyjmuje następujące założenia:</w:t>
      </w:r>
    </w:p>
    <w:p w14:paraId="22F4B353" w14:textId="097B4FD0" w:rsidR="00FA2BB9" w:rsidRPr="003478AF" w:rsidRDefault="00F75F16" w:rsidP="00132A23">
      <w:pPr>
        <w:pStyle w:val="Akapitzlist"/>
        <w:numPr>
          <w:ilvl w:val="0"/>
          <w:numId w:val="9"/>
        </w:numPr>
        <w:ind w:left="709" w:hanging="357"/>
        <w:rPr>
          <w:rFonts w:cs="Arial"/>
          <w:szCs w:val="20"/>
        </w:rPr>
      </w:pPr>
      <w:r w:rsidRPr="003478AF">
        <w:rPr>
          <w:rFonts w:cs="Arial"/>
          <w:szCs w:val="20"/>
        </w:rPr>
        <w:t xml:space="preserve">podniesienie </w:t>
      </w:r>
      <w:r w:rsidR="00FA2BB9" w:rsidRPr="003478AF">
        <w:rPr>
          <w:rFonts w:cs="Arial"/>
          <w:szCs w:val="20"/>
        </w:rPr>
        <w:t>poziomów odzysku i recyklingu</w:t>
      </w:r>
      <w:r w:rsidRPr="003478AF">
        <w:rPr>
          <w:rFonts w:cs="Arial"/>
          <w:szCs w:val="20"/>
        </w:rPr>
        <w:t>;</w:t>
      </w:r>
      <w:r w:rsidR="00FA2BB9" w:rsidRPr="003478AF">
        <w:rPr>
          <w:rFonts w:cs="Arial"/>
          <w:szCs w:val="20"/>
        </w:rPr>
        <w:t xml:space="preserve"> </w:t>
      </w:r>
    </w:p>
    <w:p w14:paraId="20902A1B" w14:textId="0FEE670D" w:rsidR="00FA2BB9" w:rsidRPr="003478AF" w:rsidRDefault="00F75F16" w:rsidP="00132A23">
      <w:pPr>
        <w:pStyle w:val="Akapitzlist"/>
        <w:numPr>
          <w:ilvl w:val="0"/>
          <w:numId w:val="9"/>
        </w:numPr>
        <w:ind w:left="709" w:hanging="357"/>
        <w:rPr>
          <w:rFonts w:cs="Arial"/>
          <w:szCs w:val="20"/>
        </w:rPr>
      </w:pPr>
      <w:r w:rsidRPr="003478AF">
        <w:rPr>
          <w:rFonts w:cs="Arial"/>
          <w:szCs w:val="20"/>
        </w:rPr>
        <w:t xml:space="preserve">położenie </w:t>
      </w:r>
      <w:r w:rsidR="00FA2BB9" w:rsidRPr="003478AF">
        <w:rPr>
          <w:rFonts w:cs="Arial"/>
          <w:szCs w:val="20"/>
        </w:rPr>
        <w:t>zdecydowanego nacisku na rozwój selektywnej zbiórki odpadów komunalnych (zarówno surowcowych</w:t>
      </w:r>
      <w:r w:rsidR="00C4240C" w:rsidRPr="003478AF">
        <w:rPr>
          <w:rFonts w:cs="Arial"/>
          <w:szCs w:val="20"/>
        </w:rPr>
        <w:t>,</w:t>
      </w:r>
      <w:r w:rsidR="00FA2BB9" w:rsidRPr="003478AF">
        <w:rPr>
          <w:rFonts w:cs="Arial"/>
          <w:szCs w:val="20"/>
        </w:rPr>
        <w:t xml:space="preserve"> jak i biodegradowalnych)</w:t>
      </w:r>
      <w:r w:rsidRPr="003478AF">
        <w:rPr>
          <w:rFonts w:cs="Arial"/>
          <w:szCs w:val="20"/>
        </w:rPr>
        <w:t>;</w:t>
      </w:r>
      <w:r w:rsidR="00FA2BB9" w:rsidRPr="003478AF">
        <w:rPr>
          <w:rFonts w:cs="Arial"/>
          <w:szCs w:val="20"/>
        </w:rPr>
        <w:t xml:space="preserve"> </w:t>
      </w:r>
    </w:p>
    <w:p w14:paraId="55AC1510" w14:textId="6A02B261" w:rsidR="00FA2BB9" w:rsidRPr="003478AF" w:rsidRDefault="00F75F16" w:rsidP="00132A23">
      <w:pPr>
        <w:pStyle w:val="Akapitzlist"/>
        <w:numPr>
          <w:ilvl w:val="0"/>
          <w:numId w:val="9"/>
        </w:numPr>
        <w:ind w:left="709" w:hanging="357"/>
        <w:rPr>
          <w:rFonts w:cs="Arial"/>
          <w:szCs w:val="20"/>
        </w:rPr>
      </w:pPr>
      <w:r w:rsidRPr="003478AF">
        <w:rPr>
          <w:rFonts w:cs="Arial"/>
          <w:szCs w:val="20"/>
        </w:rPr>
        <w:t xml:space="preserve">negatywny </w:t>
      </w:r>
      <w:r w:rsidR="00FA2BB9" w:rsidRPr="003478AF">
        <w:rPr>
          <w:rFonts w:cs="Arial"/>
          <w:szCs w:val="20"/>
        </w:rPr>
        <w:t>stosunek do spalania odpadów komunalnych</w:t>
      </w:r>
      <w:r w:rsidRPr="003478AF">
        <w:rPr>
          <w:rFonts w:cs="Arial"/>
          <w:szCs w:val="20"/>
        </w:rPr>
        <w:t>.</w:t>
      </w:r>
    </w:p>
    <w:p w14:paraId="31E8A754" w14:textId="24FE0C5D" w:rsidR="00FA2BB9" w:rsidRPr="003478AF" w:rsidRDefault="00DB784A" w:rsidP="00E6136F">
      <w:pPr>
        <w:shd w:val="clear" w:color="auto" w:fill="FFFFFF"/>
        <w:rPr>
          <w:rFonts w:eastAsia="Times New Roman" w:cs="Arial"/>
          <w:bCs/>
          <w:color w:val="000000" w:themeColor="text1"/>
          <w:szCs w:val="20"/>
          <w:bdr w:val="none" w:sz="0" w:space="0" w:color="auto" w:frame="1"/>
          <w:lang w:eastAsia="pl-PL"/>
        </w:rPr>
      </w:pPr>
      <w:r w:rsidRPr="003478AF">
        <w:rPr>
          <w:rFonts w:eastAsia="Times New Roman" w:cs="Arial"/>
          <w:bCs/>
          <w:color w:val="000000" w:themeColor="text1"/>
          <w:szCs w:val="20"/>
          <w:bdr w:val="none" w:sz="0" w:space="0" w:color="auto" w:frame="1"/>
          <w:lang w:eastAsia="pl-PL"/>
        </w:rPr>
        <w:t>Odpady</w:t>
      </w:r>
      <w:r w:rsidR="00FA2BB9" w:rsidRPr="003478AF">
        <w:rPr>
          <w:rFonts w:eastAsia="Times New Roman" w:cs="Arial"/>
          <w:bCs/>
          <w:color w:val="000000" w:themeColor="text1"/>
          <w:szCs w:val="20"/>
          <w:bdr w:val="none" w:sz="0" w:space="0" w:color="auto" w:frame="1"/>
          <w:lang w:eastAsia="pl-PL"/>
        </w:rPr>
        <w:t xml:space="preserve"> komunaln</w:t>
      </w:r>
      <w:r w:rsidRPr="003478AF">
        <w:rPr>
          <w:rFonts w:eastAsia="Times New Roman" w:cs="Arial"/>
          <w:bCs/>
          <w:color w:val="000000" w:themeColor="text1"/>
          <w:szCs w:val="20"/>
          <w:bdr w:val="none" w:sz="0" w:space="0" w:color="auto" w:frame="1"/>
          <w:lang w:eastAsia="pl-PL"/>
        </w:rPr>
        <w:t>e i</w:t>
      </w:r>
      <w:r w:rsidR="00FA2BB9" w:rsidRPr="003478AF">
        <w:rPr>
          <w:rFonts w:eastAsia="Times New Roman" w:cs="Arial"/>
          <w:bCs/>
          <w:color w:val="000000" w:themeColor="text1"/>
          <w:szCs w:val="20"/>
          <w:bdr w:val="none" w:sz="0" w:space="0" w:color="auto" w:frame="1"/>
          <w:lang w:eastAsia="pl-PL"/>
        </w:rPr>
        <w:t xml:space="preserve"> przemysłow</w:t>
      </w:r>
      <w:r w:rsidRPr="003478AF">
        <w:rPr>
          <w:rFonts w:eastAsia="Times New Roman" w:cs="Arial"/>
          <w:bCs/>
          <w:color w:val="000000" w:themeColor="text1"/>
          <w:szCs w:val="20"/>
          <w:bdr w:val="none" w:sz="0" w:space="0" w:color="auto" w:frame="1"/>
          <w:lang w:eastAsia="pl-PL"/>
        </w:rPr>
        <w:t xml:space="preserve">e </w:t>
      </w:r>
      <w:r w:rsidR="00FA2BB9" w:rsidRPr="003478AF">
        <w:rPr>
          <w:rFonts w:eastAsia="Times New Roman" w:cs="Arial"/>
          <w:bCs/>
          <w:color w:val="000000" w:themeColor="text1"/>
          <w:szCs w:val="20"/>
          <w:bdr w:val="none" w:sz="0" w:space="0" w:color="auto" w:frame="1"/>
          <w:lang w:eastAsia="pl-PL"/>
        </w:rPr>
        <w:t xml:space="preserve">są bardzo różne pod względem składu fizycznego </w:t>
      </w:r>
      <w:r w:rsidR="00FF5CAC" w:rsidRPr="003478AF">
        <w:rPr>
          <w:rFonts w:eastAsia="Times New Roman" w:cs="Arial"/>
          <w:bCs/>
          <w:color w:val="000000" w:themeColor="text1"/>
          <w:szCs w:val="20"/>
          <w:bdr w:val="none" w:sz="0" w:space="0" w:color="auto" w:frame="1"/>
          <w:lang w:eastAsia="pl-PL"/>
        </w:rPr>
        <w:br/>
      </w:r>
      <w:r w:rsidR="00FA2BB9" w:rsidRPr="003478AF">
        <w:rPr>
          <w:rFonts w:eastAsia="Times New Roman" w:cs="Arial"/>
          <w:bCs/>
          <w:color w:val="000000" w:themeColor="text1"/>
          <w:szCs w:val="20"/>
          <w:bdr w:val="none" w:sz="0" w:space="0" w:color="auto" w:frame="1"/>
          <w:lang w:eastAsia="pl-PL"/>
        </w:rPr>
        <w:t xml:space="preserve">i chemicznego. W przypadku odpadów komunalnych najważniejszym czynnikiem jest poziom wyposażenia budynków na obszarze zbierania odpadów, przede wszystkim wyposażenie </w:t>
      </w:r>
      <w:r w:rsidR="00FA2BB9" w:rsidRPr="003478AF">
        <w:rPr>
          <w:rFonts w:eastAsia="Times New Roman" w:cs="Arial"/>
          <w:bCs/>
          <w:color w:val="000000" w:themeColor="text1"/>
          <w:szCs w:val="20"/>
          <w:bdr w:val="none" w:sz="0" w:space="0" w:color="auto" w:frame="1"/>
          <w:lang w:eastAsia="pl-PL"/>
        </w:rPr>
        <w:lastRenderedPageBreak/>
        <w:t>techniczno-sanitarne. Skład odpadów uzależniony jest też od stopy życiowej mieszkańców czy rodzaju zabudowy.</w:t>
      </w:r>
    </w:p>
    <w:p w14:paraId="41C3D3B6" w14:textId="77777777" w:rsidR="00FA2BB9" w:rsidRPr="003478AF" w:rsidRDefault="00FA2BB9" w:rsidP="00E6136F">
      <w:pPr>
        <w:shd w:val="clear" w:color="auto" w:fill="FFFFFF"/>
        <w:rPr>
          <w:rFonts w:eastAsia="Times New Roman" w:cs="Arial"/>
          <w:bCs/>
          <w:color w:val="000000" w:themeColor="text1"/>
          <w:szCs w:val="20"/>
          <w:bdr w:val="none" w:sz="0" w:space="0" w:color="auto" w:frame="1"/>
          <w:lang w:eastAsia="pl-PL"/>
        </w:rPr>
      </w:pPr>
      <w:r w:rsidRPr="003478AF">
        <w:rPr>
          <w:rFonts w:eastAsia="Times New Roman" w:cs="Arial"/>
          <w:bCs/>
          <w:color w:val="000000" w:themeColor="text1"/>
          <w:szCs w:val="20"/>
          <w:bdr w:val="none" w:sz="0" w:space="0" w:color="auto" w:frame="1"/>
          <w:lang w:eastAsia="pl-PL"/>
        </w:rPr>
        <w:t>Odpady komunalne stałe mają duży udział składników organicznych – produkty ich rozkładu nie są obojętne dla środowiska, stąd coraz bardziej na popularności zyskuje segregacja odpadów. Niestety zagrożeniem, jakie tworzą odpady komunalne jest możliwość skażania środowiska przez drobnoustroje chorobotwórcze.</w:t>
      </w:r>
    </w:p>
    <w:p w14:paraId="109DC0E4" w14:textId="6D07E34F" w:rsidR="00FA2BB9" w:rsidRPr="003478AF" w:rsidRDefault="00FA2BB9" w:rsidP="00E6136F">
      <w:pPr>
        <w:shd w:val="clear" w:color="auto" w:fill="FFFFFF"/>
        <w:rPr>
          <w:rFonts w:eastAsia="Times New Roman" w:cs="Arial"/>
          <w:bCs/>
          <w:color w:val="000000" w:themeColor="text1"/>
          <w:szCs w:val="20"/>
          <w:bdr w:val="none" w:sz="0" w:space="0" w:color="auto" w:frame="1"/>
          <w:lang w:eastAsia="pl-PL"/>
        </w:rPr>
      </w:pPr>
      <w:r w:rsidRPr="003478AF">
        <w:rPr>
          <w:rFonts w:eastAsia="Times New Roman" w:cs="Arial"/>
          <w:bCs/>
          <w:color w:val="000000" w:themeColor="text1"/>
          <w:szCs w:val="20"/>
          <w:bdr w:val="none" w:sz="0" w:space="0" w:color="auto" w:frame="1"/>
          <w:lang w:eastAsia="pl-PL"/>
        </w:rPr>
        <w:t>Odpad</w:t>
      </w:r>
      <w:r w:rsidR="00F75F16" w:rsidRPr="003478AF">
        <w:rPr>
          <w:rFonts w:eastAsia="Times New Roman" w:cs="Arial"/>
          <w:bCs/>
          <w:color w:val="000000" w:themeColor="text1"/>
          <w:szCs w:val="20"/>
          <w:bdr w:val="none" w:sz="0" w:space="0" w:color="auto" w:frame="1"/>
          <w:lang w:eastAsia="pl-PL"/>
        </w:rPr>
        <w:t>y</w:t>
      </w:r>
      <w:r w:rsidRPr="003478AF">
        <w:rPr>
          <w:rFonts w:eastAsia="Times New Roman" w:cs="Arial"/>
          <w:bCs/>
          <w:color w:val="000000" w:themeColor="text1"/>
          <w:szCs w:val="20"/>
          <w:bdr w:val="none" w:sz="0" w:space="0" w:color="auto" w:frame="1"/>
          <w:lang w:eastAsia="pl-PL"/>
        </w:rPr>
        <w:t xml:space="preserve"> </w:t>
      </w:r>
      <w:r w:rsidR="00F75F16" w:rsidRPr="003478AF">
        <w:rPr>
          <w:rFonts w:eastAsia="Times New Roman" w:cs="Arial"/>
          <w:bCs/>
          <w:color w:val="000000" w:themeColor="text1"/>
          <w:szCs w:val="20"/>
          <w:bdr w:val="none" w:sz="0" w:space="0" w:color="auto" w:frame="1"/>
          <w:lang w:eastAsia="pl-PL"/>
        </w:rPr>
        <w:t xml:space="preserve">przemysłowe </w:t>
      </w:r>
      <w:r w:rsidRPr="003478AF">
        <w:rPr>
          <w:rFonts w:eastAsia="Times New Roman" w:cs="Arial"/>
          <w:bCs/>
          <w:color w:val="000000" w:themeColor="text1"/>
          <w:szCs w:val="20"/>
          <w:bdr w:val="none" w:sz="0" w:space="0" w:color="auto" w:frame="1"/>
          <w:lang w:eastAsia="pl-PL"/>
        </w:rPr>
        <w:t>stanowi</w:t>
      </w:r>
      <w:r w:rsidR="00F75F16" w:rsidRPr="003478AF">
        <w:rPr>
          <w:rFonts w:eastAsia="Times New Roman" w:cs="Arial"/>
          <w:bCs/>
          <w:color w:val="000000" w:themeColor="text1"/>
          <w:szCs w:val="20"/>
          <w:bdr w:val="none" w:sz="0" w:space="0" w:color="auto" w:frame="1"/>
          <w:lang w:eastAsia="pl-PL"/>
        </w:rPr>
        <w:t>ą</w:t>
      </w:r>
      <w:r w:rsidR="009D3C4E" w:rsidRPr="003478AF">
        <w:rPr>
          <w:rFonts w:eastAsia="Times New Roman" w:cs="Arial"/>
          <w:bCs/>
          <w:color w:val="000000" w:themeColor="text1"/>
          <w:szCs w:val="20"/>
          <w:bdr w:val="none" w:sz="0" w:space="0" w:color="auto" w:frame="1"/>
          <w:lang w:eastAsia="pl-PL"/>
        </w:rPr>
        <w:t xml:space="preserve"> </w:t>
      </w:r>
      <w:r w:rsidR="00B00360" w:rsidRPr="003478AF">
        <w:rPr>
          <w:rFonts w:eastAsia="Times New Roman" w:cs="Arial"/>
          <w:bCs/>
          <w:color w:val="000000" w:themeColor="text1"/>
          <w:szCs w:val="20"/>
          <w:bdr w:val="none" w:sz="0" w:space="0" w:color="auto" w:frame="1"/>
          <w:lang w:eastAsia="pl-PL"/>
        </w:rPr>
        <w:t>około</w:t>
      </w:r>
      <w:r w:rsidRPr="003478AF">
        <w:rPr>
          <w:rFonts w:eastAsia="Times New Roman" w:cs="Arial"/>
          <w:bCs/>
          <w:color w:val="000000" w:themeColor="text1"/>
          <w:szCs w:val="20"/>
          <w:bdr w:val="none" w:sz="0" w:space="0" w:color="auto" w:frame="1"/>
          <w:lang w:eastAsia="pl-PL"/>
        </w:rPr>
        <w:t xml:space="preserve"> 91% odpadów, jakie powstają w na obszarze kraju</w:t>
      </w:r>
      <w:r w:rsidR="00F75F16" w:rsidRPr="003478AF">
        <w:rPr>
          <w:rFonts w:eastAsia="Times New Roman" w:cs="Arial"/>
          <w:bCs/>
          <w:color w:val="000000" w:themeColor="text1"/>
          <w:szCs w:val="20"/>
          <w:bdr w:val="none" w:sz="0" w:space="0" w:color="auto" w:frame="1"/>
          <w:lang w:eastAsia="pl-PL"/>
        </w:rPr>
        <w:t xml:space="preserve"> </w:t>
      </w:r>
      <w:r w:rsidR="00C4240C" w:rsidRPr="003478AF">
        <w:rPr>
          <w:rFonts w:eastAsia="Times New Roman" w:cs="Arial"/>
          <w:bCs/>
          <w:color w:val="000000" w:themeColor="text1"/>
          <w:szCs w:val="20"/>
          <w:bdr w:val="none" w:sz="0" w:space="0" w:color="auto" w:frame="1"/>
          <w:lang w:eastAsia="pl-PL"/>
        </w:rPr>
        <w:br/>
      </w:r>
      <w:r w:rsidR="00F75F16" w:rsidRPr="003478AF">
        <w:rPr>
          <w:rFonts w:eastAsia="Times New Roman" w:cs="Arial"/>
          <w:bCs/>
          <w:color w:val="000000" w:themeColor="text1"/>
          <w:szCs w:val="20"/>
          <w:bdr w:val="none" w:sz="0" w:space="0" w:color="auto" w:frame="1"/>
          <w:lang w:eastAsia="pl-PL"/>
        </w:rPr>
        <w:t>i</w:t>
      </w:r>
      <w:r w:rsidR="00C4240C" w:rsidRPr="003478AF">
        <w:rPr>
          <w:rFonts w:eastAsia="Times New Roman" w:cs="Arial"/>
          <w:bCs/>
          <w:color w:val="000000" w:themeColor="text1"/>
          <w:szCs w:val="20"/>
          <w:bdr w:val="none" w:sz="0" w:space="0" w:color="auto" w:frame="1"/>
          <w:lang w:eastAsia="pl-PL"/>
        </w:rPr>
        <w:t xml:space="preserve"> </w:t>
      </w:r>
      <w:r w:rsidRPr="003478AF">
        <w:rPr>
          <w:rFonts w:eastAsia="Times New Roman" w:cs="Arial"/>
          <w:bCs/>
          <w:color w:val="000000" w:themeColor="text1"/>
          <w:szCs w:val="20"/>
          <w:bdr w:val="none" w:sz="0" w:space="0" w:color="auto" w:frame="1"/>
          <w:lang w:eastAsia="pl-PL"/>
        </w:rPr>
        <w:t xml:space="preserve">związane są działalnością człowieka na terenie zakładu przemysłowego. Są to m.in. materiały niepożądane w miejscu ich wytworzenia i nieobojętne dla środowiska. Zalicza się do nich przykładowo: odpady metaliczne i mineralne, opakowania, smary, oleje, popioły </w:t>
      </w:r>
      <w:r w:rsidR="00F75F16" w:rsidRPr="003478AF">
        <w:rPr>
          <w:rFonts w:eastAsia="Times New Roman" w:cs="Arial"/>
          <w:bCs/>
          <w:color w:val="000000" w:themeColor="text1"/>
          <w:szCs w:val="20"/>
          <w:bdr w:val="none" w:sz="0" w:space="0" w:color="auto" w:frame="1"/>
          <w:lang w:eastAsia="pl-PL"/>
        </w:rPr>
        <w:t>itd.</w:t>
      </w:r>
      <w:r w:rsidRPr="003478AF">
        <w:rPr>
          <w:rStyle w:val="Odwoanieprzypisudolnego"/>
        </w:rPr>
        <w:footnoteReference w:id="104"/>
      </w:r>
    </w:p>
    <w:p w14:paraId="597B25F6" w14:textId="2E41A62D" w:rsidR="00FA2BB9" w:rsidRPr="003478AF" w:rsidRDefault="00FA2BB9" w:rsidP="00E6136F">
      <w:pPr>
        <w:shd w:val="clear" w:color="auto" w:fill="FFFFFF"/>
        <w:rPr>
          <w:rFonts w:eastAsia="Times New Roman" w:cs="Arial"/>
          <w:bCs/>
          <w:color w:val="000000" w:themeColor="text1"/>
          <w:szCs w:val="20"/>
          <w:bdr w:val="none" w:sz="0" w:space="0" w:color="auto" w:frame="1"/>
          <w:lang w:eastAsia="pl-PL"/>
        </w:rPr>
      </w:pPr>
      <w:r w:rsidRPr="003478AF">
        <w:rPr>
          <w:rFonts w:eastAsia="Times New Roman" w:cs="Arial"/>
          <w:bCs/>
          <w:color w:val="000000" w:themeColor="text1"/>
          <w:szCs w:val="20"/>
          <w:bdr w:val="none" w:sz="0" w:space="0" w:color="auto" w:frame="1"/>
          <w:lang w:eastAsia="pl-PL"/>
        </w:rPr>
        <w:t>W przypadku gospodarki odpadami opracowane zostały szczegółowe dokumenty dla województwa wielkopolskiego, tj. Plan Gospodarki Odpadami dla województwa wielkopolskiego na lata 2019-2025 wraz z planem inwestycyjnym.</w:t>
      </w:r>
      <w:r w:rsidRPr="003478AF">
        <w:rPr>
          <w:rFonts w:eastAsia="Times New Roman" w:cs="Arial"/>
          <w:b/>
          <w:bCs/>
          <w:color w:val="000000" w:themeColor="text1"/>
          <w:szCs w:val="20"/>
          <w:bdr w:val="none" w:sz="0" w:space="0" w:color="auto" w:frame="1"/>
          <w:lang w:eastAsia="pl-PL"/>
        </w:rPr>
        <w:t xml:space="preserve"> </w:t>
      </w:r>
      <w:r w:rsidRPr="003478AF">
        <w:rPr>
          <w:rFonts w:eastAsia="Times New Roman" w:cs="Arial"/>
          <w:bCs/>
          <w:color w:val="000000" w:themeColor="text1"/>
          <w:szCs w:val="20"/>
          <w:bdr w:val="none" w:sz="0" w:space="0" w:color="auto" w:frame="1"/>
          <w:lang w:eastAsia="pl-PL"/>
        </w:rPr>
        <w:t xml:space="preserve">W dokumencie tym przedstawiono </w:t>
      </w:r>
      <w:r w:rsidR="00D71CFC" w:rsidRPr="003478AF">
        <w:rPr>
          <w:rFonts w:eastAsia="Times New Roman" w:cs="Arial"/>
          <w:bCs/>
          <w:color w:val="000000" w:themeColor="text1"/>
          <w:szCs w:val="20"/>
          <w:bdr w:val="none" w:sz="0" w:space="0" w:color="auto" w:frame="1"/>
          <w:lang w:eastAsia="pl-PL"/>
        </w:rPr>
        <w:t xml:space="preserve">m.in. </w:t>
      </w:r>
      <w:r w:rsidRPr="003478AF">
        <w:rPr>
          <w:rFonts w:eastAsia="Times New Roman" w:cs="Arial"/>
          <w:bCs/>
          <w:color w:val="000000" w:themeColor="text1"/>
          <w:szCs w:val="20"/>
          <w:bdr w:val="none" w:sz="0" w:space="0" w:color="auto" w:frame="1"/>
          <w:lang w:eastAsia="pl-PL"/>
        </w:rPr>
        <w:t>skalę problemu odpadów. Dla 2017 roku suma wytworzonych odpadów wynosiła 8</w:t>
      </w:r>
      <w:r w:rsidR="00C4240C" w:rsidRPr="003478AF">
        <w:rPr>
          <w:rFonts w:eastAsia="Times New Roman" w:cs="Arial"/>
          <w:bCs/>
          <w:color w:val="000000" w:themeColor="text1"/>
          <w:szCs w:val="20"/>
          <w:bdr w:val="none" w:sz="0" w:space="0" w:color="auto" w:frame="1"/>
          <w:lang w:eastAsia="pl-PL"/>
        </w:rPr>
        <w:t> 976 </w:t>
      </w:r>
      <w:r w:rsidRPr="003478AF">
        <w:rPr>
          <w:rFonts w:eastAsia="Times New Roman" w:cs="Arial"/>
          <w:bCs/>
          <w:color w:val="000000" w:themeColor="text1"/>
          <w:szCs w:val="20"/>
          <w:bdr w:val="none" w:sz="0" w:space="0" w:color="auto" w:frame="1"/>
          <w:lang w:eastAsia="pl-PL"/>
        </w:rPr>
        <w:t xml:space="preserve">938 </w:t>
      </w:r>
      <w:r w:rsidR="00684833" w:rsidRPr="003478AF">
        <w:rPr>
          <w:rFonts w:eastAsia="Times New Roman" w:cs="Arial"/>
          <w:bCs/>
          <w:color w:val="000000" w:themeColor="text1"/>
          <w:szCs w:val="20"/>
          <w:bdr w:val="none" w:sz="0" w:space="0" w:color="auto" w:frame="1"/>
          <w:lang w:eastAsia="pl-PL"/>
        </w:rPr>
        <w:t>ton</w:t>
      </w:r>
      <w:r w:rsidR="00D71CFC" w:rsidRPr="003478AF">
        <w:rPr>
          <w:rFonts w:eastAsia="Times New Roman" w:cs="Arial"/>
          <w:bCs/>
          <w:color w:val="000000" w:themeColor="text1"/>
          <w:szCs w:val="20"/>
          <w:bdr w:val="none" w:sz="0" w:space="0" w:color="auto" w:frame="1"/>
          <w:lang w:eastAsia="pl-PL"/>
        </w:rPr>
        <w:t>, przy czym o</w:t>
      </w:r>
      <w:r w:rsidRPr="003478AF">
        <w:rPr>
          <w:rFonts w:eastAsia="Times New Roman" w:cs="Arial"/>
          <w:bCs/>
          <w:color w:val="000000" w:themeColor="text1"/>
          <w:szCs w:val="20"/>
          <w:bdr w:val="none" w:sz="0" w:space="0" w:color="auto" w:frame="1"/>
          <w:lang w:eastAsia="pl-PL"/>
        </w:rPr>
        <w:t xml:space="preserve">dzyskano </w:t>
      </w:r>
      <w:r w:rsidR="00C4240C" w:rsidRPr="003478AF">
        <w:rPr>
          <w:rFonts w:eastAsia="Times New Roman" w:cs="Arial"/>
          <w:bCs/>
          <w:color w:val="000000" w:themeColor="text1"/>
          <w:szCs w:val="20"/>
          <w:bdr w:val="none" w:sz="0" w:space="0" w:color="auto" w:frame="1"/>
          <w:lang w:eastAsia="pl-PL"/>
        </w:rPr>
        <w:t>5 913 </w:t>
      </w:r>
      <w:r w:rsidRPr="003478AF">
        <w:rPr>
          <w:rFonts w:eastAsia="Times New Roman" w:cs="Arial"/>
          <w:bCs/>
          <w:color w:val="000000" w:themeColor="text1"/>
          <w:szCs w:val="20"/>
          <w:bdr w:val="none" w:sz="0" w:space="0" w:color="auto" w:frame="1"/>
          <w:lang w:eastAsia="pl-PL"/>
        </w:rPr>
        <w:t xml:space="preserve">589 </w:t>
      </w:r>
      <w:r w:rsidR="00684833" w:rsidRPr="003478AF">
        <w:rPr>
          <w:rFonts w:eastAsia="Times New Roman" w:cs="Arial"/>
          <w:bCs/>
          <w:color w:val="000000" w:themeColor="text1"/>
          <w:szCs w:val="20"/>
          <w:bdr w:val="none" w:sz="0" w:space="0" w:color="auto" w:frame="1"/>
          <w:lang w:eastAsia="pl-PL"/>
        </w:rPr>
        <w:t>ton</w:t>
      </w:r>
      <w:r w:rsidRPr="003478AF">
        <w:rPr>
          <w:rFonts w:eastAsia="Times New Roman" w:cs="Arial"/>
          <w:bCs/>
          <w:color w:val="000000" w:themeColor="text1"/>
          <w:szCs w:val="20"/>
          <w:bdr w:val="none" w:sz="0" w:space="0" w:color="auto" w:frame="1"/>
          <w:lang w:eastAsia="pl-PL"/>
        </w:rPr>
        <w:t xml:space="preserve">, a unieszkodliwiono </w:t>
      </w:r>
      <w:r w:rsidR="00C4240C" w:rsidRPr="003478AF">
        <w:rPr>
          <w:rFonts w:eastAsia="Times New Roman" w:cs="Arial"/>
          <w:bCs/>
          <w:color w:val="000000" w:themeColor="text1"/>
          <w:szCs w:val="20"/>
          <w:bdr w:val="none" w:sz="0" w:space="0" w:color="auto" w:frame="1"/>
          <w:lang w:eastAsia="pl-PL"/>
        </w:rPr>
        <w:t>2 184 </w:t>
      </w:r>
      <w:r w:rsidRPr="003478AF">
        <w:rPr>
          <w:rFonts w:eastAsia="Times New Roman" w:cs="Arial"/>
          <w:bCs/>
          <w:color w:val="000000" w:themeColor="text1"/>
          <w:szCs w:val="20"/>
          <w:bdr w:val="none" w:sz="0" w:space="0" w:color="auto" w:frame="1"/>
          <w:lang w:eastAsia="pl-PL"/>
        </w:rPr>
        <w:t xml:space="preserve">016 </w:t>
      </w:r>
      <w:r w:rsidR="00684833" w:rsidRPr="003478AF">
        <w:rPr>
          <w:rFonts w:eastAsia="Times New Roman" w:cs="Arial"/>
          <w:bCs/>
          <w:color w:val="000000" w:themeColor="text1"/>
          <w:szCs w:val="20"/>
          <w:bdr w:val="none" w:sz="0" w:space="0" w:color="auto" w:frame="1"/>
          <w:lang w:eastAsia="pl-PL"/>
        </w:rPr>
        <w:t>ton</w:t>
      </w:r>
      <w:r w:rsidRPr="003478AF">
        <w:rPr>
          <w:rFonts w:eastAsia="Times New Roman" w:cs="Arial"/>
          <w:bCs/>
          <w:color w:val="000000" w:themeColor="text1"/>
          <w:szCs w:val="20"/>
          <w:bdr w:val="none" w:sz="0" w:space="0" w:color="auto" w:frame="1"/>
          <w:lang w:eastAsia="pl-PL"/>
        </w:rPr>
        <w:t xml:space="preserve"> odpadów</w:t>
      </w:r>
      <w:r w:rsidRPr="003478AF">
        <w:t xml:space="preserve">. </w:t>
      </w:r>
      <w:r w:rsidRPr="003478AF">
        <w:rPr>
          <w:rFonts w:eastAsia="Times New Roman" w:cs="Arial"/>
          <w:bCs/>
          <w:color w:val="000000" w:themeColor="text1"/>
          <w:szCs w:val="20"/>
          <w:bdr w:val="none" w:sz="0" w:space="0" w:color="auto" w:frame="1"/>
          <w:lang w:eastAsia="pl-PL"/>
        </w:rPr>
        <w:t xml:space="preserve">Największy problem występuje w przypadku odpadów z: </w:t>
      </w:r>
    </w:p>
    <w:p w14:paraId="24B3E667" w14:textId="77777777" w:rsidR="00FA2BB9" w:rsidRPr="003478AF" w:rsidRDefault="00FA2BB9" w:rsidP="00B13D49">
      <w:pPr>
        <w:pStyle w:val="Akapitzlist"/>
        <w:numPr>
          <w:ilvl w:val="0"/>
          <w:numId w:val="10"/>
        </w:numPr>
        <w:shd w:val="clear" w:color="auto" w:fill="FFFFFF"/>
        <w:ind w:left="714" w:hanging="357"/>
        <w:rPr>
          <w:rFonts w:cs="Arial"/>
          <w:color w:val="000000" w:themeColor="text1"/>
          <w:szCs w:val="20"/>
          <w:shd w:val="clear" w:color="auto" w:fill="FFFFFF"/>
        </w:rPr>
      </w:pPr>
      <w:r w:rsidRPr="003478AF">
        <w:rPr>
          <w:rFonts w:cs="Arial"/>
          <w:color w:val="000000" w:themeColor="text1"/>
          <w:szCs w:val="20"/>
          <w:shd w:val="clear" w:color="auto" w:fill="FFFFFF"/>
        </w:rPr>
        <w:t>przetwórstwa drewna oraz z produkcji płyt i mebli, masy celulozowej, papieru i tektury</w:t>
      </w:r>
    </w:p>
    <w:p w14:paraId="249AB9AA" w14:textId="2CC931DF" w:rsidR="00FA2BB9" w:rsidRPr="003478AF" w:rsidRDefault="00FA2BB9" w:rsidP="00B13D49">
      <w:pPr>
        <w:pStyle w:val="Akapitzlist"/>
        <w:numPr>
          <w:ilvl w:val="0"/>
          <w:numId w:val="10"/>
        </w:numPr>
        <w:shd w:val="clear" w:color="auto" w:fill="FFFFFF"/>
        <w:ind w:left="714" w:hanging="357"/>
        <w:rPr>
          <w:rFonts w:cs="Arial"/>
          <w:color w:val="000000" w:themeColor="text1"/>
          <w:szCs w:val="20"/>
          <w:shd w:val="clear" w:color="auto" w:fill="FFFFFF"/>
        </w:rPr>
      </w:pPr>
      <w:r w:rsidRPr="003478AF">
        <w:rPr>
          <w:rFonts w:cs="Arial"/>
          <w:color w:val="000000" w:themeColor="text1"/>
          <w:szCs w:val="20"/>
          <w:shd w:val="clear" w:color="auto" w:fill="FFFFFF"/>
        </w:rPr>
        <w:t>procesów termicznych</w:t>
      </w:r>
      <w:r w:rsidR="00F75F16" w:rsidRPr="003478AF">
        <w:rPr>
          <w:rFonts w:cs="Arial"/>
          <w:color w:val="000000" w:themeColor="text1"/>
          <w:szCs w:val="20"/>
          <w:shd w:val="clear" w:color="auto" w:fill="FFFFFF"/>
        </w:rPr>
        <w:t>;</w:t>
      </w:r>
    </w:p>
    <w:p w14:paraId="5ED163BB" w14:textId="70CBD9EB" w:rsidR="00FA2BB9" w:rsidRPr="003478AF" w:rsidRDefault="00FA2BB9" w:rsidP="00B13D49">
      <w:pPr>
        <w:pStyle w:val="Akapitzlist"/>
        <w:numPr>
          <w:ilvl w:val="0"/>
          <w:numId w:val="10"/>
        </w:numPr>
        <w:shd w:val="clear" w:color="auto" w:fill="FFFFFF"/>
        <w:ind w:left="714" w:hanging="357"/>
        <w:rPr>
          <w:rFonts w:cs="Arial"/>
          <w:color w:val="000000" w:themeColor="text1"/>
          <w:szCs w:val="20"/>
          <w:shd w:val="clear" w:color="auto" w:fill="FFFFFF"/>
        </w:rPr>
      </w:pPr>
      <w:r w:rsidRPr="003478AF">
        <w:rPr>
          <w:rFonts w:cs="Arial"/>
          <w:color w:val="000000" w:themeColor="text1"/>
          <w:szCs w:val="20"/>
          <w:shd w:val="clear" w:color="auto" w:fill="FFFFFF"/>
        </w:rPr>
        <w:t>opakowań: sorbenty, tkaniny do wycierania, materiały filtracyjne i ubrania ochronne, nieujęte w innych grupach</w:t>
      </w:r>
      <w:r w:rsidR="00F75F16" w:rsidRPr="003478AF">
        <w:rPr>
          <w:rFonts w:cs="Arial"/>
          <w:color w:val="000000" w:themeColor="text1"/>
          <w:szCs w:val="20"/>
          <w:shd w:val="clear" w:color="auto" w:fill="FFFFFF"/>
        </w:rPr>
        <w:t>;</w:t>
      </w:r>
    </w:p>
    <w:p w14:paraId="21EBE6E2" w14:textId="5773FCC3" w:rsidR="00FA2BB9" w:rsidRPr="003478AF" w:rsidRDefault="00FA2BB9" w:rsidP="00B13D49">
      <w:pPr>
        <w:pStyle w:val="Akapitzlist"/>
        <w:numPr>
          <w:ilvl w:val="0"/>
          <w:numId w:val="10"/>
        </w:numPr>
        <w:shd w:val="clear" w:color="auto" w:fill="FFFFFF"/>
        <w:ind w:left="714" w:hanging="357"/>
        <w:rPr>
          <w:rFonts w:cs="Arial"/>
          <w:color w:val="000000" w:themeColor="text1"/>
          <w:szCs w:val="20"/>
          <w:shd w:val="clear" w:color="auto" w:fill="FFFFFF"/>
        </w:rPr>
      </w:pPr>
      <w:r w:rsidRPr="003478AF">
        <w:rPr>
          <w:rFonts w:cs="Arial"/>
          <w:color w:val="000000" w:themeColor="text1"/>
          <w:szCs w:val="20"/>
          <w:shd w:val="clear" w:color="auto" w:fill="FFFFFF"/>
        </w:rPr>
        <w:t>przemysłu skórzanego, futrzarskiego i tekstylnego</w:t>
      </w:r>
      <w:r w:rsidR="00F75F16" w:rsidRPr="003478AF">
        <w:rPr>
          <w:rFonts w:cs="Arial"/>
          <w:color w:val="000000" w:themeColor="text1"/>
          <w:szCs w:val="20"/>
          <w:shd w:val="clear" w:color="auto" w:fill="FFFFFF"/>
        </w:rPr>
        <w:t>;</w:t>
      </w:r>
    </w:p>
    <w:p w14:paraId="72053FCB" w14:textId="17B4B05D" w:rsidR="00FA2BB9" w:rsidRPr="003478AF" w:rsidRDefault="00FA2BB9" w:rsidP="00B13D49">
      <w:pPr>
        <w:pStyle w:val="Akapitzlist"/>
        <w:numPr>
          <w:ilvl w:val="0"/>
          <w:numId w:val="10"/>
        </w:numPr>
        <w:shd w:val="clear" w:color="auto" w:fill="FFFFFF"/>
        <w:ind w:left="714" w:hanging="357"/>
        <w:rPr>
          <w:rFonts w:cs="Arial"/>
          <w:color w:val="000000" w:themeColor="text1"/>
          <w:szCs w:val="20"/>
          <w:shd w:val="clear" w:color="auto" w:fill="FFFFFF"/>
        </w:rPr>
      </w:pPr>
      <w:r w:rsidRPr="003478AF">
        <w:rPr>
          <w:rFonts w:cs="Arial"/>
          <w:color w:val="000000" w:themeColor="text1"/>
          <w:szCs w:val="20"/>
          <w:shd w:val="clear" w:color="auto" w:fill="FFFFFF"/>
        </w:rPr>
        <w:t>przeróbki ropy naftowej oczyszczania gazu ziemnego oraz pirolitycznej przeróbki węgla</w:t>
      </w:r>
      <w:r w:rsidR="00F75F16" w:rsidRPr="003478AF">
        <w:rPr>
          <w:rFonts w:cs="Arial"/>
          <w:color w:val="000000" w:themeColor="text1"/>
          <w:szCs w:val="20"/>
          <w:shd w:val="clear" w:color="auto" w:fill="FFFFFF"/>
        </w:rPr>
        <w:t>;</w:t>
      </w:r>
    </w:p>
    <w:p w14:paraId="4E6D4AD4" w14:textId="09DEAC5E" w:rsidR="00FA2BB9" w:rsidRPr="003478AF" w:rsidRDefault="00FA2BB9" w:rsidP="00B13D49">
      <w:pPr>
        <w:pStyle w:val="Akapitzlist"/>
        <w:numPr>
          <w:ilvl w:val="0"/>
          <w:numId w:val="10"/>
        </w:numPr>
        <w:shd w:val="clear" w:color="auto" w:fill="FFFFFF"/>
        <w:ind w:left="714" w:hanging="357"/>
        <w:rPr>
          <w:rFonts w:cs="Arial"/>
          <w:color w:val="000000" w:themeColor="text1"/>
          <w:szCs w:val="20"/>
          <w:shd w:val="clear" w:color="auto" w:fill="FFFFFF"/>
        </w:rPr>
      </w:pPr>
      <w:r w:rsidRPr="003478AF">
        <w:rPr>
          <w:rFonts w:cs="Arial"/>
          <w:color w:val="000000" w:themeColor="text1"/>
          <w:szCs w:val="20"/>
          <w:shd w:val="clear" w:color="auto" w:fill="FFFFFF"/>
        </w:rPr>
        <w:t>instalacji i urządzeń służących zagospodarowaniu odpadów, z oczyszczalni ścieków oraz z uzdatniania wody pitnej i wody do celów przemysłowych</w:t>
      </w:r>
      <w:r w:rsidR="00F75F16" w:rsidRPr="003478AF">
        <w:rPr>
          <w:rFonts w:cs="Arial"/>
          <w:color w:val="000000" w:themeColor="text1"/>
          <w:szCs w:val="20"/>
          <w:shd w:val="clear" w:color="auto" w:fill="FFFFFF"/>
        </w:rPr>
        <w:t>;</w:t>
      </w:r>
    </w:p>
    <w:p w14:paraId="51DC7910" w14:textId="77777777" w:rsidR="00FA2BB9" w:rsidRPr="003478AF" w:rsidRDefault="00FA2BB9" w:rsidP="00B13D49">
      <w:pPr>
        <w:pStyle w:val="Akapitzlist"/>
        <w:numPr>
          <w:ilvl w:val="0"/>
          <w:numId w:val="10"/>
        </w:numPr>
        <w:shd w:val="clear" w:color="auto" w:fill="FFFFFF"/>
        <w:ind w:left="714" w:hanging="357"/>
        <w:rPr>
          <w:rFonts w:eastAsia="Times New Roman" w:cs="Arial"/>
          <w:bCs/>
          <w:color w:val="000000" w:themeColor="text1"/>
          <w:szCs w:val="20"/>
          <w:bdr w:val="none" w:sz="0" w:space="0" w:color="auto" w:frame="1"/>
          <w:lang w:eastAsia="pl-PL"/>
        </w:rPr>
      </w:pPr>
      <w:r w:rsidRPr="003478AF">
        <w:rPr>
          <w:rFonts w:cs="Arial"/>
          <w:color w:val="000000" w:themeColor="text1"/>
          <w:szCs w:val="20"/>
          <w:shd w:val="clear" w:color="auto" w:fill="FFFFFF"/>
        </w:rPr>
        <w:t>usług medycznych i weterynaryjnych.</w:t>
      </w:r>
    </w:p>
    <w:p w14:paraId="04E16333" w14:textId="77777777" w:rsidR="00FA2BB9" w:rsidRPr="003478AF" w:rsidRDefault="00FA2BB9" w:rsidP="00E6136F">
      <w:pPr>
        <w:autoSpaceDE w:val="0"/>
        <w:autoSpaceDN w:val="0"/>
        <w:adjustRightInd w:val="0"/>
        <w:rPr>
          <w:rFonts w:cs="Arial"/>
          <w:color w:val="000000"/>
          <w:szCs w:val="20"/>
        </w:rPr>
      </w:pPr>
      <w:r w:rsidRPr="003478AF">
        <w:rPr>
          <w:rFonts w:cs="Arial"/>
          <w:color w:val="000000"/>
          <w:szCs w:val="20"/>
        </w:rPr>
        <w:t xml:space="preserve">Do najważniejszych problemów w zakresie gospodarowania odpadami powstającymi </w:t>
      </w:r>
      <w:r w:rsidRPr="003478AF">
        <w:rPr>
          <w:rFonts w:cs="Arial"/>
          <w:color w:val="000000"/>
          <w:szCs w:val="20"/>
        </w:rPr>
        <w:br/>
        <w:t>w sektorze gospodarczym zaliczono</w:t>
      </w:r>
      <w:r w:rsidRPr="003478AF">
        <w:rPr>
          <w:rStyle w:val="Odwoanieprzypisudolnego"/>
        </w:rPr>
        <w:footnoteReference w:id="105"/>
      </w:r>
      <w:r w:rsidRPr="003478AF">
        <w:rPr>
          <w:rFonts w:cs="Arial"/>
          <w:color w:val="000000"/>
          <w:szCs w:val="20"/>
        </w:rPr>
        <w:t xml:space="preserve">: </w:t>
      </w:r>
    </w:p>
    <w:p w14:paraId="55A742CA" w14:textId="1625E96F" w:rsidR="00FA2BB9" w:rsidRPr="003478AF" w:rsidRDefault="00FA2BB9" w:rsidP="00B13D49">
      <w:pPr>
        <w:pStyle w:val="Akapitzlist"/>
        <w:numPr>
          <w:ilvl w:val="0"/>
          <w:numId w:val="39"/>
        </w:numPr>
        <w:autoSpaceDE w:val="0"/>
        <w:autoSpaceDN w:val="0"/>
        <w:adjustRightInd w:val="0"/>
        <w:spacing w:after="141"/>
        <w:rPr>
          <w:rFonts w:cs="Arial"/>
          <w:color w:val="000000"/>
          <w:szCs w:val="20"/>
        </w:rPr>
      </w:pPr>
      <w:r w:rsidRPr="003478AF">
        <w:rPr>
          <w:rFonts w:cs="Arial"/>
          <w:color w:val="000000"/>
          <w:szCs w:val="20"/>
        </w:rPr>
        <w:t>Nieprzestrzeganie przez część przedsiębiorców obowiązków w zakresie gospodarowania odpadami wynikających z przepisów prawa</w:t>
      </w:r>
      <w:r w:rsidR="000C367C" w:rsidRPr="003478AF">
        <w:rPr>
          <w:rFonts w:cs="Arial"/>
          <w:color w:val="000000"/>
          <w:szCs w:val="20"/>
        </w:rPr>
        <w:t>;</w:t>
      </w:r>
    </w:p>
    <w:p w14:paraId="0CBA201E" w14:textId="6698A443" w:rsidR="00FA2BB9" w:rsidRPr="003478AF" w:rsidRDefault="00FA2BB9" w:rsidP="00B13D49">
      <w:pPr>
        <w:pStyle w:val="Akapitzlist"/>
        <w:numPr>
          <w:ilvl w:val="0"/>
          <w:numId w:val="39"/>
        </w:numPr>
        <w:autoSpaceDE w:val="0"/>
        <w:autoSpaceDN w:val="0"/>
        <w:adjustRightInd w:val="0"/>
        <w:spacing w:after="141"/>
        <w:rPr>
          <w:rFonts w:cs="Arial"/>
          <w:color w:val="000000"/>
          <w:szCs w:val="20"/>
        </w:rPr>
      </w:pPr>
      <w:r w:rsidRPr="003478AF">
        <w:rPr>
          <w:rFonts w:cs="Arial"/>
          <w:color w:val="000000"/>
          <w:szCs w:val="20"/>
        </w:rPr>
        <w:t>Wysokie koszty nowoczesnych rozwiązań technologicznych prowadzących do minimalizacji wytwarzanych odpadów</w:t>
      </w:r>
      <w:r w:rsidR="000C367C" w:rsidRPr="003478AF">
        <w:rPr>
          <w:rFonts w:cs="Arial"/>
          <w:color w:val="000000"/>
          <w:szCs w:val="20"/>
        </w:rPr>
        <w:t>;</w:t>
      </w:r>
    </w:p>
    <w:p w14:paraId="5B6EE57B" w14:textId="21E77176" w:rsidR="00FA2BB9" w:rsidRPr="003478AF" w:rsidRDefault="00FA2BB9" w:rsidP="00B13D49">
      <w:pPr>
        <w:pStyle w:val="Akapitzlist"/>
        <w:numPr>
          <w:ilvl w:val="0"/>
          <w:numId w:val="39"/>
        </w:numPr>
        <w:autoSpaceDE w:val="0"/>
        <w:autoSpaceDN w:val="0"/>
        <w:adjustRightInd w:val="0"/>
        <w:spacing w:after="141"/>
        <w:rPr>
          <w:rFonts w:cs="Arial"/>
          <w:color w:val="000000"/>
          <w:szCs w:val="20"/>
        </w:rPr>
      </w:pPr>
      <w:r w:rsidRPr="003478AF">
        <w:rPr>
          <w:rFonts w:cs="Arial"/>
          <w:color w:val="000000"/>
          <w:szCs w:val="20"/>
        </w:rPr>
        <w:t>Nieprawidłowe postępowanie z wytwarzanymi odpadami w sektorze małych przedsiębiorstw (np. porzucanie odpadów w miejscach nielegalnego składowania)</w:t>
      </w:r>
      <w:r w:rsidR="000C367C" w:rsidRPr="003478AF">
        <w:rPr>
          <w:rFonts w:cs="Arial"/>
          <w:color w:val="000000"/>
          <w:szCs w:val="20"/>
        </w:rPr>
        <w:t>;</w:t>
      </w:r>
    </w:p>
    <w:p w14:paraId="48667D92" w14:textId="680205CD" w:rsidR="00FA2BB9" w:rsidRPr="003478AF" w:rsidRDefault="00FA2BB9" w:rsidP="00B13D49">
      <w:pPr>
        <w:pStyle w:val="Akapitzlist"/>
        <w:numPr>
          <w:ilvl w:val="0"/>
          <w:numId w:val="39"/>
        </w:numPr>
        <w:autoSpaceDE w:val="0"/>
        <w:autoSpaceDN w:val="0"/>
        <w:adjustRightInd w:val="0"/>
        <w:rPr>
          <w:rFonts w:cs="Arial"/>
          <w:color w:val="000000"/>
          <w:szCs w:val="20"/>
        </w:rPr>
      </w:pPr>
      <w:r w:rsidRPr="003478AF">
        <w:rPr>
          <w:rFonts w:cs="Arial"/>
          <w:color w:val="000000"/>
          <w:szCs w:val="20"/>
        </w:rPr>
        <w:t xml:space="preserve">Niedostateczne moce przerobowe instalacji do zagospodarowania paliw alternatywnych wytwarzanych z odpadów sektora gospodarczego. </w:t>
      </w:r>
    </w:p>
    <w:p w14:paraId="61D63B2E" w14:textId="6B3DB5A6" w:rsidR="00FA2BB9" w:rsidRPr="003478AF" w:rsidRDefault="00FA2BB9" w:rsidP="00E6136F">
      <w:pPr>
        <w:shd w:val="clear" w:color="auto" w:fill="FFFFFF"/>
        <w:rPr>
          <w:rFonts w:eastAsia="Times New Roman" w:cs="Arial"/>
          <w:bCs/>
          <w:color w:val="000000" w:themeColor="text1"/>
          <w:szCs w:val="20"/>
          <w:bdr w:val="none" w:sz="0" w:space="0" w:color="auto" w:frame="1"/>
          <w:lang w:eastAsia="pl-PL"/>
        </w:rPr>
      </w:pPr>
      <w:r w:rsidRPr="003478AF">
        <w:rPr>
          <w:rFonts w:eastAsia="Times New Roman" w:cs="Arial"/>
          <w:bCs/>
          <w:color w:val="000000" w:themeColor="text1"/>
          <w:szCs w:val="20"/>
          <w:bdr w:val="none" w:sz="0" w:space="0" w:color="auto" w:frame="1"/>
          <w:lang w:eastAsia="pl-PL"/>
        </w:rPr>
        <w:t>Przedstawiony też został plan działań w aspekcie GOZ</w:t>
      </w:r>
      <w:r w:rsidR="00A32311" w:rsidRPr="003478AF">
        <w:rPr>
          <w:rFonts w:eastAsia="Times New Roman" w:cs="Arial"/>
          <w:bCs/>
          <w:color w:val="000000" w:themeColor="text1"/>
          <w:szCs w:val="20"/>
          <w:bdr w:val="none" w:sz="0" w:space="0" w:color="auto" w:frame="1"/>
          <w:lang w:eastAsia="pl-PL"/>
        </w:rPr>
        <w:t>,</w:t>
      </w:r>
      <w:r w:rsidRPr="003478AF">
        <w:rPr>
          <w:rFonts w:eastAsia="Times New Roman" w:cs="Arial"/>
          <w:bCs/>
          <w:color w:val="000000" w:themeColor="text1"/>
          <w:szCs w:val="20"/>
          <w:bdr w:val="none" w:sz="0" w:space="0" w:color="auto" w:frame="1"/>
          <w:lang w:eastAsia="pl-PL"/>
        </w:rPr>
        <w:t xml:space="preserve"> tj. wzrost poziomu przetwarzania odpadów oraz ograniczania ich powstawania. </w:t>
      </w:r>
    </w:p>
    <w:p w14:paraId="26EC54FB" w14:textId="1893A182" w:rsidR="004C5BDE" w:rsidRPr="003478AF" w:rsidRDefault="00FA2BB9" w:rsidP="00E6136F">
      <w:pPr>
        <w:shd w:val="clear" w:color="auto" w:fill="FFFFFF"/>
        <w:rPr>
          <w:rFonts w:eastAsia="Times New Roman" w:cs="Arial"/>
          <w:color w:val="000000" w:themeColor="text1"/>
          <w:szCs w:val="20"/>
          <w:lang w:eastAsia="pl-PL"/>
        </w:rPr>
      </w:pPr>
      <w:r w:rsidRPr="003478AF">
        <w:rPr>
          <w:rFonts w:eastAsia="Times New Roman" w:cs="Arial"/>
          <w:bCs/>
          <w:color w:val="000000" w:themeColor="text1"/>
          <w:szCs w:val="20"/>
          <w:bdr w:val="none" w:sz="0" w:space="0" w:color="auto" w:frame="1"/>
          <w:lang w:eastAsia="pl-PL"/>
        </w:rPr>
        <w:t>Z uwagi na bardzo szeroki obszar odpadowy istnieje szeroka lista technologii ukierunkowanych na GOZ zaproponowany</w:t>
      </w:r>
      <w:r w:rsidR="00A32311" w:rsidRPr="003478AF">
        <w:rPr>
          <w:rFonts w:eastAsia="Times New Roman" w:cs="Arial"/>
          <w:bCs/>
          <w:color w:val="000000" w:themeColor="text1"/>
          <w:szCs w:val="20"/>
          <w:bdr w:val="none" w:sz="0" w:space="0" w:color="auto" w:frame="1"/>
          <w:lang w:eastAsia="pl-PL"/>
        </w:rPr>
        <w:t>ch</w:t>
      </w:r>
      <w:r w:rsidRPr="003478AF">
        <w:rPr>
          <w:rFonts w:eastAsia="Times New Roman" w:cs="Arial"/>
          <w:bCs/>
          <w:color w:val="000000" w:themeColor="text1"/>
          <w:szCs w:val="20"/>
          <w:bdr w:val="none" w:sz="0" w:space="0" w:color="auto" w:frame="1"/>
          <w:lang w:eastAsia="pl-PL"/>
        </w:rPr>
        <w:t xml:space="preserve"> w obszarze B+R</w:t>
      </w:r>
      <w:r w:rsidR="00A32311" w:rsidRPr="003478AF">
        <w:rPr>
          <w:rFonts w:eastAsia="Times New Roman" w:cs="Arial"/>
          <w:bCs/>
          <w:color w:val="000000" w:themeColor="text1"/>
          <w:szCs w:val="20"/>
          <w:bdr w:val="none" w:sz="0" w:space="0" w:color="auto" w:frame="1"/>
          <w:lang w:eastAsia="pl-PL"/>
        </w:rPr>
        <w:t>,</w:t>
      </w:r>
      <w:r w:rsidRPr="003478AF">
        <w:rPr>
          <w:rFonts w:eastAsia="Times New Roman" w:cs="Arial"/>
          <w:bCs/>
          <w:color w:val="000000" w:themeColor="text1"/>
          <w:szCs w:val="20"/>
          <w:bdr w:val="none" w:sz="0" w:space="0" w:color="auto" w:frame="1"/>
          <w:lang w:eastAsia="pl-PL"/>
        </w:rPr>
        <w:t xml:space="preserve"> m.in.</w:t>
      </w:r>
      <w:r w:rsidRPr="003478AF">
        <w:rPr>
          <w:rStyle w:val="Odwoanieprzypisudolnego"/>
        </w:rPr>
        <w:footnoteReference w:id="106"/>
      </w:r>
      <w:r w:rsidRPr="003478AF">
        <w:rPr>
          <w:rFonts w:eastAsia="Times New Roman" w:cs="Arial"/>
          <w:bCs/>
          <w:color w:val="000000" w:themeColor="text1"/>
          <w:szCs w:val="20"/>
          <w:bdr w:val="none" w:sz="0" w:space="0" w:color="auto" w:frame="1"/>
          <w:lang w:eastAsia="pl-PL"/>
        </w:rPr>
        <w:t>:</w:t>
      </w:r>
    </w:p>
    <w:p w14:paraId="06E61DBA" w14:textId="75E1D510" w:rsidR="004C5BDE" w:rsidRPr="003478AF" w:rsidRDefault="00FA2BB9" w:rsidP="00B13D49">
      <w:pPr>
        <w:pStyle w:val="Akapitzlist"/>
        <w:numPr>
          <w:ilvl w:val="0"/>
          <w:numId w:val="8"/>
        </w:numPr>
        <w:shd w:val="clear" w:color="auto" w:fill="FFFFFF"/>
        <w:rPr>
          <w:rFonts w:eastAsia="Times New Roman" w:cs="Arial"/>
          <w:color w:val="000000" w:themeColor="text1"/>
          <w:szCs w:val="20"/>
          <w:lang w:eastAsia="pl-PL"/>
        </w:rPr>
      </w:pPr>
      <w:r w:rsidRPr="003478AF">
        <w:rPr>
          <w:rFonts w:eastAsia="Times New Roman" w:cs="Arial"/>
          <w:color w:val="000000" w:themeColor="text1"/>
          <w:szCs w:val="20"/>
          <w:lang w:eastAsia="pl-PL"/>
        </w:rPr>
        <w:t>oszczędzające materiały z zasobów pierwotnych (energii i materiałooszczędne):</w:t>
      </w:r>
    </w:p>
    <w:p w14:paraId="129B4A24" w14:textId="77777777" w:rsidR="004C5BDE" w:rsidRPr="003478AF" w:rsidRDefault="00FA2BB9" w:rsidP="00132A23">
      <w:pPr>
        <w:pStyle w:val="Akapitzlist"/>
        <w:numPr>
          <w:ilvl w:val="1"/>
          <w:numId w:val="8"/>
        </w:numPr>
        <w:shd w:val="clear" w:color="auto" w:fill="FFFFFF"/>
        <w:tabs>
          <w:tab w:val="clear" w:pos="1440"/>
        </w:tabs>
        <w:ind w:left="993" w:hanging="284"/>
        <w:rPr>
          <w:rFonts w:eastAsia="Times New Roman" w:cs="Arial"/>
          <w:color w:val="000000" w:themeColor="text1"/>
          <w:szCs w:val="20"/>
          <w:lang w:eastAsia="pl-PL"/>
        </w:rPr>
      </w:pPr>
      <w:r w:rsidRPr="003478AF">
        <w:rPr>
          <w:rFonts w:eastAsia="Times New Roman" w:cs="Arial"/>
          <w:color w:val="000000" w:themeColor="text1"/>
          <w:szCs w:val="20"/>
          <w:lang w:eastAsia="pl-PL"/>
        </w:rPr>
        <w:lastRenderedPageBreak/>
        <w:t>stosowanie dodatków mineralnych w postaci:</w:t>
      </w:r>
    </w:p>
    <w:p w14:paraId="6BA2D40A" w14:textId="4702FAE4" w:rsidR="004C5BDE" w:rsidRPr="003478AF" w:rsidRDefault="00FA2BB9" w:rsidP="00132A23">
      <w:pPr>
        <w:pStyle w:val="Akapitzlist"/>
        <w:numPr>
          <w:ilvl w:val="2"/>
          <w:numId w:val="29"/>
        </w:numPr>
        <w:shd w:val="clear" w:color="auto" w:fill="FFFFFF"/>
        <w:tabs>
          <w:tab w:val="clear" w:pos="2160"/>
        </w:tabs>
        <w:ind w:left="1276" w:hanging="283"/>
        <w:rPr>
          <w:rFonts w:eastAsia="Times New Roman" w:cs="Arial"/>
          <w:color w:val="000000" w:themeColor="text1"/>
          <w:szCs w:val="20"/>
          <w:lang w:eastAsia="pl-PL"/>
        </w:rPr>
      </w:pPr>
      <w:r w:rsidRPr="003478AF">
        <w:rPr>
          <w:rFonts w:eastAsia="Times New Roman" w:cs="Arial"/>
          <w:color w:val="000000" w:themeColor="text1"/>
          <w:szCs w:val="20"/>
          <w:lang w:eastAsia="pl-PL"/>
        </w:rPr>
        <w:t xml:space="preserve">lotnych popiołów konwencjonalnych oraz fluidalnych z węgla kamiennego </w:t>
      </w:r>
      <w:r w:rsidR="00132A23" w:rsidRPr="003478AF">
        <w:rPr>
          <w:rFonts w:eastAsia="Times New Roman" w:cs="Arial"/>
          <w:color w:val="000000" w:themeColor="text1"/>
          <w:szCs w:val="20"/>
          <w:lang w:eastAsia="pl-PL"/>
        </w:rPr>
        <w:br/>
      </w:r>
      <w:r w:rsidRPr="003478AF">
        <w:rPr>
          <w:rFonts w:eastAsia="Times New Roman" w:cs="Arial"/>
          <w:color w:val="000000" w:themeColor="text1"/>
          <w:szCs w:val="20"/>
          <w:lang w:eastAsia="pl-PL"/>
        </w:rPr>
        <w:t>i brunatnego w technologii zawiesin twardniejących</w:t>
      </w:r>
      <w:r w:rsidR="00F75F16" w:rsidRPr="003478AF">
        <w:rPr>
          <w:rFonts w:eastAsia="Times New Roman" w:cs="Arial"/>
          <w:color w:val="000000" w:themeColor="text1"/>
          <w:szCs w:val="20"/>
          <w:lang w:eastAsia="pl-PL"/>
        </w:rPr>
        <w:t>;</w:t>
      </w:r>
    </w:p>
    <w:p w14:paraId="2EF206BF" w14:textId="5FC29BCC" w:rsidR="004C5BDE" w:rsidRPr="003478AF" w:rsidRDefault="00FA2BB9" w:rsidP="00132A23">
      <w:pPr>
        <w:pStyle w:val="Akapitzlist"/>
        <w:numPr>
          <w:ilvl w:val="2"/>
          <w:numId w:val="29"/>
        </w:numPr>
        <w:shd w:val="clear" w:color="auto" w:fill="FFFFFF"/>
        <w:tabs>
          <w:tab w:val="clear" w:pos="2160"/>
        </w:tabs>
        <w:ind w:left="1276" w:hanging="283"/>
        <w:rPr>
          <w:rFonts w:eastAsia="Times New Roman" w:cs="Arial"/>
          <w:color w:val="000000" w:themeColor="text1"/>
          <w:szCs w:val="20"/>
          <w:lang w:eastAsia="pl-PL"/>
        </w:rPr>
      </w:pPr>
      <w:r w:rsidRPr="003478AF">
        <w:rPr>
          <w:rFonts w:eastAsia="Times New Roman" w:cs="Arial"/>
          <w:color w:val="000000" w:themeColor="text1"/>
          <w:szCs w:val="20"/>
          <w:lang w:eastAsia="pl-PL"/>
        </w:rPr>
        <w:t xml:space="preserve">lotnych popiołów fluidalnych z węgla kamiennego i brunatnego </w:t>
      </w:r>
      <w:r w:rsidR="00F75F16" w:rsidRPr="003478AF">
        <w:rPr>
          <w:rFonts w:eastAsia="Times New Roman" w:cs="Arial"/>
          <w:color w:val="000000" w:themeColor="text1"/>
          <w:szCs w:val="20"/>
          <w:lang w:eastAsia="pl-PL"/>
        </w:rPr>
        <w:t>w</w:t>
      </w:r>
      <w:r w:rsidR="00A32311" w:rsidRPr="003478AF">
        <w:rPr>
          <w:rFonts w:eastAsia="Times New Roman" w:cs="Arial"/>
          <w:color w:val="000000" w:themeColor="text1"/>
          <w:szCs w:val="20"/>
          <w:lang w:eastAsia="pl-PL"/>
        </w:rPr>
        <w:t xml:space="preserve"> </w:t>
      </w:r>
      <w:r w:rsidRPr="003478AF">
        <w:rPr>
          <w:rFonts w:eastAsia="Times New Roman" w:cs="Arial"/>
          <w:color w:val="000000" w:themeColor="text1"/>
          <w:szCs w:val="20"/>
          <w:lang w:eastAsia="pl-PL"/>
        </w:rPr>
        <w:t>technologii zawiesin twardniejących</w:t>
      </w:r>
      <w:r w:rsidR="00F75F16" w:rsidRPr="003478AF">
        <w:rPr>
          <w:rFonts w:eastAsia="Times New Roman" w:cs="Arial"/>
          <w:color w:val="000000" w:themeColor="text1"/>
          <w:szCs w:val="20"/>
          <w:lang w:eastAsia="pl-PL"/>
        </w:rPr>
        <w:t>;</w:t>
      </w:r>
    </w:p>
    <w:p w14:paraId="0D810AFD" w14:textId="7E99D243" w:rsidR="00FA2BB9" w:rsidRPr="003478AF" w:rsidRDefault="00FA2BB9" w:rsidP="00132A23">
      <w:pPr>
        <w:pStyle w:val="Akapitzlist"/>
        <w:numPr>
          <w:ilvl w:val="1"/>
          <w:numId w:val="8"/>
        </w:numPr>
        <w:shd w:val="clear" w:color="auto" w:fill="FFFFFF"/>
        <w:tabs>
          <w:tab w:val="clear" w:pos="1440"/>
        </w:tabs>
        <w:ind w:left="993" w:hanging="284"/>
        <w:rPr>
          <w:rFonts w:eastAsia="Times New Roman" w:cs="Arial"/>
          <w:color w:val="000000" w:themeColor="text1"/>
          <w:szCs w:val="20"/>
          <w:lang w:eastAsia="pl-PL"/>
        </w:rPr>
      </w:pPr>
      <w:r w:rsidRPr="003478AF">
        <w:rPr>
          <w:rFonts w:eastAsia="Times New Roman" w:cs="Arial"/>
          <w:color w:val="000000" w:themeColor="text1"/>
          <w:szCs w:val="20"/>
          <w:lang w:eastAsia="pl-PL"/>
        </w:rPr>
        <w:t xml:space="preserve">wykorzystanie niskoemisyjnych spoiw (mieszanek żużlowo-popiołowych) </w:t>
      </w:r>
      <w:r w:rsidR="00132A23" w:rsidRPr="003478AF">
        <w:rPr>
          <w:rFonts w:eastAsia="Times New Roman" w:cs="Arial"/>
          <w:color w:val="000000" w:themeColor="text1"/>
          <w:szCs w:val="20"/>
          <w:lang w:eastAsia="pl-PL"/>
        </w:rPr>
        <w:br/>
      </w:r>
      <w:r w:rsidRPr="003478AF">
        <w:rPr>
          <w:rFonts w:eastAsia="Times New Roman" w:cs="Arial"/>
          <w:color w:val="000000" w:themeColor="text1"/>
          <w:szCs w:val="20"/>
          <w:lang w:eastAsia="pl-PL"/>
        </w:rPr>
        <w:t>w technologii zawiesin twardniejących, zaczynów, zapraw oraz betonów masywnych</w:t>
      </w:r>
      <w:r w:rsidR="00F75F16" w:rsidRPr="003478AF">
        <w:rPr>
          <w:rFonts w:eastAsia="Times New Roman" w:cs="Arial"/>
          <w:color w:val="000000" w:themeColor="text1"/>
          <w:szCs w:val="20"/>
          <w:lang w:eastAsia="pl-PL"/>
        </w:rPr>
        <w:t>;</w:t>
      </w:r>
    </w:p>
    <w:p w14:paraId="2A8F3426" w14:textId="4A20815E" w:rsidR="00FA2BB9" w:rsidRPr="003478AF" w:rsidRDefault="00FA2BB9" w:rsidP="00132A23">
      <w:pPr>
        <w:numPr>
          <w:ilvl w:val="1"/>
          <w:numId w:val="8"/>
        </w:numPr>
        <w:shd w:val="clear" w:color="auto" w:fill="FFFFFF"/>
        <w:tabs>
          <w:tab w:val="clear" w:pos="1440"/>
        </w:tabs>
        <w:ind w:left="993" w:hanging="284"/>
        <w:rPr>
          <w:rFonts w:eastAsia="Times New Roman" w:cs="Arial"/>
          <w:color w:val="000000" w:themeColor="text1"/>
          <w:szCs w:val="20"/>
          <w:lang w:eastAsia="pl-PL"/>
        </w:rPr>
      </w:pPr>
      <w:r w:rsidRPr="003478AF">
        <w:rPr>
          <w:rFonts w:eastAsia="Times New Roman" w:cs="Arial"/>
          <w:color w:val="000000" w:themeColor="text1"/>
          <w:szCs w:val="20"/>
          <w:lang w:eastAsia="pl-PL"/>
        </w:rPr>
        <w:t>wykorzystanie dennych popiołów fluidalnych z węgla kamiennego oraz odpadów powęglowych w mieszankach mineralnych</w:t>
      </w:r>
      <w:r w:rsidR="00F75F16" w:rsidRPr="003478AF">
        <w:rPr>
          <w:rFonts w:eastAsia="Times New Roman" w:cs="Arial"/>
          <w:color w:val="000000" w:themeColor="text1"/>
          <w:szCs w:val="20"/>
          <w:lang w:eastAsia="pl-PL"/>
        </w:rPr>
        <w:t>;</w:t>
      </w:r>
    </w:p>
    <w:p w14:paraId="52D05E09" w14:textId="5C0FDEBE" w:rsidR="00FA2BB9" w:rsidRPr="003478AF" w:rsidRDefault="00FA2BB9" w:rsidP="00132A23">
      <w:pPr>
        <w:numPr>
          <w:ilvl w:val="1"/>
          <w:numId w:val="8"/>
        </w:numPr>
        <w:shd w:val="clear" w:color="auto" w:fill="FFFFFF"/>
        <w:tabs>
          <w:tab w:val="clear" w:pos="1440"/>
        </w:tabs>
        <w:ind w:left="993" w:hanging="284"/>
        <w:rPr>
          <w:rFonts w:eastAsia="Times New Roman" w:cs="Arial"/>
          <w:color w:val="000000" w:themeColor="text1"/>
          <w:szCs w:val="20"/>
          <w:lang w:eastAsia="pl-PL"/>
        </w:rPr>
      </w:pPr>
      <w:r w:rsidRPr="003478AF">
        <w:rPr>
          <w:rFonts w:eastAsia="Times New Roman" w:cs="Arial"/>
          <w:color w:val="000000" w:themeColor="text1"/>
          <w:szCs w:val="20"/>
          <w:lang w:eastAsia="pl-PL"/>
        </w:rPr>
        <w:t>wykorzystywanie odpadów jako alternatywy dla paliw pierwotnych</w:t>
      </w:r>
      <w:r w:rsidR="00F75F16" w:rsidRPr="003478AF">
        <w:rPr>
          <w:rFonts w:eastAsia="Times New Roman" w:cs="Arial"/>
          <w:color w:val="000000" w:themeColor="text1"/>
          <w:szCs w:val="20"/>
          <w:lang w:eastAsia="pl-PL"/>
        </w:rPr>
        <w:t>;</w:t>
      </w:r>
    </w:p>
    <w:p w14:paraId="1EB45D02" w14:textId="67E118EE" w:rsidR="00FA2BB9" w:rsidRPr="003478AF" w:rsidRDefault="00FA2BB9" w:rsidP="00132A23">
      <w:pPr>
        <w:numPr>
          <w:ilvl w:val="1"/>
          <w:numId w:val="8"/>
        </w:numPr>
        <w:shd w:val="clear" w:color="auto" w:fill="FFFFFF"/>
        <w:tabs>
          <w:tab w:val="clear" w:pos="1440"/>
        </w:tabs>
        <w:ind w:left="993" w:hanging="284"/>
        <w:rPr>
          <w:rFonts w:eastAsia="Times New Roman" w:cs="Arial"/>
          <w:color w:val="000000" w:themeColor="text1"/>
          <w:szCs w:val="20"/>
          <w:lang w:eastAsia="pl-PL"/>
        </w:rPr>
      </w:pPr>
      <w:r w:rsidRPr="003478AF">
        <w:rPr>
          <w:rFonts w:eastAsia="Times New Roman" w:cs="Arial"/>
          <w:color w:val="000000" w:themeColor="text1"/>
          <w:szCs w:val="20"/>
          <w:lang w:eastAsia="pl-PL"/>
        </w:rPr>
        <w:t>optymalizacja technologiczna metod przetwarzania odpadów (zawracanie obiegów, minimalizacja powstawania, ponowne użycie, maksymalizacja recyklingu)</w:t>
      </w:r>
      <w:r w:rsidR="00F75F16" w:rsidRPr="003478AF">
        <w:rPr>
          <w:rFonts w:eastAsia="Times New Roman" w:cs="Arial"/>
          <w:color w:val="000000" w:themeColor="text1"/>
          <w:szCs w:val="20"/>
          <w:lang w:eastAsia="pl-PL"/>
        </w:rPr>
        <w:t>;</w:t>
      </w:r>
    </w:p>
    <w:p w14:paraId="0860D21F" w14:textId="4C33F31C" w:rsidR="00FA2BB9" w:rsidRPr="003478AF" w:rsidRDefault="00FA2BB9" w:rsidP="00132A23">
      <w:pPr>
        <w:numPr>
          <w:ilvl w:val="1"/>
          <w:numId w:val="8"/>
        </w:numPr>
        <w:shd w:val="clear" w:color="auto" w:fill="FFFFFF"/>
        <w:tabs>
          <w:tab w:val="clear" w:pos="1440"/>
        </w:tabs>
        <w:ind w:left="993" w:hanging="284"/>
        <w:rPr>
          <w:rFonts w:eastAsia="Times New Roman" w:cs="Arial"/>
          <w:color w:val="000000" w:themeColor="text1"/>
          <w:szCs w:val="20"/>
          <w:lang w:eastAsia="pl-PL"/>
        </w:rPr>
      </w:pPr>
      <w:r w:rsidRPr="003478AF">
        <w:rPr>
          <w:rFonts w:eastAsia="Times New Roman" w:cs="Arial"/>
          <w:color w:val="000000" w:themeColor="text1"/>
          <w:szCs w:val="20"/>
          <w:lang w:eastAsia="pl-PL"/>
        </w:rPr>
        <w:t xml:space="preserve">odzysk materiałowy z procesów przetwarzania odpadów (mechanicznych </w:t>
      </w:r>
      <w:r w:rsidRPr="003478AF">
        <w:rPr>
          <w:rFonts w:eastAsia="Times New Roman" w:cs="Arial"/>
          <w:color w:val="000000" w:themeColor="text1"/>
          <w:szCs w:val="20"/>
          <w:lang w:eastAsia="pl-PL"/>
        </w:rPr>
        <w:br/>
        <w:t>i biotechnologicznych)</w:t>
      </w:r>
      <w:r w:rsidR="00F75F16" w:rsidRPr="003478AF">
        <w:rPr>
          <w:rFonts w:eastAsia="Times New Roman" w:cs="Arial"/>
          <w:color w:val="000000" w:themeColor="text1"/>
          <w:szCs w:val="20"/>
          <w:lang w:eastAsia="pl-PL"/>
        </w:rPr>
        <w:t>;</w:t>
      </w:r>
    </w:p>
    <w:p w14:paraId="0569B22D" w14:textId="30AC8F9C" w:rsidR="00FA2BB9" w:rsidRPr="003478AF" w:rsidRDefault="00FA2BB9" w:rsidP="00132A23">
      <w:pPr>
        <w:numPr>
          <w:ilvl w:val="1"/>
          <w:numId w:val="8"/>
        </w:numPr>
        <w:shd w:val="clear" w:color="auto" w:fill="FFFFFF"/>
        <w:tabs>
          <w:tab w:val="clear" w:pos="1440"/>
        </w:tabs>
        <w:ind w:left="993" w:hanging="284"/>
        <w:rPr>
          <w:rFonts w:eastAsia="Times New Roman" w:cs="Arial"/>
          <w:color w:val="000000" w:themeColor="text1"/>
          <w:szCs w:val="20"/>
          <w:lang w:eastAsia="pl-PL"/>
        </w:rPr>
      </w:pPr>
      <w:r w:rsidRPr="003478AF">
        <w:rPr>
          <w:rFonts w:eastAsia="Times New Roman" w:cs="Arial"/>
          <w:color w:val="000000" w:themeColor="text1"/>
          <w:szCs w:val="20"/>
          <w:lang w:eastAsia="pl-PL"/>
        </w:rPr>
        <w:t xml:space="preserve">ocena stopnia zanieczyszczenia osadów dennych pobranych z cieków </w:t>
      </w:r>
      <w:r w:rsidR="00F75F16" w:rsidRPr="003478AF">
        <w:rPr>
          <w:rFonts w:eastAsia="Times New Roman" w:cs="Arial"/>
          <w:color w:val="000000" w:themeColor="text1"/>
          <w:szCs w:val="20"/>
          <w:lang w:eastAsia="pl-PL"/>
        </w:rPr>
        <w:t>i</w:t>
      </w:r>
      <w:r w:rsidR="00A32311" w:rsidRPr="003478AF">
        <w:rPr>
          <w:rFonts w:eastAsia="Times New Roman" w:cs="Arial"/>
          <w:color w:val="000000" w:themeColor="text1"/>
          <w:szCs w:val="20"/>
          <w:lang w:eastAsia="pl-PL"/>
        </w:rPr>
        <w:t xml:space="preserve"> </w:t>
      </w:r>
      <w:r w:rsidRPr="003478AF">
        <w:rPr>
          <w:rFonts w:eastAsia="Times New Roman" w:cs="Arial"/>
          <w:color w:val="000000" w:themeColor="text1"/>
          <w:szCs w:val="20"/>
          <w:lang w:eastAsia="pl-PL"/>
        </w:rPr>
        <w:t>zbiorników wodnych</w:t>
      </w:r>
      <w:r w:rsidR="00F75F16" w:rsidRPr="003478AF">
        <w:rPr>
          <w:rFonts w:eastAsia="Times New Roman" w:cs="Arial"/>
          <w:color w:val="000000" w:themeColor="text1"/>
          <w:szCs w:val="20"/>
          <w:lang w:eastAsia="pl-PL"/>
        </w:rPr>
        <w:t>;</w:t>
      </w:r>
    </w:p>
    <w:p w14:paraId="42E523B1" w14:textId="74B02654" w:rsidR="00FA2BB9" w:rsidRPr="003478AF" w:rsidRDefault="00FA2BB9" w:rsidP="00132A23">
      <w:pPr>
        <w:numPr>
          <w:ilvl w:val="1"/>
          <w:numId w:val="8"/>
        </w:numPr>
        <w:shd w:val="clear" w:color="auto" w:fill="FFFFFF"/>
        <w:tabs>
          <w:tab w:val="clear" w:pos="1440"/>
        </w:tabs>
        <w:ind w:left="993" w:hanging="284"/>
        <w:rPr>
          <w:rFonts w:eastAsia="Times New Roman" w:cs="Arial"/>
          <w:color w:val="000000" w:themeColor="text1"/>
          <w:szCs w:val="20"/>
          <w:lang w:eastAsia="pl-PL"/>
        </w:rPr>
      </w:pPr>
      <w:r w:rsidRPr="003478AF">
        <w:rPr>
          <w:rFonts w:eastAsia="Times New Roman" w:cs="Arial"/>
          <w:color w:val="000000" w:themeColor="text1"/>
          <w:szCs w:val="20"/>
          <w:lang w:eastAsia="pl-PL"/>
        </w:rPr>
        <w:t>ocena zanieczyszczenia i migracji metali ciężkich (oraz form metali) w układzie woda, gleba, rośliny</w:t>
      </w:r>
      <w:r w:rsidR="00F75F16" w:rsidRPr="003478AF">
        <w:rPr>
          <w:rFonts w:eastAsia="Times New Roman" w:cs="Arial"/>
          <w:color w:val="000000" w:themeColor="text1"/>
          <w:szCs w:val="20"/>
          <w:lang w:eastAsia="pl-PL"/>
        </w:rPr>
        <w:t>;</w:t>
      </w:r>
    </w:p>
    <w:p w14:paraId="6B9711BE" w14:textId="24BB50A4" w:rsidR="00FA2BB9" w:rsidRPr="003478AF" w:rsidRDefault="00FA2BB9" w:rsidP="00132A23">
      <w:pPr>
        <w:numPr>
          <w:ilvl w:val="1"/>
          <w:numId w:val="8"/>
        </w:numPr>
        <w:shd w:val="clear" w:color="auto" w:fill="FFFFFF"/>
        <w:tabs>
          <w:tab w:val="clear" w:pos="1440"/>
        </w:tabs>
        <w:ind w:left="993" w:hanging="284"/>
        <w:rPr>
          <w:rFonts w:eastAsia="Times New Roman" w:cs="Arial"/>
          <w:color w:val="000000" w:themeColor="text1"/>
          <w:szCs w:val="20"/>
          <w:lang w:eastAsia="pl-PL"/>
        </w:rPr>
      </w:pPr>
      <w:r w:rsidRPr="003478AF">
        <w:rPr>
          <w:rFonts w:eastAsia="Times New Roman" w:cs="Arial"/>
          <w:color w:val="000000" w:themeColor="text1"/>
          <w:szCs w:val="20"/>
          <w:lang w:eastAsia="pl-PL"/>
        </w:rPr>
        <w:t>ocena możliwości zastosowania odpadów jako częściowego zamiennika surowców naturalnych lub cementu/spoiwa w wybranych kompozytach</w:t>
      </w:r>
      <w:r w:rsidR="00F75F16" w:rsidRPr="003478AF">
        <w:rPr>
          <w:rFonts w:eastAsia="Times New Roman" w:cs="Arial"/>
          <w:color w:val="000000" w:themeColor="text1"/>
          <w:szCs w:val="20"/>
          <w:lang w:eastAsia="pl-PL"/>
        </w:rPr>
        <w:t>;</w:t>
      </w:r>
    </w:p>
    <w:p w14:paraId="1D909B10" w14:textId="77777777" w:rsidR="00FA2BB9" w:rsidRPr="003478AF" w:rsidRDefault="00FA2BB9" w:rsidP="00B13D49">
      <w:pPr>
        <w:numPr>
          <w:ilvl w:val="0"/>
          <w:numId w:val="8"/>
        </w:numPr>
        <w:shd w:val="clear" w:color="auto" w:fill="FFFFFF"/>
        <w:rPr>
          <w:rFonts w:eastAsia="Times New Roman" w:cs="Arial"/>
          <w:color w:val="000000" w:themeColor="text1"/>
          <w:szCs w:val="20"/>
          <w:lang w:eastAsia="pl-PL"/>
        </w:rPr>
      </w:pPr>
      <w:r w:rsidRPr="003478AF">
        <w:rPr>
          <w:rFonts w:eastAsia="Times New Roman" w:cs="Arial"/>
          <w:color w:val="000000" w:themeColor="text1"/>
          <w:szCs w:val="20"/>
          <w:lang w:eastAsia="pl-PL"/>
        </w:rPr>
        <w:t>recyklingowe: (o zróżnicowanych stopniach przetworzenia odpadów):</w:t>
      </w:r>
    </w:p>
    <w:p w14:paraId="4F998429" w14:textId="4219E840" w:rsidR="00FA2BB9" w:rsidRPr="003478AF" w:rsidRDefault="00FA2BB9" w:rsidP="00132A23">
      <w:pPr>
        <w:numPr>
          <w:ilvl w:val="1"/>
          <w:numId w:val="8"/>
        </w:numPr>
        <w:shd w:val="clear" w:color="auto" w:fill="FFFFFF"/>
        <w:tabs>
          <w:tab w:val="clear" w:pos="1440"/>
        </w:tabs>
        <w:ind w:left="993" w:hanging="284"/>
        <w:rPr>
          <w:rFonts w:eastAsia="Times New Roman" w:cs="Arial"/>
          <w:color w:val="000000" w:themeColor="text1"/>
          <w:szCs w:val="20"/>
          <w:lang w:eastAsia="pl-PL"/>
        </w:rPr>
      </w:pPr>
      <w:r w:rsidRPr="003478AF">
        <w:rPr>
          <w:rFonts w:eastAsia="Times New Roman" w:cs="Arial"/>
          <w:color w:val="000000" w:themeColor="text1"/>
          <w:szCs w:val="20"/>
          <w:lang w:eastAsia="pl-PL"/>
        </w:rPr>
        <w:t>recykling organiczny różnych form biomasy odpadowej w warunkach tlenowych</w:t>
      </w:r>
      <w:r w:rsidR="00F75F16" w:rsidRPr="003478AF">
        <w:rPr>
          <w:rFonts w:eastAsia="Times New Roman" w:cs="Arial"/>
          <w:color w:val="000000" w:themeColor="text1"/>
          <w:szCs w:val="20"/>
          <w:lang w:eastAsia="pl-PL"/>
        </w:rPr>
        <w:t xml:space="preserve"> </w:t>
      </w:r>
      <w:r w:rsidR="00132A23" w:rsidRPr="003478AF">
        <w:rPr>
          <w:rFonts w:eastAsia="Times New Roman" w:cs="Arial"/>
          <w:color w:val="000000" w:themeColor="text1"/>
          <w:szCs w:val="20"/>
          <w:lang w:eastAsia="pl-PL"/>
        </w:rPr>
        <w:br/>
      </w:r>
      <w:r w:rsidRPr="003478AF">
        <w:rPr>
          <w:rFonts w:eastAsia="Times New Roman" w:cs="Arial"/>
          <w:color w:val="000000" w:themeColor="text1"/>
          <w:szCs w:val="20"/>
          <w:lang w:eastAsia="pl-PL"/>
        </w:rPr>
        <w:t>i beztlenowych</w:t>
      </w:r>
      <w:r w:rsidR="00F75F16" w:rsidRPr="003478AF">
        <w:rPr>
          <w:rFonts w:eastAsia="Times New Roman" w:cs="Arial"/>
          <w:color w:val="000000" w:themeColor="text1"/>
          <w:szCs w:val="20"/>
          <w:lang w:eastAsia="pl-PL"/>
        </w:rPr>
        <w:t>;</w:t>
      </w:r>
    </w:p>
    <w:p w14:paraId="4F700072" w14:textId="290CEBB0" w:rsidR="00FA2BB9" w:rsidRPr="003478AF" w:rsidRDefault="00FA2BB9" w:rsidP="00132A23">
      <w:pPr>
        <w:numPr>
          <w:ilvl w:val="1"/>
          <w:numId w:val="8"/>
        </w:numPr>
        <w:shd w:val="clear" w:color="auto" w:fill="FFFFFF"/>
        <w:tabs>
          <w:tab w:val="clear" w:pos="1440"/>
        </w:tabs>
        <w:ind w:left="993" w:hanging="284"/>
        <w:rPr>
          <w:rFonts w:eastAsia="Times New Roman" w:cs="Arial"/>
          <w:color w:val="000000" w:themeColor="text1"/>
          <w:szCs w:val="20"/>
          <w:lang w:eastAsia="pl-PL"/>
        </w:rPr>
      </w:pPr>
      <w:r w:rsidRPr="003478AF">
        <w:rPr>
          <w:rFonts w:eastAsia="Times New Roman" w:cs="Arial"/>
          <w:color w:val="000000" w:themeColor="text1"/>
          <w:szCs w:val="20"/>
          <w:lang w:eastAsia="pl-PL"/>
        </w:rPr>
        <w:t>recykling wybranych polimerów</w:t>
      </w:r>
      <w:r w:rsidR="00F75F16" w:rsidRPr="003478AF">
        <w:rPr>
          <w:rFonts w:eastAsia="Times New Roman" w:cs="Arial"/>
          <w:color w:val="000000" w:themeColor="text1"/>
          <w:szCs w:val="20"/>
          <w:lang w:eastAsia="pl-PL"/>
        </w:rPr>
        <w:t>;</w:t>
      </w:r>
    </w:p>
    <w:p w14:paraId="16CDF04E" w14:textId="6FBA8E82" w:rsidR="00FA2BB9" w:rsidRPr="003478AF" w:rsidRDefault="00FA2BB9" w:rsidP="00132A23">
      <w:pPr>
        <w:numPr>
          <w:ilvl w:val="1"/>
          <w:numId w:val="8"/>
        </w:numPr>
        <w:shd w:val="clear" w:color="auto" w:fill="FFFFFF"/>
        <w:tabs>
          <w:tab w:val="clear" w:pos="1440"/>
        </w:tabs>
        <w:ind w:left="993" w:hanging="284"/>
        <w:rPr>
          <w:rFonts w:eastAsia="Times New Roman" w:cs="Arial"/>
          <w:color w:val="000000" w:themeColor="text1"/>
          <w:szCs w:val="20"/>
          <w:lang w:eastAsia="pl-PL"/>
        </w:rPr>
      </w:pPr>
      <w:r w:rsidRPr="003478AF">
        <w:rPr>
          <w:rFonts w:eastAsia="Times New Roman" w:cs="Arial"/>
          <w:color w:val="000000" w:themeColor="text1"/>
          <w:szCs w:val="20"/>
          <w:lang w:eastAsia="pl-PL"/>
        </w:rPr>
        <w:t>recykling papieru, szkła, metali</w:t>
      </w:r>
      <w:r w:rsidR="00F75F16" w:rsidRPr="003478AF">
        <w:rPr>
          <w:rFonts w:eastAsia="Times New Roman" w:cs="Arial"/>
          <w:color w:val="000000" w:themeColor="text1"/>
          <w:szCs w:val="20"/>
          <w:lang w:eastAsia="pl-PL"/>
        </w:rPr>
        <w:t>;</w:t>
      </w:r>
    </w:p>
    <w:p w14:paraId="7588A079" w14:textId="62FA0DAE" w:rsidR="00FA2BB9" w:rsidRPr="003478AF" w:rsidRDefault="00FA2BB9" w:rsidP="00132A23">
      <w:pPr>
        <w:numPr>
          <w:ilvl w:val="1"/>
          <w:numId w:val="8"/>
        </w:numPr>
        <w:shd w:val="clear" w:color="auto" w:fill="FFFFFF"/>
        <w:tabs>
          <w:tab w:val="clear" w:pos="1440"/>
        </w:tabs>
        <w:ind w:left="993" w:hanging="284"/>
        <w:rPr>
          <w:rFonts w:eastAsia="Times New Roman" w:cs="Arial"/>
          <w:color w:val="000000" w:themeColor="text1"/>
          <w:szCs w:val="20"/>
          <w:lang w:eastAsia="pl-PL"/>
        </w:rPr>
      </w:pPr>
      <w:r w:rsidRPr="003478AF">
        <w:rPr>
          <w:rFonts w:eastAsia="Times New Roman" w:cs="Arial"/>
          <w:color w:val="000000" w:themeColor="text1"/>
          <w:szCs w:val="20"/>
          <w:lang w:eastAsia="pl-PL"/>
        </w:rPr>
        <w:t>recykling opakowań wielomateriałowych</w:t>
      </w:r>
      <w:r w:rsidR="00F75F16" w:rsidRPr="003478AF">
        <w:rPr>
          <w:rFonts w:eastAsia="Times New Roman" w:cs="Arial"/>
          <w:color w:val="000000" w:themeColor="text1"/>
          <w:szCs w:val="20"/>
          <w:lang w:eastAsia="pl-PL"/>
        </w:rPr>
        <w:t>;</w:t>
      </w:r>
    </w:p>
    <w:p w14:paraId="15812E62" w14:textId="19865868" w:rsidR="00FA2BB9" w:rsidRPr="003478AF" w:rsidRDefault="00FA2BB9" w:rsidP="00132A23">
      <w:pPr>
        <w:numPr>
          <w:ilvl w:val="1"/>
          <w:numId w:val="8"/>
        </w:numPr>
        <w:shd w:val="clear" w:color="auto" w:fill="FFFFFF"/>
        <w:tabs>
          <w:tab w:val="clear" w:pos="1440"/>
        </w:tabs>
        <w:ind w:left="993" w:hanging="284"/>
        <w:rPr>
          <w:rFonts w:eastAsia="Times New Roman" w:cs="Arial"/>
          <w:color w:val="000000" w:themeColor="text1"/>
          <w:szCs w:val="20"/>
          <w:lang w:eastAsia="pl-PL"/>
        </w:rPr>
      </w:pPr>
      <w:r w:rsidRPr="003478AF">
        <w:rPr>
          <w:rFonts w:eastAsia="Times New Roman" w:cs="Arial"/>
          <w:color w:val="000000" w:themeColor="text1"/>
          <w:szCs w:val="20"/>
          <w:lang w:eastAsia="pl-PL"/>
        </w:rPr>
        <w:t>dobór i optymalizacja technologii recyklingu dla odpadów</w:t>
      </w:r>
      <w:r w:rsidR="00F53E9D" w:rsidRPr="003478AF">
        <w:rPr>
          <w:rFonts w:eastAsia="Times New Roman" w:cs="Arial"/>
          <w:color w:val="000000" w:themeColor="text1"/>
          <w:szCs w:val="20"/>
          <w:lang w:eastAsia="pl-PL"/>
        </w:rPr>
        <w:t xml:space="preserve"> budowlanych </w:t>
      </w:r>
      <w:r w:rsidR="001B0CB3" w:rsidRPr="003478AF">
        <w:rPr>
          <w:rFonts w:eastAsia="Times New Roman" w:cs="Arial"/>
          <w:color w:val="000000" w:themeColor="text1"/>
          <w:szCs w:val="20"/>
          <w:lang w:eastAsia="pl-PL"/>
        </w:rPr>
        <w:br/>
      </w:r>
      <w:r w:rsidR="00F53E9D" w:rsidRPr="003478AF">
        <w:rPr>
          <w:rFonts w:eastAsia="Times New Roman" w:cs="Arial"/>
          <w:color w:val="000000" w:themeColor="text1"/>
          <w:szCs w:val="20"/>
          <w:lang w:eastAsia="pl-PL"/>
        </w:rPr>
        <w:t>i rozbiórkowych</w:t>
      </w:r>
      <w:r w:rsidR="00F75F16" w:rsidRPr="003478AF">
        <w:rPr>
          <w:rFonts w:eastAsia="Times New Roman" w:cs="Arial"/>
          <w:color w:val="000000" w:themeColor="text1"/>
          <w:szCs w:val="20"/>
          <w:lang w:eastAsia="pl-PL"/>
        </w:rPr>
        <w:t>;</w:t>
      </w:r>
    </w:p>
    <w:p w14:paraId="17DD12C9" w14:textId="485EA394" w:rsidR="00FA2BB9" w:rsidRPr="003478AF" w:rsidRDefault="00FA2BB9" w:rsidP="00132A23">
      <w:pPr>
        <w:numPr>
          <w:ilvl w:val="1"/>
          <w:numId w:val="8"/>
        </w:numPr>
        <w:shd w:val="clear" w:color="auto" w:fill="FFFFFF"/>
        <w:tabs>
          <w:tab w:val="clear" w:pos="1440"/>
        </w:tabs>
        <w:ind w:left="993" w:hanging="284"/>
        <w:rPr>
          <w:rFonts w:eastAsia="Times New Roman" w:cs="Arial"/>
          <w:color w:val="000000" w:themeColor="text1"/>
          <w:szCs w:val="20"/>
          <w:lang w:eastAsia="pl-PL"/>
        </w:rPr>
      </w:pPr>
      <w:r w:rsidRPr="003478AF">
        <w:rPr>
          <w:rFonts w:eastAsia="Times New Roman" w:cs="Arial"/>
          <w:color w:val="000000" w:themeColor="text1"/>
          <w:szCs w:val="20"/>
          <w:lang w:eastAsia="pl-PL"/>
        </w:rPr>
        <w:t>technologie przygotowania do recyklingu frakcji materiałowych wraz z ich optymalizacją</w:t>
      </w:r>
      <w:r w:rsidR="00F75F16" w:rsidRPr="003478AF">
        <w:rPr>
          <w:rFonts w:eastAsia="Times New Roman" w:cs="Arial"/>
          <w:color w:val="000000" w:themeColor="text1"/>
          <w:szCs w:val="20"/>
          <w:lang w:eastAsia="pl-PL"/>
        </w:rPr>
        <w:t>;</w:t>
      </w:r>
    </w:p>
    <w:p w14:paraId="172670CE" w14:textId="0F59053C" w:rsidR="00FA2BB9" w:rsidRPr="003478AF" w:rsidRDefault="00FA2BB9" w:rsidP="00132A23">
      <w:pPr>
        <w:numPr>
          <w:ilvl w:val="1"/>
          <w:numId w:val="8"/>
        </w:numPr>
        <w:shd w:val="clear" w:color="auto" w:fill="FFFFFF"/>
        <w:tabs>
          <w:tab w:val="clear" w:pos="1440"/>
        </w:tabs>
        <w:ind w:left="993" w:hanging="284"/>
        <w:rPr>
          <w:rFonts w:eastAsia="Times New Roman" w:cs="Arial"/>
          <w:color w:val="000000" w:themeColor="text1"/>
          <w:szCs w:val="20"/>
          <w:lang w:eastAsia="pl-PL"/>
        </w:rPr>
      </w:pPr>
      <w:r w:rsidRPr="003478AF">
        <w:rPr>
          <w:rFonts w:eastAsia="Times New Roman" w:cs="Arial"/>
          <w:color w:val="000000" w:themeColor="text1"/>
          <w:szCs w:val="20"/>
          <w:lang w:eastAsia="pl-PL"/>
        </w:rPr>
        <w:t>ocena jakości wód powierzchniowych w odniesieniu do zagospodarowani</w:t>
      </w:r>
      <w:r w:rsidR="00A32311" w:rsidRPr="003478AF">
        <w:rPr>
          <w:rFonts w:eastAsia="Times New Roman" w:cs="Arial"/>
          <w:color w:val="000000" w:themeColor="text1"/>
          <w:szCs w:val="20"/>
          <w:lang w:eastAsia="pl-PL"/>
        </w:rPr>
        <w:t>a</w:t>
      </w:r>
      <w:r w:rsidRPr="003478AF">
        <w:rPr>
          <w:rFonts w:eastAsia="Times New Roman" w:cs="Arial"/>
          <w:color w:val="000000" w:themeColor="text1"/>
          <w:szCs w:val="20"/>
          <w:lang w:eastAsia="pl-PL"/>
        </w:rPr>
        <w:t xml:space="preserve"> zlewni</w:t>
      </w:r>
      <w:r w:rsidR="00F75F16" w:rsidRPr="003478AF">
        <w:rPr>
          <w:rFonts w:eastAsia="Times New Roman" w:cs="Arial"/>
          <w:color w:val="000000" w:themeColor="text1"/>
          <w:szCs w:val="20"/>
          <w:lang w:eastAsia="pl-PL"/>
        </w:rPr>
        <w:t>;</w:t>
      </w:r>
    </w:p>
    <w:p w14:paraId="38C242C3" w14:textId="78220B41" w:rsidR="00FA2BB9" w:rsidRPr="003478AF" w:rsidRDefault="00FA2BB9" w:rsidP="00132A23">
      <w:pPr>
        <w:numPr>
          <w:ilvl w:val="1"/>
          <w:numId w:val="8"/>
        </w:numPr>
        <w:shd w:val="clear" w:color="auto" w:fill="FFFFFF"/>
        <w:tabs>
          <w:tab w:val="clear" w:pos="1440"/>
        </w:tabs>
        <w:ind w:left="993" w:hanging="284"/>
        <w:rPr>
          <w:rFonts w:eastAsia="Times New Roman" w:cs="Arial"/>
          <w:color w:val="000000" w:themeColor="text1"/>
          <w:szCs w:val="20"/>
          <w:lang w:eastAsia="pl-PL"/>
        </w:rPr>
      </w:pPr>
      <w:r w:rsidRPr="003478AF">
        <w:rPr>
          <w:rFonts w:eastAsia="Times New Roman" w:cs="Arial"/>
          <w:color w:val="000000" w:themeColor="text1"/>
          <w:szCs w:val="20"/>
          <w:lang w:eastAsia="pl-PL"/>
        </w:rPr>
        <w:t>oznaczanie stężenia związków oraz stężenia zapachu emitowanych do atmosfery podczas poszczególnych procesów przetwarzania odpadów</w:t>
      </w:r>
      <w:r w:rsidR="00F75F16" w:rsidRPr="003478AF">
        <w:rPr>
          <w:rFonts w:eastAsia="Times New Roman" w:cs="Arial"/>
          <w:color w:val="000000" w:themeColor="text1"/>
          <w:szCs w:val="20"/>
          <w:lang w:eastAsia="pl-PL"/>
        </w:rPr>
        <w:t>;</w:t>
      </w:r>
    </w:p>
    <w:p w14:paraId="0F8807F6" w14:textId="0592DB55" w:rsidR="00FA2BB9" w:rsidRPr="003478AF" w:rsidRDefault="00FA2BB9" w:rsidP="00132A23">
      <w:pPr>
        <w:numPr>
          <w:ilvl w:val="1"/>
          <w:numId w:val="8"/>
        </w:numPr>
        <w:shd w:val="clear" w:color="auto" w:fill="FFFFFF"/>
        <w:tabs>
          <w:tab w:val="clear" w:pos="1440"/>
        </w:tabs>
        <w:ind w:left="993" w:hanging="284"/>
        <w:rPr>
          <w:rFonts w:eastAsia="Times New Roman" w:cs="Arial"/>
          <w:color w:val="000000" w:themeColor="text1"/>
          <w:szCs w:val="20"/>
          <w:lang w:eastAsia="pl-PL"/>
        </w:rPr>
      </w:pPr>
      <w:r w:rsidRPr="003478AF">
        <w:rPr>
          <w:rFonts w:eastAsia="Times New Roman" w:cs="Arial"/>
          <w:color w:val="000000" w:themeColor="text1"/>
          <w:szCs w:val="20"/>
          <w:lang w:eastAsia="pl-PL"/>
        </w:rPr>
        <w:t xml:space="preserve">opracowanie warunków wykorzystania stłuczki szklanej jako zamiennika części cementu </w:t>
      </w:r>
      <w:r w:rsidR="00A85042" w:rsidRPr="003478AF">
        <w:rPr>
          <w:rFonts w:eastAsia="Times New Roman" w:cs="Arial"/>
          <w:color w:val="000000" w:themeColor="text1"/>
          <w:szCs w:val="20"/>
          <w:lang w:eastAsia="pl-PL"/>
        </w:rPr>
        <w:t>lub</w:t>
      </w:r>
      <w:r w:rsidRPr="003478AF">
        <w:rPr>
          <w:rFonts w:eastAsia="Times New Roman" w:cs="Arial"/>
          <w:color w:val="000000" w:themeColor="text1"/>
          <w:szCs w:val="20"/>
          <w:lang w:eastAsia="pl-PL"/>
        </w:rPr>
        <w:t xml:space="preserve"> kruszywa drobnego w betonach cementowych</w:t>
      </w:r>
      <w:r w:rsidR="00F75F16" w:rsidRPr="003478AF">
        <w:rPr>
          <w:rFonts w:eastAsia="Times New Roman" w:cs="Arial"/>
          <w:color w:val="000000" w:themeColor="text1"/>
          <w:szCs w:val="20"/>
          <w:lang w:eastAsia="pl-PL"/>
        </w:rPr>
        <w:t>;</w:t>
      </w:r>
    </w:p>
    <w:p w14:paraId="70A62907" w14:textId="6DF50366" w:rsidR="00FA2BB9" w:rsidRPr="003478AF" w:rsidRDefault="00FA2BB9" w:rsidP="00132A23">
      <w:pPr>
        <w:numPr>
          <w:ilvl w:val="1"/>
          <w:numId w:val="8"/>
        </w:numPr>
        <w:shd w:val="clear" w:color="auto" w:fill="FFFFFF"/>
        <w:tabs>
          <w:tab w:val="clear" w:pos="1440"/>
        </w:tabs>
        <w:ind w:left="993" w:hanging="284"/>
        <w:rPr>
          <w:rFonts w:eastAsia="Times New Roman" w:cs="Arial"/>
          <w:color w:val="000000" w:themeColor="text1"/>
          <w:szCs w:val="20"/>
          <w:lang w:eastAsia="pl-PL"/>
        </w:rPr>
      </w:pPr>
      <w:r w:rsidRPr="003478AF">
        <w:rPr>
          <w:rFonts w:eastAsia="Times New Roman" w:cs="Arial"/>
          <w:color w:val="000000" w:themeColor="text1"/>
          <w:szCs w:val="20"/>
          <w:lang w:eastAsia="pl-PL"/>
        </w:rPr>
        <w:t xml:space="preserve">opracowanie warunków wykorzystania stłuczki sanitarnej jako zamiennika części cementu </w:t>
      </w:r>
      <w:r w:rsidR="00A85042" w:rsidRPr="003478AF">
        <w:rPr>
          <w:rFonts w:eastAsia="Times New Roman" w:cs="Arial"/>
          <w:color w:val="000000" w:themeColor="text1"/>
          <w:szCs w:val="20"/>
          <w:lang w:eastAsia="pl-PL"/>
        </w:rPr>
        <w:t>lub</w:t>
      </w:r>
      <w:r w:rsidRPr="003478AF">
        <w:rPr>
          <w:rFonts w:eastAsia="Times New Roman" w:cs="Arial"/>
          <w:color w:val="000000" w:themeColor="text1"/>
          <w:szCs w:val="20"/>
          <w:lang w:eastAsia="pl-PL"/>
        </w:rPr>
        <w:t xml:space="preserve"> kruszywa drobnego w betonach cementowych</w:t>
      </w:r>
      <w:r w:rsidR="00F75F16" w:rsidRPr="003478AF">
        <w:rPr>
          <w:rFonts w:eastAsia="Times New Roman" w:cs="Arial"/>
          <w:color w:val="000000" w:themeColor="text1"/>
          <w:szCs w:val="20"/>
          <w:lang w:eastAsia="pl-PL"/>
        </w:rPr>
        <w:t>;</w:t>
      </w:r>
    </w:p>
    <w:p w14:paraId="3180E861" w14:textId="27693B15" w:rsidR="00FA2BB9" w:rsidRPr="003478AF" w:rsidRDefault="00FA2BB9" w:rsidP="00132A23">
      <w:pPr>
        <w:numPr>
          <w:ilvl w:val="1"/>
          <w:numId w:val="8"/>
        </w:numPr>
        <w:shd w:val="clear" w:color="auto" w:fill="FFFFFF"/>
        <w:tabs>
          <w:tab w:val="clear" w:pos="1440"/>
        </w:tabs>
        <w:ind w:left="993" w:hanging="284"/>
        <w:rPr>
          <w:rFonts w:eastAsia="Times New Roman" w:cs="Arial"/>
          <w:color w:val="000000" w:themeColor="text1"/>
          <w:szCs w:val="20"/>
          <w:lang w:eastAsia="pl-PL"/>
        </w:rPr>
      </w:pPr>
      <w:r w:rsidRPr="003478AF">
        <w:rPr>
          <w:rFonts w:eastAsia="Times New Roman" w:cs="Arial"/>
          <w:color w:val="000000" w:themeColor="text1"/>
          <w:szCs w:val="20"/>
          <w:lang w:eastAsia="pl-PL"/>
        </w:rPr>
        <w:t>opracowanie warunków wykorzystania włókien z recyklingu butelek typu PET do betonu cementowego</w:t>
      </w:r>
      <w:r w:rsidR="00F75F16" w:rsidRPr="003478AF">
        <w:rPr>
          <w:rFonts w:eastAsia="Times New Roman" w:cs="Arial"/>
          <w:color w:val="000000" w:themeColor="text1"/>
          <w:szCs w:val="20"/>
          <w:lang w:eastAsia="pl-PL"/>
        </w:rPr>
        <w:t>;</w:t>
      </w:r>
    </w:p>
    <w:p w14:paraId="395FAE60" w14:textId="0B0C6016" w:rsidR="00FA2BB9" w:rsidRPr="003478AF" w:rsidRDefault="00FA2BB9" w:rsidP="00132A23">
      <w:pPr>
        <w:numPr>
          <w:ilvl w:val="1"/>
          <w:numId w:val="8"/>
        </w:numPr>
        <w:shd w:val="clear" w:color="auto" w:fill="FFFFFF"/>
        <w:tabs>
          <w:tab w:val="clear" w:pos="1440"/>
        </w:tabs>
        <w:ind w:left="993" w:hanging="284"/>
        <w:rPr>
          <w:rFonts w:eastAsia="Times New Roman" w:cs="Arial"/>
          <w:color w:val="000000" w:themeColor="text1"/>
          <w:szCs w:val="20"/>
          <w:lang w:eastAsia="pl-PL"/>
        </w:rPr>
      </w:pPr>
      <w:r w:rsidRPr="003478AF">
        <w:rPr>
          <w:rFonts w:eastAsia="Times New Roman" w:cs="Arial"/>
          <w:color w:val="000000" w:themeColor="text1"/>
          <w:szCs w:val="20"/>
          <w:lang w:eastAsia="pl-PL"/>
        </w:rPr>
        <w:t>opracowanie warunków wykorzystania kruszywa z recyklingu jako zamiennika kruszywa naturalnego w betonie cementowym</w:t>
      </w:r>
      <w:r w:rsidR="00F75F16" w:rsidRPr="003478AF">
        <w:rPr>
          <w:rFonts w:eastAsia="Times New Roman" w:cs="Arial"/>
          <w:color w:val="000000" w:themeColor="text1"/>
          <w:szCs w:val="20"/>
          <w:lang w:eastAsia="pl-PL"/>
        </w:rPr>
        <w:t>;</w:t>
      </w:r>
    </w:p>
    <w:p w14:paraId="26B16A40" w14:textId="614E37C5" w:rsidR="00FA2BB9" w:rsidRPr="003478AF" w:rsidRDefault="00FA2BB9" w:rsidP="00132A23">
      <w:pPr>
        <w:numPr>
          <w:ilvl w:val="1"/>
          <w:numId w:val="8"/>
        </w:numPr>
        <w:shd w:val="clear" w:color="auto" w:fill="FFFFFF"/>
        <w:tabs>
          <w:tab w:val="clear" w:pos="1440"/>
        </w:tabs>
        <w:ind w:left="993" w:hanging="284"/>
        <w:rPr>
          <w:rFonts w:eastAsia="Times New Roman" w:cs="Arial"/>
          <w:color w:val="000000" w:themeColor="text1"/>
          <w:szCs w:val="20"/>
          <w:lang w:eastAsia="pl-PL"/>
        </w:rPr>
      </w:pPr>
      <w:r w:rsidRPr="003478AF">
        <w:rPr>
          <w:rFonts w:eastAsia="Times New Roman" w:cs="Arial"/>
          <w:color w:val="000000" w:themeColor="text1"/>
          <w:szCs w:val="20"/>
          <w:lang w:eastAsia="pl-PL"/>
        </w:rPr>
        <w:t xml:space="preserve">opracowanie warunków wykorzystania polimerowego kruszywa z recyklingu jako </w:t>
      </w:r>
      <w:r w:rsidR="00F53E9D" w:rsidRPr="003478AF">
        <w:rPr>
          <w:rFonts w:eastAsia="Times New Roman" w:cs="Arial"/>
          <w:color w:val="000000" w:themeColor="text1"/>
          <w:szCs w:val="20"/>
          <w:lang w:eastAsia="pl-PL"/>
        </w:rPr>
        <w:t>składnika kompozytów cementowo-</w:t>
      </w:r>
      <w:r w:rsidRPr="003478AF">
        <w:rPr>
          <w:rFonts w:eastAsia="Times New Roman" w:cs="Arial"/>
          <w:color w:val="000000" w:themeColor="text1"/>
          <w:szCs w:val="20"/>
          <w:lang w:eastAsia="pl-PL"/>
        </w:rPr>
        <w:t>polimerowych</w:t>
      </w:r>
      <w:r w:rsidR="00F75F16" w:rsidRPr="003478AF">
        <w:rPr>
          <w:rFonts w:eastAsia="Times New Roman" w:cs="Arial"/>
          <w:color w:val="000000" w:themeColor="text1"/>
          <w:szCs w:val="20"/>
          <w:lang w:eastAsia="pl-PL"/>
        </w:rPr>
        <w:t>;</w:t>
      </w:r>
    </w:p>
    <w:p w14:paraId="7F45D6C3" w14:textId="3EDE7616" w:rsidR="00FA2BB9" w:rsidRPr="003478AF" w:rsidRDefault="00FA2BB9" w:rsidP="00132A23">
      <w:pPr>
        <w:numPr>
          <w:ilvl w:val="1"/>
          <w:numId w:val="8"/>
        </w:numPr>
        <w:shd w:val="clear" w:color="auto" w:fill="FFFFFF"/>
        <w:tabs>
          <w:tab w:val="clear" w:pos="1440"/>
        </w:tabs>
        <w:ind w:left="993" w:hanging="284"/>
        <w:rPr>
          <w:rFonts w:eastAsia="Times New Roman" w:cs="Arial"/>
          <w:color w:val="000000" w:themeColor="text1"/>
          <w:szCs w:val="20"/>
          <w:lang w:eastAsia="pl-PL"/>
        </w:rPr>
      </w:pPr>
      <w:r w:rsidRPr="003478AF">
        <w:rPr>
          <w:rFonts w:eastAsia="Times New Roman" w:cs="Arial"/>
          <w:color w:val="000000" w:themeColor="text1"/>
          <w:szCs w:val="20"/>
          <w:lang w:eastAsia="pl-PL"/>
        </w:rPr>
        <w:lastRenderedPageBreak/>
        <w:t>stosowanie wody z recyklingu jako składnika kompozytów cementowych</w:t>
      </w:r>
      <w:r w:rsidR="00F75F16" w:rsidRPr="003478AF">
        <w:rPr>
          <w:rFonts w:eastAsia="Times New Roman" w:cs="Arial"/>
          <w:color w:val="000000" w:themeColor="text1"/>
          <w:szCs w:val="20"/>
          <w:lang w:eastAsia="pl-PL"/>
        </w:rPr>
        <w:t>;</w:t>
      </w:r>
    </w:p>
    <w:p w14:paraId="354CFBEA" w14:textId="77777777" w:rsidR="00FA2BB9" w:rsidRPr="003478AF" w:rsidRDefault="00FA2BB9" w:rsidP="00B13D49">
      <w:pPr>
        <w:numPr>
          <w:ilvl w:val="0"/>
          <w:numId w:val="8"/>
        </w:numPr>
        <w:shd w:val="clear" w:color="auto" w:fill="FFFFFF"/>
        <w:rPr>
          <w:rFonts w:eastAsia="Times New Roman" w:cs="Arial"/>
          <w:color w:val="000000" w:themeColor="text1"/>
          <w:szCs w:val="20"/>
          <w:lang w:eastAsia="pl-PL"/>
        </w:rPr>
      </w:pPr>
      <w:r w:rsidRPr="003478AF">
        <w:rPr>
          <w:rFonts w:eastAsia="Times New Roman" w:cs="Arial"/>
          <w:color w:val="000000" w:themeColor="text1"/>
          <w:szCs w:val="20"/>
          <w:lang w:eastAsia="pl-PL"/>
        </w:rPr>
        <w:t>wykorzystujące uboczne produkty procesów (o zróżnicowanych formach przekształcenia):</w:t>
      </w:r>
    </w:p>
    <w:p w14:paraId="65690A43" w14:textId="7764FD16" w:rsidR="00FA2BB9" w:rsidRPr="003478AF" w:rsidRDefault="00FA2BB9" w:rsidP="00132A23">
      <w:pPr>
        <w:numPr>
          <w:ilvl w:val="1"/>
          <w:numId w:val="8"/>
        </w:numPr>
        <w:shd w:val="clear" w:color="auto" w:fill="FFFFFF"/>
        <w:tabs>
          <w:tab w:val="clear" w:pos="1440"/>
        </w:tabs>
        <w:ind w:left="993" w:hanging="284"/>
        <w:rPr>
          <w:rFonts w:eastAsia="Times New Roman" w:cs="Arial"/>
          <w:color w:val="000000" w:themeColor="text1"/>
          <w:szCs w:val="20"/>
          <w:lang w:eastAsia="pl-PL"/>
        </w:rPr>
      </w:pPr>
      <w:r w:rsidRPr="003478AF">
        <w:rPr>
          <w:rFonts w:eastAsia="Times New Roman" w:cs="Arial"/>
          <w:color w:val="000000" w:themeColor="text1"/>
          <w:szCs w:val="20"/>
          <w:lang w:eastAsia="pl-PL"/>
        </w:rPr>
        <w:t>wykorzystanie produktów ubocznych w procesach biofiltracji (BIOZIN)</w:t>
      </w:r>
      <w:r w:rsidR="00F75F16" w:rsidRPr="003478AF">
        <w:rPr>
          <w:rFonts w:eastAsia="Times New Roman" w:cs="Arial"/>
          <w:color w:val="000000" w:themeColor="text1"/>
          <w:szCs w:val="20"/>
          <w:lang w:eastAsia="pl-PL"/>
        </w:rPr>
        <w:t>;</w:t>
      </w:r>
    </w:p>
    <w:p w14:paraId="09BB8668" w14:textId="784E1FB0" w:rsidR="00FA2BB9" w:rsidRPr="003478AF" w:rsidRDefault="00FA2BB9" w:rsidP="00132A23">
      <w:pPr>
        <w:numPr>
          <w:ilvl w:val="1"/>
          <w:numId w:val="8"/>
        </w:numPr>
        <w:shd w:val="clear" w:color="auto" w:fill="FFFFFF"/>
        <w:tabs>
          <w:tab w:val="clear" w:pos="1440"/>
        </w:tabs>
        <w:ind w:left="993" w:hanging="284"/>
        <w:rPr>
          <w:rFonts w:eastAsia="Times New Roman" w:cs="Arial"/>
          <w:color w:val="000000" w:themeColor="text1"/>
          <w:szCs w:val="20"/>
          <w:lang w:eastAsia="pl-PL"/>
        </w:rPr>
      </w:pPr>
      <w:r w:rsidRPr="003478AF">
        <w:rPr>
          <w:rFonts w:eastAsia="Times New Roman" w:cs="Arial"/>
          <w:color w:val="000000" w:themeColor="text1"/>
          <w:szCs w:val="20"/>
          <w:lang w:eastAsia="pl-PL"/>
        </w:rPr>
        <w:t>opracowywanie technologii pozwalających na utratę statusu odpadów</w:t>
      </w:r>
      <w:r w:rsidR="00F75F16" w:rsidRPr="003478AF">
        <w:rPr>
          <w:rFonts w:eastAsia="Times New Roman" w:cs="Arial"/>
          <w:color w:val="000000" w:themeColor="text1"/>
          <w:szCs w:val="20"/>
          <w:lang w:eastAsia="pl-PL"/>
        </w:rPr>
        <w:t>;</w:t>
      </w:r>
    </w:p>
    <w:p w14:paraId="7A2003FE" w14:textId="682295F3" w:rsidR="00FA2BB9" w:rsidRPr="003478AF" w:rsidRDefault="00FA2BB9" w:rsidP="00132A23">
      <w:pPr>
        <w:numPr>
          <w:ilvl w:val="1"/>
          <w:numId w:val="8"/>
        </w:numPr>
        <w:shd w:val="clear" w:color="auto" w:fill="FFFFFF"/>
        <w:tabs>
          <w:tab w:val="clear" w:pos="1440"/>
        </w:tabs>
        <w:ind w:left="993" w:hanging="284"/>
        <w:rPr>
          <w:rFonts w:eastAsia="Times New Roman" w:cs="Arial"/>
          <w:color w:val="000000" w:themeColor="text1"/>
          <w:szCs w:val="20"/>
          <w:lang w:eastAsia="pl-PL"/>
        </w:rPr>
      </w:pPr>
      <w:r w:rsidRPr="003478AF">
        <w:rPr>
          <w:rFonts w:eastAsia="Times New Roman" w:cs="Arial"/>
          <w:color w:val="000000" w:themeColor="text1"/>
          <w:szCs w:val="20"/>
          <w:lang w:eastAsia="pl-PL"/>
        </w:rPr>
        <w:t>technologie wykorzystujące produkty uboczne w ochronie środowiska (rekultywacja, wytwarzanie zielonej energii)</w:t>
      </w:r>
      <w:r w:rsidR="00F75F16" w:rsidRPr="003478AF">
        <w:rPr>
          <w:rFonts w:eastAsia="Times New Roman" w:cs="Arial"/>
          <w:color w:val="000000" w:themeColor="text1"/>
          <w:szCs w:val="20"/>
          <w:lang w:eastAsia="pl-PL"/>
        </w:rPr>
        <w:t>;</w:t>
      </w:r>
    </w:p>
    <w:p w14:paraId="39461AAA" w14:textId="11DF8497" w:rsidR="00FA2BB9" w:rsidRPr="003478AF" w:rsidRDefault="00FA2BB9" w:rsidP="00132A23">
      <w:pPr>
        <w:numPr>
          <w:ilvl w:val="1"/>
          <w:numId w:val="8"/>
        </w:numPr>
        <w:shd w:val="clear" w:color="auto" w:fill="FFFFFF"/>
        <w:tabs>
          <w:tab w:val="clear" w:pos="1440"/>
        </w:tabs>
        <w:ind w:left="993" w:hanging="284"/>
        <w:rPr>
          <w:rFonts w:eastAsia="Times New Roman" w:cs="Arial"/>
          <w:color w:val="000000" w:themeColor="text1"/>
          <w:szCs w:val="20"/>
          <w:lang w:eastAsia="pl-PL"/>
        </w:rPr>
      </w:pPr>
      <w:r w:rsidRPr="003478AF">
        <w:rPr>
          <w:rFonts w:eastAsia="Times New Roman" w:cs="Arial"/>
          <w:color w:val="000000" w:themeColor="text1"/>
          <w:szCs w:val="20"/>
          <w:lang w:eastAsia="pl-PL"/>
        </w:rPr>
        <w:t>wykorzystanie odpadów budowlanych w procesach oczyszczania wód opadowych</w:t>
      </w:r>
      <w:r w:rsidR="00F75F16" w:rsidRPr="003478AF">
        <w:rPr>
          <w:rFonts w:eastAsia="Times New Roman" w:cs="Arial"/>
          <w:color w:val="000000" w:themeColor="text1"/>
          <w:szCs w:val="20"/>
          <w:lang w:eastAsia="pl-PL"/>
        </w:rPr>
        <w:t>;</w:t>
      </w:r>
    </w:p>
    <w:p w14:paraId="5179BB1B" w14:textId="46EE4B41" w:rsidR="00FA2BB9" w:rsidRPr="003478AF" w:rsidRDefault="00FA2BB9" w:rsidP="00132A23">
      <w:pPr>
        <w:numPr>
          <w:ilvl w:val="1"/>
          <w:numId w:val="8"/>
        </w:numPr>
        <w:shd w:val="clear" w:color="auto" w:fill="FFFFFF"/>
        <w:tabs>
          <w:tab w:val="clear" w:pos="1440"/>
        </w:tabs>
        <w:ind w:left="993" w:hanging="284"/>
        <w:rPr>
          <w:rFonts w:eastAsia="Times New Roman" w:cs="Arial"/>
          <w:color w:val="000000" w:themeColor="text1"/>
          <w:szCs w:val="20"/>
          <w:lang w:eastAsia="pl-PL"/>
        </w:rPr>
      </w:pPr>
      <w:r w:rsidRPr="003478AF">
        <w:rPr>
          <w:rFonts w:eastAsia="Times New Roman" w:cs="Arial"/>
          <w:color w:val="000000" w:themeColor="text1"/>
          <w:szCs w:val="20"/>
          <w:lang w:eastAsia="pl-PL"/>
        </w:rPr>
        <w:t>zastosowanie naturalnych adsorbentów w procesie demobilizacji zanieczyszczeń – metali w zbiornikach i ciekach wód powierzchniowych</w:t>
      </w:r>
      <w:r w:rsidR="00F75F16" w:rsidRPr="003478AF">
        <w:rPr>
          <w:rFonts w:eastAsia="Times New Roman" w:cs="Arial"/>
          <w:color w:val="000000" w:themeColor="text1"/>
          <w:szCs w:val="20"/>
          <w:lang w:eastAsia="pl-PL"/>
        </w:rPr>
        <w:t>;</w:t>
      </w:r>
    </w:p>
    <w:p w14:paraId="460BE25C" w14:textId="21891389" w:rsidR="00FA2BB9" w:rsidRPr="003478AF" w:rsidRDefault="00FA2BB9" w:rsidP="00132A23">
      <w:pPr>
        <w:numPr>
          <w:ilvl w:val="1"/>
          <w:numId w:val="8"/>
        </w:numPr>
        <w:shd w:val="clear" w:color="auto" w:fill="FFFFFF"/>
        <w:tabs>
          <w:tab w:val="clear" w:pos="1440"/>
        </w:tabs>
        <w:ind w:left="993" w:hanging="284"/>
        <w:rPr>
          <w:rFonts w:eastAsia="Times New Roman" w:cs="Arial"/>
          <w:color w:val="000000" w:themeColor="text1"/>
          <w:szCs w:val="20"/>
          <w:lang w:eastAsia="pl-PL"/>
        </w:rPr>
      </w:pPr>
      <w:r w:rsidRPr="003478AF">
        <w:rPr>
          <w:rFonts w:eastAsia="Times New Roman" w:cs="Arial"/>
          <w:color w:val="000000" w:themeColor="text1"/>
          <w:szCs w:val="20"/>
          <w:lang w:eastAsia="pl-PL"/>
        </w:rPr>
        <w:t xml:space="preserve">przetwarzanie odpadów ulegających biodegradacji zebranych selektywnie: proces fermentacji metanowej – produkcja energii elektrycznej – uzyskanie kompostu </w:t>
      </w:r>
      <w:r w:rsidR="00132A23" w:rsidRPr="003478AF">
        <w:rPr>
          <w:rFonts w:eastAsia="Times New Roman" w:cs="Arial"/>
          <w:color w:val="000000" w:themeColor="text1"/>
          <w:szCs w:val="20"/>
          <w:lang w:eastAsia="pl-PL"/>
        </w:rPr>
        <w:br/>
      </w:r>
      <w:r w:rsidRPr="003478AF">
        <w:rPr>
          <w:rFonts w:eastAsia="Times New Roman" w:cs="Arial"/>
          <w:color w:val="000000" w:themeColor="text1"/>
          <w:szCs w:val="20"/>
          <w:lang w:eastAsia="pl-PL"/>
        </w:rPr>
        <w:t>w wyniku stabilizacji tlenowej pofermentu</w:t>
      </w:r>
      <w:r w:rsidR="00FB4F39" w:rsidRPr="003478AF">
        <w:rPr>
          <w:rFonts w:eastAsia="Times New Roman" w:cs="Arial"/>
          <w:color w:val="000000" w:themeColor="text1"/>
          <w:szCs w:val="20"/>
          <w:lang w:eastAsia="pl-PL"/>
        </w:rPr>
        <w:t>;</w:t>
      </w:r>
    </w:p>
    <w:p w14:paraId="50F7BE4F" w14:textId="77777777" w:rsidR="00FA2BB9" w:rsidRPr="003478AF" w:rsidRDefault="00FA2BB9" w:rsidP="00B13D49">
      <w:pPr>
        <w:numPr>
          <w:ilvl w:val="0"/>
          <w:numId w:val="8"/>
        </w:numPr>
        <w:shd w:val="clear" w:color="auto" w:fill="FFFFFF"/>
        <w:rPr>
          <w:rFonts w:eastAsia="Times New Roman" w:cs="Arial"/>
          <w:color w:val="000000" w:themeColor="text1"/>
          <w:szCs w:val="20"/>
          <w:lang w:eastAsia="pl-PL"/>
        </w:rPr>
      </w:pPr>
      <w:r w:rsidRPr="003478AF">
        <w:rPr>
          <w:rFonts w:eastAsia="Times New Roman" w:cs="Arial"/>
          <w:color w:val="000000" w:themeColor="text1"/>
          <w:szCs w:val="20"/>
          <w:lang w:eastAsia="pl-PL"/>
        </w:rPr>
        <w:t>inne:</w:t>
      </w:r>
    </w:p>
    <w:p w14:paraId="4B4CC333" w14:textId="6B9050BF" w:rsidR="00FA2BB9" w:rsidRPr="003478AF" w:rsidRDefault="00FB4F39" w:rsidP="00132A23">
      <w:pPr>
        <w:numPr>
          <w:ilvl w:val="1"/>
          <w:numId w:val="8"/>
        </w:numPr>
        <w:shd w:val="clear" w:color="auto" w:fill="FFFFFF"/>
        <w:tabs>
          <w:tab w:val="clear" w:pos="1440"/>
        </w:tabs>
        <w:ind w:left="993" w:hanging="284"/>
        <w:rPr>
          <w:rFonts w:eastAsia="Times New Roman" w:cs="Arial"/>
          <w:color w:val="000000" w:themeColor="text1"/>
          <w:szCs w:val="20"/>
          <w:lang w:eastAsia="pl-PL"/>
        </w:rPr>
      </w:pPr>
      <w:r w:rsidRPr="003478AF">
        <w:rPr>
          <w:rFonts w:eastAsia="Times New Roman" w:cs="Arial"/>
          <w:color w:val="000000" w:themeColor="text1"/>
          <w:szCs w:val="20"/>
          <w:lang w:eastAsia="pl-PL"/>
        </w:rPr>
        <w:t xml:space="preserve">badania </w:t>
      </w:r>
      <w:r w:rsidR="00FA2BB9" w:rsidRPr="003478AF">
        <w:rPr>
          <w:rFonts w:eastAsia="Times New Roman" w:cs="Arial"/>
          <w:color w:val="000000" w:themeColor="text1"/>
          <w:szCs w:val="20"/>
          <w:lang w:eastAsia="pl-PL"/>
        </w:rPr>
        <w:t xml:space="preserve">uwalniania metali ciężkich z popiołu z </w:t>
      </w:r>
      <w:r w:rsidR="00F53E9D" w:rsidRPr="003478AF">
        <w:rPr>
          <w:rFonts w:eastAsia="Times New Roman" w:cs="Arial"/>
          <w:color w:val="000000" w:themeColor="text1"/>
          <w:szCs w:val="20"/>
          <w:lang w:eastAsia="pl-PL"/>
        </w:rPr>
        <w:t>termicznego przekształcania komunalnych osadów ściekowych</w:t>
      </w:r>
      <w:r w:rsidR="00FA2BB9" w:rsidRPr="003478AF">
        <w:rPr>
          <w:rFonts w:eastAsia="Times New Roman" w:cs="Arial"/>
          <w:color w:val="000000" w:themeColor="text1"/>
          <w:szCs w:val="20"/>
          <w:lang w:eastAsia="pl-PL"/>
        </w:rPr>
        <w:t xml:space="preserve"> oraz zawiesiny twardniejącej na jego bazie – aspekty środowiskowe stosowania surowców antropogenicznych</w:t>
      </w:r>
      <w:r w:rsidRPr="003478AF">
        <w:rPr>
          <w:rFonts w:eastAsia="Times New Roman" w:cs="Arial"/>
          <w:color w:val="000000" w:themeColor="text1"/>
          <w:szCs w:val="20"/>
          <w:lang w:eastAsia="pl-PL"/>
        </w:rPr>
        <w:t>;</w:t>
      </w:r>
    </w:p>
    <w:p w14:paraId="5AE967F2" w14:textId="797683B4" w:rsidR="00FA2BB9" w:rsidRPr="003478AF" w:rsidRDefault="00FA2BB9" w:rsidP="00132A23">
      <w:pPr>
        <w:numPr>
          <w:ilvl w:val="1"/>
          <w:numId w:val="8"/>
        </w:numPr>
        <w:shd w:val="clear" w:color="auto" w:fill="FFFFFF"/>
        <w:tabs>
          <w:tab w:val="clear" w:pos="1440"/>
        </w:tabs>
        <w:ind w:left="993" w:hanging="284"/>
        <w:rPr>
          <w:rFonts w:eastAsia="Times New Roman" w:cs="Arial"/>
          <w:color w:val="000000" w:themeColor="text1"/>
          <w:szCs w:val="20"/>
          <w:lang w:eastAsia="pl-PL"/>
        </w:rPr>
      </w:pPr>
      <w:r w:rsidRPr="003478AF">
        <w:rPr>
          <w:rFonts w:eastAsia="Times New Roman" w:cs="Arial"/>
          <w:color w:val="000000" w:themeColor="text1"/>
          <w:szCs w:val="20"/>
          <w:lang w:eastAsia="pl-PL"/>
        </w:rPr>
        <w:t xml:space="preserve">optymalizacja technologiczna selektywnej zbiórki odpadów komunalnych </w:t>
      </w:r>
      <w:r w:rsidRPr="003478AF">
        <w:rPr>
          <w:rFonts w:eastAsia="Times New Roman" w:cs="Arial"/>
          <w:color w:val="000000" w:themeColor="text1"/>
          <w:szCs w:val="20"/>
          <w:lang w:eastAsia="pl-PL"/>
        </w:rPr>
        <w:br/>
        <w:t>i przemysłowych, pozwalająca na maksymalizację ich recyklingu</w:t>
      </w:r>
      <w:r w:rsidR="00FB4F39" w:rsidRPr="003478AF">
        <w:rPr>
          <w:rFonts w:eastAsia="Times New Roman" w:cs="Arial"/>
          <w:color w:val="000000" w:themeColor="text1"/>
          <w:szCs w:val="20"/>
          <w:lang w:eastAsia="pl-PL"/>
        </w:rPr>
        <w:t>;</w:t>
      </w:r>
    </w:p>
    <w:p w14:paraId="4745A8BF" w14:textId="77777777" w:rsidR="00FA2BB9" w:rsidRPr="003478AF" w:rsidRDefault="00FA2BB9" w:rsidP="00132A23">
      <w:pPr>
        <w:numPr>
          <w:ilvl w:val="1"/>
          <w:numId w:val="8"/>
        </w:numPr>
        <w:shd w:val="clear" w:color="auto" w:fill="FFFFFF"/>
        <w:tabs>
          <w:tab w:val="clear" w:pos="1440"/>
        </w:tabs>
        <w:ind w:left="993" w:hanging="284"/>
        <w:rPr>
          <w:rFonts w:eastAsia="Times New Roman" w:cs="Arial"/>
          <w:color w:val="000000" w:themeColor="text1"/>
          <w:szCs w:val="20"/>
          <w:lang w:eastAsia="pl-PL"/>
        </w:rPr>
      </w:pPr>
      <w:r w:rsidRPr="003478AF">
        <w:rPr>
          <w:rFonts w:eastAsia="Times New Roman" w:cs="Arial"/>
          <w:color w:val="000000" w:themeColor="text1"/>
          <w:szCs w:val="20"/>
          <w:lang w:eastAsia="pl-PL"/>
        </w:rPr>
        <w:t>analiza zmian jakościowych biomasy w łańcuchu dostaw.</w:t>
      </w:r>
    </w:p>
    <w:p w14:paraId="10061F80" w14:textId="77777777" w:rsidR="002C0F55" w:rsidRPr="003478AF" w:rsidRDefault="002C0F55" w:rsidP="00CB03AA">
      <w:pPr>
        <w:rPr>
          <w:rFonts w:cs="Arial"/>
          <w:szCs w:val="20"/>
        </w:rPr>
      </w:pPr>
    </w:p>
    <w:p w14:paraId="50BC75F3" w14:textId="0ED72CFE" w:rsidR="00FA2BB9" w:rsidRPr="003478AF" w:rsidRDefault="00FA2BB9" w:rsidP="00EB2595">
      <w:pPr>
        <w:rPr>
          <w:rFonts w:cs="Arial"/>
          <w:szCs w:val="20"/>
        </w:rPr>
      </w:pPr>
      <w:r w:rsidRPr="003478AF">
        <w:rPr>
          <w:rFonts w:cs="Arial"/>
          <w:szCs w:val="20"/>
        </w:rPr>
        <w:t xml:space="preserve">Jednym z nietypowych odpadów sektora przemysłowego są odpady poprodukcyjne. </w:t>
      </w:r>
      <w:r w:rsidR="00FB4F39" w:rsidRPr="003478AF">
        <w:rPr>
          <w:rFonts w:cs="Arial"/>
          <w:szCs w:val="20"/>
        </w:rPr>
        <w:t>Przykładem</w:t>
      </w:r>
      <w:r w:rsidRPr="003478AF">
        <w:rPr>
          <w:rFonts w:cs="Arial"/>
          <w:szCs w:val="20"/>
        </w:rPr>
        <w:t xml:space="preserve"> w </w:t>
      </w:r>
      <w:r w:rsidR="00F53E9D" w:rsidRPr="003478AF">
        <w:rPr>
          <w:rFonts w:cs="Arial"/>
          <w:szCs w:val="20"/>
        </w:rPr>
        <w:t>województwie w</w:t>
      </w:r>
      <w:r w:rsidRPr="003478AF">
        <w:rPr>
          <w:rFonts w:cs="Arial"/>
          <w:szCs w:val="20"/>
        </w:rPr>
        <w:t xml:space="preserve">ielkopolskim są odpady po produkcji mebli. Zdecydowaną większość ubocznych produktów powstających podczas produkcji mebli (zwłaszcza skrzyniowych) stanowią materiały drewnopochodne. Niestety nie są to odpady które można potraktować jak odpady drewniane łatwe do zagospodarowania </w:t>
      </w:r>
      <w:r w:rsidR="00AF3F56" w:rsidRPr="003478AF">
        <w:rPr>
          <w:rFonts w:cs="Arial"/>
          <w:szCs w:val="20"/>
        </w:rPr>
        <w:t xml:space="preserve">np. </w:t>
      </w:r>
      <w:r w:rsidRPr="003478AF">
        <w:rPr>
          <w:rFonts w:cs="Arial"/>
          <w:szCs w:val="20"/>
        </w:rPr>
        <w:t>poprzez spal</w:t>
      </w:r>
      <w:r w:rsidR="00AF3F56" w:rsidRPr="003478AF">
        <w:rPr>
          <w:rFonts w:cs="Arial"/>
          <w:szCs w:val="20"/>
        </w:rPr>
        <w:t>a</w:t>
      </w:r>
      <w:r w:rsidRPr="003478AF">
        <w:rPr>
          <w:rFonts w:cs="Arial"/>
          <w:szCs w:val="20"/>
        </w:rPr>
        <w:t xml:space="preserve">nie. Niestety w odpadach tego typu oprócz elementów pozyskanych z czystego drewna (np. trocin) </w:t>
      </w:r>
      <w:r w:rsidR="00CD643B" w:rsidRPr="003478AF">
        <w:rPr>
          <w:rFonts w:cs="Arial"/>
          <w:szCs w:val="20"/>
        </w:rPr>
        <w:t>zawarte są (</w:t>
      </w:r>
      <w:r w:rsidRPr="003478AF">
        <w:rPr>
          <w:rFonts w:cs="Arial"/>
          <w:szCs w:val="20"/>
        </w:rPr>
        <w:t xml:space="preserve">w zasadzie </w:t>
      </w:r>
      <w:r w:rsidR="00CD643B" w:rsidRPr="003478AF">
        <w:rPr>
          <w:rFonts w:cs="Arial"/>
          <w:szCs w:val="20"/>
        </w:rPr>
        <w:t xml:space="preserve">we </w:t>
      </w:r>
      <w:r w:rsidRPr="003478AF">
        <w:rPr>
          <w:rFonts w:cs="Arial"/>
          <w:szCs w:val="20"/>
        </w:rPr>
        <w:t>wszystki</w:t>
      </w:r>
      <w:r w:rsidR="00CD643B" w:rsidRPr="003478AF">
        <w:rPr>
          <w:rFonts w:cs="Arial"/>
          <w:szCs w:val="20"/>
        </w:rPr>
        <w:t>ch</w:t>
      </w:r>
      <w:r w:rsidRPr="003478AF">
        <w:rPr>
          <w:rFonts w:cs="Arial"/>
          <w:szCs w:val="20"/>
        </w:rPr>
        <w:t xml:space="preserve"> wykorzystywan</w:t>
      </w:r>
      <w:r w:rsidR="00CD643B" w:rsidRPr="003478AF">
        <w:rPr>
          <w:rFonts w:cs="Arial"/>
          <w:szCs w:val="20"/>
        </w:rPr>
        <w:t>ych</w:t>
      </w:r>
      <w:r w:rsidRPr="003478AF">
        <w:rPr>
          <w:rFonts w:cs="Arial"/>
          <w:szCs w:val="20"/>
        </w:rPr>
        <w:t xml:space="preserve"> obecnie w meblarstwie </w:t>
      </w:r>
      <w:r w:rsidR="00CD643B" w:rsidRPr="003478AF">
        <w:rPr>
          <w:rFonts w:cs="Arial"/>
          <w:szCs w:val="20"/>
        </w:rPr>
        <w:t xml:space="preserve">materiałach) </w:t>
      </w:r>
      <w:r w:rsidRPr="003478AF">
        <w:rPr>
          <w:rFonts w:cs="Arial"/>
          <w:szCs w:val="20"/>
        </w:rPr>
        <w:t>środki chemiczne (m.in. związki chlorowcoorganiczne), które w procesie spalania uwalniają do atmosfery szkodliwe substancje. Dlatego też produkty, które zawierają kleje, lakiery, oleje, utwardzacze, środki do konserwacji i impregnacji drewna, a także materiały tapicerskie</w:t>
      </w:r>
      <w:r w:rsidR="00AF3F56" w:rsidRPr="003478AF">
        <w:rPr>
          <w:rFonts w:cs="Arial"/>
          <w:szCs w:val="20"/>
        </w:rPr>
        <w:t>,</w:t>
      </w:r>
      <w:r w:rsidRPr="003478AF">
        <w:rPr>
          <w:rFonts w:cs="Arial"/>
          <w:szCs w:val="20"/>
        </w:rPr>
        <w:t xml:space="preserve"> takie jak pianki czy lateks, należy poddać odpowiedniej utylizacji. Odbywa się to poprzez spal</w:t>
      </w:r>
      <w:r w:rsidR="00AF3F56" w:rsidRPr="003478AF">
        <w:rPr>
          <w:rFonts w:cs="Arial"/>
          <w:szCs w:val="20"/>
        </w:rPr>
        <w:t>a</w:t>
      </w:r>
      <w:r w:rsidRPr="003478AF">
        <w:rPr>
          <w:rFonts w:cs="Arial"/>
          <w:szCs w:val="20"/>
        </w:rPr>
        <w:t xml:space="preserve">nie w specjalnie do tego przeznaczonych kotłach, które różnią się od standardowych pieców do spalania czystej biomasy. Kolejnym problematycznym aspektem jest pył powstający podczas cięcia wszystkich rodzajów płyt. Stąd konieczne jest zastosowanie odpylaczy, które pozwolą zawrócić pył i wióry do kotła. </w:t>
      </w:r>
    </w:p>
    <w:p w14:paraId="1FE8E4BC" w14:textId="6FE5C5E4" w:rsidR="00FA2BB9" w:rsidRPr="003478AF" w:rsidRDefault="00FA2BB9">
      <w:pPr>
        <w:rPr>
          <w:rFonts w:cs="Arial"/>
          <w:szCs w:val="20"/>
        </w:rPr>
      </w:pPr>
      <w:r w:rsidRPr="003478AF">
        <w:rPr>
          <w:rFonts w:cs="Arial"/>
          <w:szCs w:val="20"/>
        </w:rPr>
        <w:t>Istotny problem pojawia się także w przemyśle celulozowo-papierniczym, gdzie przy produkcji powstają znaczne ilości odpadów biomasowych, które w przypadku ich składowania stanowią duże obciążenie dla środowiska. Powstające odpady, a konkretnie ligniny, znajdują zastosowani</w:t>
      </w:r>
      <w:r w:rsidR="00922C5F" w:rsidRPr="003478AF">
        <w:rPr>
          <w:rFonts w:cs="Arial"/>
          <w:szCs w:val="20"/>
        </w:rPr>
        <w:t>e</w:t>
      </w:r>
      <w:r w:rsidRPr="003478AF">
        <w:rPr>
          <w:rFonts w:cs="Arial"/>
          <w:szCs w:val="20"/>
        </w:rPr>
        <w:t xml:space="preserve"> w budownictwie, natomiast badania prowadzone w Instytucie Uprawy, Nawożenia i Gleboznawstwa w Puławach wykazały możliwość wykorzystania tych odpadów </w:t>
      </w:r>
      <w:r w:rsidR="00EF5A95" w:rsidRPr="003478AF">
        <w:rPr>
          <w:rFonts w:cs="Arial"/>
          <w:szCs w:val="20"/>
        </w:rPr>
        <w:t xml:space="preserve">także </w:t>
      </w:r>
      <w:r w:rsidR="00FB4F39" w:rsidRPr="003478AF">
        <w:rPr>
          <w:rFonts w:cs="Arial"/>
          <w:szCs w:val="20"/>
        </w:rPr>
        <w:t>w</w:t>
      </w:r>
      <w:r w:rsidR="00EF5A95" w:rsidRPr="003478AF">
        <w:rPr>
          <w:rFonts w:cs="Arial"/>
          <w:szCs w:val="20"/>
        </w:rPr>
        <w:t xml:space="preserve"> </w:t>
      </w:r>
      <w:r w:rsidRPr="003478AF">
        <w:rPr>
          <w:rFonts w:cs="Arial"/>
          <w:szCs w:val="20"/>
        </w:rPr>
        <w:t>rolnictwie. Odpady te mogą znaleźć zastosowanie również jako surowiec w produkcji różnego rodzaju paliw i produktów, a także jako paliwo z biomasy w procesach bezpośredniego spalania z odzyskiem energii. Przeprowadzon</w:t>
      </w:r>
      <w:r w:rsidR="00877187" w:rsidRPr="003478AF">
        <w:rPr>
          <w:rFonts w:cs="Arial"/>
          <w:szCs w:val="20"/>
        </w:rPr>
        <w:t>e</w:t>
      </w:r>
      <w:r w:rsidRPr="003478AF">
        <w:rPr>
          <w:rFonts w:cs="Arial"/>
          <w:szCs w:val="20"/>
        </w:rPr>
        <w:t xml:space="preserve"> badania właściwości fizycznych i chemicznych różnych strumieni odpadów biomasowych z produkcji mas włóknistych i papieru</w:t>
      </w:r>
      <w:r w:rsidR="00877187" w:rsidRPr="003478AF">
        <w:rPr>
          <w:rFonts w:cs="Arial"/>
          <w:szCs w:val="20"/>
        </w:rPr>
        <w:t xml:space="preserve"> </w:t>
      </w:r>
      <w:r w:rsidRPr="003478AF">
        <w:rPr>
          <w:rFonts w:cs="Arial"/>
          <w:szCs w:val="20"/>
        </w:rPr>
        <w:t xml:space="preserve">wykazały, że </w:t>
      </w:r>
      <w:r w:rsidRPr="003478AF">
        <w:rPr>
          <w:rFonts w:cs="Arial"/>
          <w:szCs w:val="20"/>
        </w:rPr>
        <w:lastRenderedPageBreak/>
        <w:t>w większości przypadków parametry suchych odpadów nie odbiegają od właściwości węgla brunatnego, a nawet kamiennego. W stanie nieprzetworzonym wadą tego rodzaju paliw jest duża zawartość w nich wody, którą dla uzyskania pełnej wartości opałowej paliwa należy usunąć. Wadę t</w:t>
      </w:r>
      <w:r w:rsidR="00877187" w:rsidRPr="003478AF">
        <w:rPr>
          <w:rFonts w:cs="Arial"/>
          <w:szCs w:val="20"/>
        </w:rPr>
        <w:t>ę</w:t>
      </w:r>
      <w:r w:rsidRPr="003478AF">
        <w:rPr>
          <w:rFonts w:cs="Arial"/>
          <w:szCs w:val="20"/>
        </w:rPr>
        <w:t xml:space="preserve"> można wyeliminować po dopracowaniu alternatywnych do spopielania technik odzysku energii. Techniki te stosowane w przypadku innych rodzajów odpadów są obecnie w fazie dostosowania do potrzeb przetwarzania odpadów papierniczych</w:t>
      </w:r>
      <w:r w:rsidRPr="003478AF">
        <w:rPr>
          <w:rStyle w:val="Odwoanieprzypisudolnego"/>
        </w:rPr>
        <w:footnoteReference w:id="107"/>
      </w:r>
      <w:r w:rsidRPr="003478AF">
        <w:rPr>
          <w:rFonts w:cs="Arial"/>
          <w:szCs w:val="20"/>
        </w:rPr>
        <w:t>.</w:t>
      </w:r>
    </w:p>
    <w:p w14:paraId="449BB50C" w14:textId="1F932C55" w:rsidR="00FA2BB9" w:rsidRPr="003478AF" w:rsidRDefault="00FA2BB9">
      <w:pPr>
        <w:rPr>
          <w:rFonts w:cs="Arial"/>
          <w:color w:val="000000" w:themeColor="text1"/>
          <w:szCs w:val="20"/>
        </w:rPr>
      </w:pPr>
      <w:r w:rsidRPr="003478AF">
        <w:rPr>
          <w:rFonts w:cs="Arial"/>
          <w:color w:val="000000" w:themeColor="text1"/>
          <w:szCs w:val="20"/>
        </w:rPr>
        <w:t>Kolejną kwestią jest branża odzieżowa. Potrzeba posiadania, powiązana z</w:t>
      </w:r>
      <w:r w:rsidR="00CA31F9" w:rsidRPr="003478AF">
        <w:rPr>
          <w:rFonts w:cs="Arial"/>
          <w:color w:val="000000" w:themeColor="text1"/>
          <w:szCs w:val="20"/>
        </w:rPr>
        <w:t>e</w:t>
      </w:r>
      <w:r w:rsidRPr="003478AF">
        <w:rPr>
          <w:rFonts w:cs="Arial"/>
          <w:color w:val="000000" w:themeColor="text1"/>
          <w:szCs w:val="20"/>
        </w:rPr>
        <w:t xml:space="preserve"> zmieniającymi się trendami, doprowadziła do znacznego wzrostu ilości produkowanych </w:t>
      </w:r>
      <w:r w:rsidRPr="003478AF">
        <w:rPr>
          <w:rFonts w:cs="Arial"/>
          <w:color w:val="000000" w:themeColor="text1"/>
          <w:szCs w:val="20"/>
        </w:rPr>
        <w:br/>
        <w:t>i wyrzucanych sztuk odzieży.</w:t>
      </w:r>
      <w:r w:rsidRPr="003478AF">
        <w:rPr>
          <w:rFonts w:cs="Arial"/>
          <w:color w:val="000000" w:themeColor="text1"/>
        </w:rPr>
        <w:t xml:space="preserve"> </w:t>
      </w:r>
      <w:r w:rsidR="00D60EE3" w:rsidRPr="003478AF">
        <w:rPr>
          <w:rFonts w:cs="Arial"/>
          <w:color w:val="000000" w:themeColor="text1"/>
        </w:rPr>
        <w:t xml:space="preserve">Produkcja </w:t>
      </w:r>
      <w:r w:rsidR="00D60EE3" w:rsidRPr="003478AF">
        <w:rPr>
          <w:rFonts w:cs="Arial"/>
          <w:color w:val="000000" w:themeColor="text1"/>
          <w:szCs w:val="20"/>
        </w:rPr>
        <w:t>o</w:t>
      </w:r>
      <w:r w:rsidRPr="003478AF">
        <w:rPr>
          <w:rFonts w:cs="Arial"/>
          <w:color w:val="000000" w:themeColor="text1"/>
          <w:szCs w:val="20"/>
        </w:rPr>
        <w:t>dzież</w:t>
      </w:r>
      <w:r w:rsidR="00D60EE3" w:rsidRPr="003478AF">
        <w:rPr>
          <w:rFonts w:cs="Arial"/>
          <w:color w:val="000000" w:themeColor="text1"/>
          <w:szCs w:val="20"/>
        </w:rPr>
        <w:t>y</w:t>
      </w:r>
      <w:r w:rsidRPr="003478AF">
        <w:rPr>
          <w:rFonts w:cs="Arial"/>
          <w:color w:val="000000" w:themeColor="text1"/>
          <w:szCs w:val="20"/>
        </w:rPr>
        <w:t>, obuwi</w:t>
      </w:r>
      <w:r w:rsidR="00D60EE3" w:rsidRPr="003478AF">
        <w:rPr>
          <w:rFonts w:cs="Arial"/>
          <w:color w:val="000000" w:themeColor="text1"/>
          <w:szCs w:val="20"/>
        </w:rPr>
        <w:t>a</w:t>
      </w:r>
      <w:r w:rsidRPr="003478AF">
        <w:rPr>
          <w:rFonts w:cs="Arial"/>
          <w:color w:val="000000" w:themeColor="text1"/>
          <w:szCs w:val="20"/>
        </w:rPr>
        <w:t xml:space="preserve"> i tekstyli</w:t>
      </w:r>
      <w:r w:rsidR="00D60EE3" w:rsidRPr="003478AF">
        <w:rPr>
          <w:rFonts w:cs="Arial"/>
          <w:color w:val="000000" w:themeColor="text1"/>
          <w:szCs w:val="20"/>
        </w:rPr>
        <w:t>ów</w:t>
      </w:r>
      <w:r w:rsidRPr="003478AF">
        <w:rPr>
          <w:rFonts w:cs="Arial"/>
          <w:color w:val="000000" w:themeColor="text1"/>
          <w:szCs w:val="20"/>
        </w:rPr>
        <w:t xml:space="preserve"> domow</w:t>
      </w:r>
      <w:r w:rsidR="00D60EE3" w:rsidRPr="003478AF">
        <w:rPr>
          <w:rFonts w:cs="Arial"/>
          <w:color w:val="000000" w:themeColor="text1"/>
          <w:szCs w:val="20"/>
        </w:rPr>
        <w:t>ych</w:t>
      </w:r>
      <w:r w:rsidRPr="003478AF">
        <w:rPr>
          <w:rFonts w:cs="Arial"/>
          <w:color w:val="000000" w:themeColor="text1"/>
          <w:szCs w:val="20"/>
        </w:rPr>
        <w:t xml:space="preserve"> powoduj</w:t>
      </w:r>
      <w:r w:rsidR="00D60EE3" w:rsidRPr="003478AF">
        <w:rPr>
          <w:rFonts w:cs="Arial"/>
          <w:color w:val="000000" w:themeColor="text1"/>
          <w:szCs w:val="20"/>
        </w:rPr>
        <w:t>e</w:t>
      </w:r>
      <w:r w:rsidRPr="003478AF">
        <w:rPr>
          <w:rFonts w:cs="Arial"/>
          <w:color w:val="000000" w:themeColor="text1"/>
          <w:szCs w:val="20"/>
        </w:rPr>
        <w:t xml:space="preserve"> </w:t>
      </w:r>
      <w:r w:rsidR="00D60EE3" w:rsidRPr="003478AF">
        <w:rPr>
          <w:rFonts w:cs="Arial"/>
          <w:color w:val="000000" w:themeColor="text1"/>
          <w:szCs w:val="20"/>
        </w:rPr>
        <w:t xml:space="preserve">znaczące zużycie i </w:t>
      </w:r>
      <w:r w:rsidRPr="003478AF">
        <w:rPr>
          <w:rFonts w:cs="Arial"/>
          <w:color w:val="000000" w:themeColor="text1"/>
          <w:szCs w:val="20"/>
        </w:rPr>
        <w:t xml:space="preserve">zanieczyszczenie wody, </w:t>
      </w:r>
      <w:r w:rsidR="00D60EE3" w:rsidRPr="003478AF">
        <w:rPr>
          <w:rFonts w:cs="Arial"/>
          <w:color w:val="000000" w:themeColor="text1"/>
          <w:szCs w:val="20"/>
        </w:rPr>
        <w:t xml:space="preserve">przyczynia się do </w:t>
      </w:r>
      <w:r w:rsidRPr="003478AF">
        <w:rPr>
          <w:rFonts w:cs="Arial"/>
          <w:color w:val="000000" w:themeColor="text1"/>
          <w:szCs w:val="20"/>
        </w:rPr>
        <w:t>emisj</w:t>
      </w:r>
      <w:r w:rsidR="00D60EE3" w:rsidRPr="003478AF">
        <w:rPr>
          <w:rFonts w:cs="Arial"/>
          <w:color w:val="000000" w:themeColor="text1"/>
          <w:szCs w:val="20"/>
        </w:rPr>
        <w:t>i</w:t>
      </w:r>
      <w:r w:rsidRPr="003478AF">
        <w:rPr>
          <w:rFonts w:cs="Arial"/>
          <w:color w:val="000000" w:themeColor="text1"/>
          <w:szCs w:val="20"/>
        </w:rPr>
        <w:t xml:space="preserve"> gazów cieplarnianych </w:t>
      </w:r>
      <w:r w:rsidR="001B0CB3" w:rsidRPr="003478AF">
        <w:rPr>
          <w:rFonts w:cs="Arial"/>
          <w:color w:val="000000" w:themeColor="text1"/>
          <w:szCs w:val="20"/>
        </w:rPr>
        <w:br/>
      </w:r>
      <w:r w:rsidRPr="003478AF">
        <w:rPr>
          <w:rFonts w:cs="Arial"/>
          <w:color w:val="000000" w:themeColor="text1"/>
          <w:szCs w:val="20"/>
        </w:rPr>
        <w:t xml:space="preserve">i </w:t>
      </w:r>
      <w:r w:rsidR="00D60EE3" w:rsidRPr="003478AF">
        <w:rPr>
          <w:rFonts w:cs="Arial"/>
          <w:color w:val="000000" w:themeColor="text1"/>
          <w:szCs w:val="20"/>
        </w:rPr>
        <w:t xml:space="preserve">generuje </w:t>
      </w:r>
      <w:r w:rsidRPr="003478AF">
        <w:rPr>
          <w:rFonts w:cs="Arial"/>
          <w:color w:val="000000" w:themeColor="text1"/>
          <w:szCs w:val="20"/>
        </w:rPr>
        <w:t xml:space="preserve">powstawanie odpadów. Przykładowo do produkcji </w:t>
      </w:r>
      <w:r w:rsidR="00CA31F9" w:rsidRPr="003478AF">
        <w:rPr>
          <w:rFonts w:cs="Arial"/>
          <w:color w:val="000000" w:themeColor="text1"/>
          <w:szCs w:val="20"/>
        </w:rPr>
        <w:t xml:space="preserve">jednego </w:t>
      </w:r>
      <w:r w:rsidRPr="003478AF">
        <w:rPr>
          <w:rFonts w:cs="Arial"/>
          <w:color w:val="000000" w:themeColor="text1"/>
          <w:szCs w:val="20"/>
        </w:rPr>
        <w:t>T-shirtu zużywane jest 2</w:t>
      </w:r>
      <w:r w:rsidR="00CB03AA" w:rsidRPr="003478AF">
        <w:rPr>
          <w:rFonts w:cs="Arial"/>
          <w:color w:val="000000" w:themeColor="text1"/>
          <w:szCs w:val="20"/>
        </w:rPr>
        <w:t>,</w:t>
      </w:r>
      <w:r w:rsidRPr="003478AF">
        <w:rPr>
          <w:rFonts w:cs="Arial"/>
          <w:color w:val="000000" w:themeColor="text1"/>
          <w:szCs w:val="20"/>
        </w:rPr>
        <w:t>7</w:t>
      </w:r>
      <w:r w:rsidR="00CB03AA" w:rsidRPr="003478AF">
        <w:rPr>
          <w:rFonts w:cs="Arial"/>
          <w:color w:val="000000" w:themeColor="text1"/>
          <w:szCs w:val="20"/>
        </w:rPr>
        <w:t xml:space="preserve"> tys. </w:t>
      </w:r>
      <w:r w:rsidRPr="003478AF">
        <w:rPr>
          <w:rFonts w:cs="Arial"/>
          <w:color w:val="000000" w:themeColor="text1"/>
          <w:szCs w:val="20"/>
        </w:rPr>
        <w:t>litrów wody</w:t>
      </w:r>
      <w:r w:rsidR="00CA31F9" w:rsidRPr="003478AF">
        <w:rPr>
          <w:rFonts w:cs="Arial"/>
          <w:color w:val="000000" w:themeColor="text1"/>
          <w:szCs w:val="20"/>
        </w:rPr>
        <w:t>,</w:t>
      </w:r>
      <w:r w:rsidRPr="003478AF">
        <w:rPr>
          <w:rFonts w:cs="Arial"/>
          <w:color w:val="000000" w:themeColor="text1"/>
          <w:szCs w:val="20"/>
        </w:rPr>
        <w:t xml:space="preserve"> co odpowiada ilości wody pitnej dla jednej osoby na 2,5 roku. Corocznie do wód i mórz z produkcji tekstyliów uwalniany</w:t>
      </w:r>
      <w:r w:rsidR="00CA31F9" w:rsidRPr="003478AF">
        <w:rPr>
          <w:rFonts w:cs="Arial"/>
          <w:color w:val="000000" w:themeColor="text1"/>
          <w:szCs w:val="20"/>
        </w:rPr>
        <w:t>ch</w:t>
      </w:r>
      <w:r w:rsidRPr="003478AF">
        <w:rPr>
          <w:rFonts w:cs="Arial"/>
          <w:color w:val="000000" w:themeColor="text1"/>
          <w:szCs w:val="20"/>
        </w:rPr>
        <w:t xml:space="preserve"> jest 0,5 mln mikrowłókien</w:t>
      </w:r>
      <w:r w:rsidR="00CA31F9" w:rsidRPr="003478AF">
        <w:rPr>
          <w:rFonts w:cs="Arial"/>
          <w:color w:val="000000" w:themeColor="text1"/>
          <w:szCs w:val="20"/>
        </w:rPr>
        <w:t>,</w:t>
      </w:r>
      <w:r w:rsidRPr="003478AF">
        <w:rPr>
          <w:rFonts w:cs="Arial"/>
          <w:color w:val="000000" w:themeColor="text1"/>
          <w:szCs w:val="20"/>
        </w:rPr>
        <w:t xml:space="preserve"> co stanowi 35% pierwotnych mikrodrobin uwalnianych do środowiska. Przemysł odzieżowy </w:t>
      </w:r>
      <w:r w:rsidR="00D60EE3" w:rsidRPr="003478AF">
        <w:rPr>
          <w:rFonts w:cs="Arial"/>
          <w:color w:val="000000" w:themeColor="text1"/>
          <w:szCs w:val="20"/>
        </w:rPr>
        <w:t xml:space="preserve">odpowiada </w:t>
      </w:r>
      <w:r w:rsidRPr="003478AF">
        <w:rPr>
          <w:rFonts w:cs="Arial"/>
          <w:color w:val="000000" w:themeColor="text1"/>
          <w:szCs w:val="20"/>
        </w:rPr>
        <w:t xml:space="preserve">również </w:t>
      </w:r>
      <w:r w:rsidR="00D60EE3" w:rsidRPr="003478AF">
        <w:rPr>
          <w:rFonts w:cs="Arial"/>
          <w:color w:val="000000" w:themeColor="text1"/>
          <w:szCs w:val="20"/>
        </w:rPr>
        <w:t xml:space="preserve">za </w:t>
      </w:r>
      <w:r w:rsidRPr="003478AF">
        <w:rPr>
          <w:rFonts w:cs="Arial"/>
          <w:color w:val="000000" w:themeColor="text1"/>
          <w:szCs w:val="20"/>
        </w:rPr>
        <w:t>10% emisji gazów cieplarnianych</w:t>
      </w:r>
      <w:r w:rsidR="00FB4F39" w:rsidRPr="003478AF">
        <w:rPr>
          <w:rStyle w:val="Odwoanieprzypisudolnego"/>
        </w:rPr>
        <w:footnoteReference w:id="108"/>
      </w:r>
      <w:r w:rsidRPr="003478AF">
        <w:rPr>
          <w:rFonts w:cs="Arial"/>
          <w:color w:val="000000" w:themeColor="text1"/>
          <w:szCs w:val="20"/>
        </w:rPr>
        <w:t xml:space="preserve">. </w:t>
      </w:r>
    </w:p>
    <w:p w14:paraId="17AB362E" w14:textId="358753EB" w:rsidR="00FA2BB9" w:rsidRPr="003478AF" w:rsidRDefault="00FA2BB9">
      <w:r w:rsidRPr="003478AF">
        <w:rPr>
          <w:rFonts w:cs="Arial"/>
          <w:color w:val="000000" w:themeColor="text1"/>
          <w:szCs w:val="20"/>
        </w:rPr>
        <w:t xml:space="preserve">Wiele firm wielkopolskich </w:t>
      </w:r>
      <w:r w:rsidR="00D60EE3" w:rsidRPr="003478AF">
        <w:rPr>
          <w:rFonts w:cs="Arial"/>
          <w:color w:val="000000" w:themeColor="text1"/>
          <w:szCs w:val="20"/>
        </w:rPr>
        <w:t>zajmuje się</w:t>
      </w:r>
      <w:r w:rsidRPr="003478AF">
        <w:rPr>
          <w:rFonts w:cs="Arial"/>
          <w:color w:val="000000" w:themeColor="text1"/>
          <w:szCs w:val="20"/>
        </w:rPr>
        <w:t xml:space="preserve"> odpad</w:t>
      </w:r>
      <w:r w:rsidR="00D60EE3" w:rsidRPr="003478AF">
        <w:rPr>
          <w:rFonts w:cs="Arial"/>
          <w:color w:val="000000" w:themeColor="text1"/>
          <w:szCs w:val="20"/>
        </w:rPr>
        <w:t>ami</w:t>
      </w:r>
      <w:r w:rsidRPr="003478AF">
        <w:rPr>
          <w:rFonts w:cs="Arial"/>
          <w:color w:val="000000" w:themeColor="text1"/>
          <w:szCs w:val="20"/>
        </w:rPr>
        <w:t xml:space="preserve"> i proponuje ciekawe rozwiązania. Przykładowo </w:t>
      </w:r>
      <w:r w:rsidRPr="003478AF">
        <w:rPr>
          <w:rFonts w:cstheme="majorHAnsi"/>
          <w:lang w:eastAsia="pl-PL"/>
        </w:rPr>
        <w:t>Grupa Kapitałowa Recykl SA. w</w:t>
      </w:r>
      <w:r w:rsidRPr="003478AF">
        <w:rPr>
          <w:rFonts w:cstheme="minorHAnsi"/>
          <w:shd w:val="clear" w:color="auto" w:fill="FFFFFF"/>
        </w:rPr>
        <w:t xml:space="preserve"> Śremie</w:t>
      </w:r>
      <w:r w:rsidR="002C0F55" w:rsidRPr="003478AF">
        <w:rPr>
          <w:rFonts w:cstheme="majorHAnsi"/>
          <w:lang w:eastAsia="pl-PL"/>
        </w:rPr>
        <w:t xml:space="preserve"> </w:t>
      </w:r>
      <w:r w:rsidRPr="003478AF">
        <w:rPr>
          <w:rFonts w:cstheme="majorHAnsi"/>
          <w:lang w:eastAsia="pl-PL"/>
        </w:rPr>
        <w:t xml:space="preserve">działa w </w:t>
      </w:r>
      <w:r w:rsidR="00D60EE3" w:rsidRPr="003478AF">
        <w:rPr>
          <w:rFonts w:cstheme="majorHAnsi"/>
          <w:lang w:eastAsia="pl-PL"/>
        </w:rPr>
        <w:t xml:space="preserve">zakresie </w:t>
      </w:r>
      <w:r w:rsidRPr="003478AF">
        <w:rPr>
          <w:rFonts w:cstheme="majorHAnsi"/>
          <w:lang w:eastAsia="pl-PL"/>
        </w:rPr>
        <w:t>zbiórki, zagospodarowania, recyklingu zużytych opon. Dodatkowo wraz z jedną z wiodących marek oponiarskich przygotowa</w:t>
      </w:r>
      <w:r w:rsidR="00D60EE3" w:rsidRPr="003478AF">
        <w:rPr>
          <w:rFonts w:cstheme="majorHAnsi"/>
          <w:lang w:eastAsia="pl-PL"/>
        </w:rPr>
        <w:t>ła</w:t>
      </w:r>
      <w:r w:rsidRPr="003478AF">
        <w:rPr>
          <w:rFonts w:cstheme="majorHAnsi"/>
          <w:lang w:eastAsia="pl-PL"/>
        </w:rPr>
        <w:t xml:space="preserve"> produkt w postaci opony z recyklingu. </w:t>
      </w:r>
      <w:r w:rsidRPr="003478AF">
        <w:rPr>
          <w:rFonts w:cs="Arial"/>
          <w:lang w:eastAsia="pl-PL"/>
        </w:rPr>
        <w:t xml:space="preserve">Elekrorecykling SA </w:t>
      </w:r>
      <w:r w:rsidR="002C0F55" w:rsidRPr="003478AF">
        <w:rPr>
          <w:rFonts w:cstheme="majorHAnsi"/>
          <w:lang w:eastAsia="pl-PL"/>
        </w:rPr>
        <w:t>w</w:t>
      </w:r>
      <w:r w:rsidRPr="003478AF">
        <w:rPr>
          <w:rFonts w:cstheme="majorHAnsi"/>
          <w:lang w:eastAsia="pl-PL"/>
        </w:rPr>
        <w:t xml:space="preserve"> Nowy</w:t>
      </w:r>
      <w:r w:rsidR="002C0F55" w:rsidRPr="003478AF">
        <w:rPr>
          <w:rFonts w:cstheme="majorHAnsi"/>
          <w:lang w:eastAsia="pl-PL"/>
        </w:rPr>
        <w:t>m</w:t>
      </w:r>
      <w:r w:rsidRPr="003478AF">
        <w:rPr>
          <w:rFonts w:cstheme="majorHAnsi"/>
          <w:lang w:eastAsia="pl-PL"/>
        </w:rPr>
        <w:t xml:space="preserve"> Tomyśl</w:t>
      </w:r>
      <w:r w:rsidR="002C0F55" w:rsidRPr="003478AF">
        <w:rPr>
          <w:rFonts w:cstheme="majorHAnsi"/>
          <w:lang w:eastAsia="pl-PL"/>
        </w:rPr>
        <w:t>u proponuje</w:t>
      </w:r>
      <w:r w:rsidRPr="003478AF">
        <w:rPr>
          <w:rFonts w:cstheme="majorHAnsi"/>
          <w:lang w:eastAsia="pl-PL"/>
        </w:rPr>
        <w:t xml:space="preserve"> innowacyjne rozwiązanie </w:t>
      </w:r>
      <w:r w:rsidR="002C0F55" w:rsidRPr="003478AF">
        <w:rPr>
          <w:rFonts w:cstheme="majorHAnsi"/>
          <w:lang w:eastAsia="pl-PL"/>
        </w:rPr>
        <w:t>w</w:t>
      </w:r>
      <w:r w:rsidRPr="003478AF">
        <w:rPr>
          <w:rFonts w:cstheme="majorHAnsi"/>
          <w:lang w:eastAsia="pl-PL"/>
        </w:rPr>
        <w:t xml:space="preserve"> </w:t>
      </w:r>
      <w:r w:rsidR="002C0F55" w:rsidRPr="003478AF">
        <w:rPr>
          <w:rFonts w:cstheme="majorHAnsi"/>
          <w:lang w:eastAsia="pl-PL"/>
        </w:rPr>
        <w:t>recyklingu lub powtórnym wykorzystaniu</w:t>
      </w:r>
      <w:r w:rsidRPr="003478AF">
        <w:rPr>
          <w:rFonts w:cstheme="majorHAnsi"/>
          <w:lang w:eastAsia="pl-PL"/>
        </w:rPr>
        <w:t xml:space="preserve"> tonerów. </w:t>
      </w:r>
      <w:r w:rsidR="002C0F55" w:rsidRPr="003478AF">
        <w:rPr>
          <w:rFonts w:cstheme="majorHAnsi"/>
          <w:lang w:eastAsia="pl-PL"/>
        </w:rPr>
        <w:t>Natomiast firma GWDA</w:t>
      </w:r>
      <w:r w:rsidR="002C0F55" w:rsidRPr="003478AF">
        <w:t xml:space="preserve"> ma w swojej ofercie wydajne kompostownie, innowacyjne technologie termomodernizacji budynków, nowoczesne pompy ciepła odzyskujące energię ze ścieków oraz własne zasilanie z</w:t>
      </w:r>
      <w:r w:rsidR="00CA31F9" w:rsidRPr="003478AF">
        <w:t xml:space="preserve"> </w:t>
      </w:r>
      <w:r w:rsidR="002C0F55" w:rsidRPr="003478AF">
        <w:t>farmy fotowoltaicznej.</w:t>
      </w:r>
    </w:p>
    <w:p w14:paraId="493E4782" w14:textId="77777777" w:rsidR="00A257F0" w:rsidRPr="003478AF" w:rsidRDefault="00A257F0">
      <w:pPr>
        <w:ind w:firstLine="0"/>
        <w:rPr>
          <w:rFonts w:cs="Arial"/>
          <w:b/>
          <w:szCs w:val="20"/>
        </w:rPr>
      </w:pPr>
    </w:p>
    <w:p w14:paraId="7934E979" w14:textId="5B2583CD" w:rsidR="00FA2BB9" w:rsidRPr="003478AF" w:rsidRDefault="00FA2BB9">
      <w:pPr>
        <w:ind w:firstLine="0"/>
        <w:rPr>
          <w:rFonts w:cs="Arial"/>
          <w:b/>
          <w:szCs w:val="20"/>
        </w:rPr>
      </w:pPr>
      <w:r w:rsidRPr="003478AF">
        <w:rPr>
          <w:rFonts w:cs="Arial"/>
          <w:b/>
          <w:szCs w:val="20"/>
        </w:rPr>
        <w:t>Transport/mobilność miejska</w:t>
      </w:r>
    </w:p>
    <w:p w14:paraId="7DEDC1E9" w14:textId="70089A11" w:rsidR="00FA2BB9" w:rsidRPr="003478AF" w:rsidRDefault="00FA2BB9">
      <w:pPr>
        <w:rPr>
          <w:rFonts w:cs="Arial"/>
          <w:szCs w:val="20"/>
        </w:rPr>
      </w:pPr>
      <w:r w:rsidRPr="003478AF">
        <w:rPr>
          <w:rFonts w:cs="Arial"/>
          <w:szCs w:val="20"/>
        </w:rPr>
        <w:t xml:space="preserve">Uważa się, że transport jest głównym źródłem negatywnych wpływów na środowisko </w:t>
      </w:r>
      <w:r w:rsidRPr="003478AF">
        <w:rPr>
          <w:rFonts w:cs="Arial"/>
          <w:szCs w:val="20"/>
        </w:rPr>
        <w:br/>
        <w:t>w UE</w:t>
      </w:r>
      <w:r w:rsidR="00CA31F9" w:rsidRPr="003478AF">
        <w:rPr>
          <w:rFonts w:cs="Arial"/>
          <w:szCs w:val="20"/>
        </w:rPr>
        <w:t>,</w:t>
      </w:r>
      <w:r w:rsidRPr="003478AF">
        <w:rPr>
          <w:rFonts w:cs="Arial"/>
          <w:szCs w:val="20"/>
        </w:rPr>
        <w:t xml:space="preserve"> przyczynia się do zmian klimatycznych, zanieczyszczenia powietrza (m.in. pył zawieszony (PM) i dwutlenek azotu (NO</w:t>
      </w:r>
      <w:r w:rsidRPr="003478AF">
        <w:rPr>
          <w:rFonts w:cs="Arial"/>
          <w:szCs w:val="20"/>
          <w:vertAlign w:val="subscript"/>
        </w:rPr>
        <w:t>2</w:t>
      </w:r>
      <w:r w:rsidRPr="003478AF">
        <w:rPr>
          <w:rFonts w:cs="Arial"/>
          <w:szCs w:val="20"/>
        </w:rPr>
        <w:t xml:space="preserve">), które szkodzą zdrowiu ludzi i środowisku) </w:t>
      </w:r>
      <w:r w:rsidR="00CA31F9" w:rsidRPr="003478AF">
        <w:rPr>
          <w:rFonts w:cs="Arial"/>
          <w:szCs w:val="20"/>
        </w:rPr>
        <w:t xml:space="preserve">i hałasu. </w:t>
      </w:r>
      <w:r w:rsidRPr="003478AF">
        <w:rPr>
          <w:rFonts w:cs="Arial"/>
          <w:szCs w:val="20"/>
        </w:rPr>
        <w:t>Zajmuje także rozległą powierzchnię terenu i przyczynia się do rozrastania się miast, fragmentacji siedlisk i uszczelniania powierzchni.</w:t>
      </w:r>
    </w:p>
    <w:p w14:paraId="25350AB2" w14:textId="6D4081D8" w:rsidR="00FA2BB9" w:rsidRPr="003478AF" w:rsidRDefault="00FA2BB9">
      <w:pPr>
        <w:rPr>
          <w:rFonts w:cs="Arial"/>
          <w:szCs w:val="20"/>
        </w:rPr>
      </w:pPr>
      <w:r w:rsidRPr="003478AF">
        <w:rPr>
          <w:rFonts w:cs="Arial"/>
          <w:szCs w:val="20"/>
        </w:rPr>
        <w:t xml:space="preserve">Dlatego też </w:t>
      </w:r>
      <w:r w:rsidR="00CB03AA" w:rsidRPr="003478AF">
        <w:rPr>
          <w:rFonts w:cs="Arial"/>
          <w:szCs w:val="20"/>
        </w:rPr>
        <w:t>UE</w:t>
      </w:r>
      <w:r w:rsidRPr="003478AF">
        <w:rPr>
          <w:rFonts w:cs="Arial"/>
          <w:szCs w:val="20"/>
        </w:rPr>
        <w:t xml:space="preserve"> kładzie nacisk na rozwój eletromobliności na terenach miejskich. Jedną z pierwszych prób wprowadzenia zmian była Dyrektywa Parlamentu Europejskiego i Rady 2014/94/UE w sprawie rozwoju infrastruktury paliw alternatywnych. Z kolei zapisy w Białej Księdze nakazują, aby do 2030 </w:t>
      </w:r>
      <w:r w:rsidR="00CB03AA" w:rsidRPr="003478AF">
        <w:rPr>
          <w:rFonts w:cs="Arial"/>
          <w:szCs w:val="20"/>
        </w:rPr>
        <w:t xml:space="preserve">roku </w:t>
      </w:r>
      <w:r w:rsidRPr="003478AF">
        <w:rPr>
          <w:rFonts w:cs="Arial"/>
          <w:szCs w:val="20"/>
        </w:rPr>
        <w:t xml:space="preserve">zmniejszyć o 50% udział samochodów w miastach </w:t>
      </w:r>
      <w:r w:rsidR="001B0CB3" w:rsidRPr="003478AF">
        <w:rPr>
          <w:rFonts w:cs="Arial"/>
          <w:szCs w:val="20"/>
        </w:rPr>
        <w:br/>
      </w:r>
      <w:r w:rsidRPr="003478AF">
        <w:rPr>
          <w:rFonts w:cs="Arial"/>
          <w:szCs w:val="20"/>
        </w:rPr>
        <w:t xml:space="preserve">o silnikach spalinowych, </w:t>
      </w:r>
      <w:r w:rsidR="00FB4F39" w:rsidRPr="003478AF">
        <w:rPr>
          <w:rFonts w:cs="Arial"/>
          <w:szCs w:val="20"/>
        </w:rPr>
        <w:t>natomiast</w:t>
      </w:r>
      <w:r w:rsidRPr="003478AF">
        <w:rPr>
          <w:rFonts w:cs="Arial"/>
          <w:szCs w:val="20"/>
        </w:rPr>
        <w:t xml:space="preserve"> do 2050 </w:t>
      </w:r>
      <w:r w:rsidR="00CB03AA" w:rsidRPr="003478AF">
        <w:rPr>
          <w:rFonts w:cs="Arial"/>
          <w:szCs w:val="20"/>
        </w:rPr>
        <w:t xml:space="preserve">roku </w:t>
      </w:r>
      <w:r w:rsidRPr="003478AF">
        <w:rPr>
          <w:rFonts w:cs="Arial"/>
          <w:szCs w:val="20"/>
        </w:rPr>
        <w:t>całkowicie je wyeliminować z aglomeracji miejskich</w:t>
      </w:r>
      <w:r w:rsidRPr="003478AF">
        <w:rPr>
          <w:rStyle w:val="Odwoanieprzypisudolnego"/>
        </w:rPr>
        <w:footnoteReference w:id="109"/>
      </w:r>
      <w:r w:rsidRPr="003478AF">
        <w:rPr>
          <w:rFonts w:cs="Arial"/>
          <w:szCs w:val="20"/>
        </w:rPr>
        <w:t xml:space="preserve">. </w:t>
      </w:r>
    </w:p>
    <w:p w14:paraId="7EE81CA9" w14:textId="2DCB7A00" w:rsidR="00FA2BB9" w:rsidRPr="003478AF" w:rsidRDefault="00FA2BB9">
      <w:pPr>
        <w:rPr>
          <w:rFonts w:cs="Arial"/>
          <w:szCs w:val="20"/>
        </w:rPr>
      </w:pPr>
      <w:r w:rsidRPr="003478AF">
        <w:rPr>
          <w:rFonts w:cs="Arial"/>
          <w:szCs w:val="20"/>
        </w:rPr>
        <w:t>Ab</w:t>
      </w:r>
      <w:r w:rsidR="00CA31F9" w:rsidRPr="003478AF">
        <w:rPr>
          <w:rFonts w:cs="Arial"/>
          <w:szCs w:val="20"/>
        </w:rPr>
        <w:t>y</w:t>
      </w:r>
      <w:r w:rsidRPr="003478AF">
        <w:rPr>
          <w:rFonts w:cs="Arial"/>
          <w:szCs w:val="20"/>
        </w:rPr>
        <w:t xml:space="preserve"> realizacja planu rozwoju elektromobilnoś</w:t>
      </w:r>
      <w:r w:rsidR="004507C4" w:rsidRPr="003478AF">
        <w:rPr>
          <w:rFonts w:cs="Arial"/>
          <w:szCs w:val="20"/>
        </w:rPr>
        <w:t>ci</w:t>
      </w:r>
      <w:r w:rsidRPr="003478AF">
        <w:rPr>
          <w:rFonts w:cs="Arial"/>
          <w:szCs w:val="20"/>
        </w:rPr>
        <w:t xml:space="preserve"> była motorem napędowym</w:t>
      </w:r>
      <w:r w:rsidR="004507C4" w:rsidRPr="003478AF">
        <w:rPr>
          <w:rFonts w:cs="Arial"/>
          <w:szCs w:val="20"/>
        </w:rPr>
        <w:t>,</w:t>
      </w:r>
      <w:r w:rsidRPr="003478AF">
        <w:rPr>
          <w:rFonts w:cs="Arial"/>
          <w:szCs w:val="20"/>
        </w:rPr>
        <w:t xml:space="preserve"> a nie jedynie zapisem prawnym w ustawie o elektromobilności i wykorzystaniu paliw alternatywnych, ustawodawca zamieścił zapis o obowiązku przeprowadzenia do 15 stycznia 2020 roku oceny dotyczącej wykonania na terenie </w:t>
      </w:r>
      <w:r w:rsidR="008A60A0" w:rsidRPr="003478AF">
        <w:rPr>
          <w:rFonts w:cs="Arial"/>
          <w:szCs w:val="20"/>
        </w:rPr>
        <w:t>gmin</w:t>
      </w:r>
      <w:r w:rsidRPr="003478AF">
        <w:rPr>
          <w:rFonts w:cs="Arial"/>
          <w:szCs w:val="20"/>
        </w:rPr>
        <w:t xml:space="preserve"> </w:t>
      </w:r>
      <w:r w:rsidR="008A60A0" w:rsidRPr="003478AF">
        <w:rPr>
          <w:rFonts w:cs="Arial"/>
          <w:szCs w:val="20"/>
        </w:rPr>
        <w:t xml:space="preserve"> ustalonej</w:t>
      </w:r>
      <w:r w:rsidRPr="003478AF">
        <w:rPr>
          <w:rFonts w:cs="Arial"/>
          <w:szCs w:val="20"/>
        </w:rPr>
        <w:t xml:space="preserve"> liczby punktów ładowania o określonej mocy </w:t>
      </w:r>
      <w:r w:rsidR="008A60A0" w:rsidRPr="003478AF">
        <w:rPr>
          <w:rFonts w:cs="Arial"/>
          <w:szCs w:val="20"/>
        </w:rPr>
        <w:lastRenderedPageBreak/>
        <w:t>oraz</w:t>
      </w:r>
      <w:r w:rsidRPr="003478AF">
        <w:rPr>
          <w:rFonts w:cs="Arial"/>
          <w:szCs w:val="20"/>
        </w:rPr>
        <w:t xml:space="preserve"> punktów tankowania LNG i CNG. W przypadku</w:t>
      </w:r>
      <w:r w:rsidR="008A60A0" w:rsidRPr="003478AF">
        <w:rPr>
          <w:rFonts w:cs="Arial"/>
          <w:szCs w:val="20"/>
        </w:rPr>
        <w:t>,</w:t>
      </w:r>
      <w:r w:rsidRPr="003478AF">
        <w:rPr>
          <w:rFonts w:cs="Arial"/>
          <w:szCs w:val="20"/>
        </w:rPr>
        <w:t xml:space="preserve"> gdy zaplanowana liczba stacji nie zostanie zrealizowana</w:t>
      </w:r>
      <w:r w:rsidR="008A60A0" w:rsidRPr="003478AF">
        <w:rPr>
          <w:rFonts w:cs="Arial"/>
          <w:szCs w:val="20"/>
        </w:rPr>
        <w:t>,</w:t>
      </w:r>
      <w:r w:rsidRPr="003478AF">
        <w:rPr>
          <w:rFonts w:cs="Arial"/>
          <w:szCs w:val="20"/>
        </w:rPr>
        <w:t xml:space="preserve"> ustawa nakłada na wójta, burmistrza lub prezydenta miasta obowiązek sporządzenia planu budowy ogólnodostępnych stacji ładowania. Zapis taki dotyczy gmin, których liczba mieszkańców wynosi co najmniej 100 tys.</w:t>
      </w:r>
      <w:r w:rsidR="008A60A0" w:rsidRPr="003478AF">
        <w:rPr>
          <w:rFonts w:cs="Arial"/>
          <w:szCs w:val="20"/>
        </w:rPr>
        <w:t>,</w:t>
      </w:r>
      <w:r w:rsidRPr="003478AF">
        <w:rPr>
          <w:rFonts w:cs="Arial"/>
          <w:szCs w:val="20"/>
        </w:rPr>
        <w:t xml:space="preserve"> </w:t>
      </w:r>
      <w:r w:rsidR="008A60A0" w:rsidRPr="003478AF">
        <w:rPr>
          <w:rFonts w:cs="Arial"/>
          <w:szCs w:val="20"/>
        </w:rPr>
        <w:t>o</w:t>
      </w:r>
      <w:r w:rsidRPr="003478AF">
        <w:rPr>
          <w:rFonts w:cs="Arial"/>
          <w:szCs w:val="20"/>
        </w:rPr>
        <w:t>raz</w:t>
      </w:r>
      <w:r w:rsidR="004507C4" w:rsidRPr="003478AF">
        <w:rPr>
          <w:rFonts w:cs="Arial"/>
          <w:szCs w:val="20"/>
        </w:rPr>
        <w:t xml:space="preserve"> w których</w:t>
      </w:r>
      <w:r w:rsidRPr="003478AF">
        <w:rPr>
          <w:rFonts w:cs="Arial"/>
          <w:szCs w:val="20"/>
        </w:rPr>
        <w:t xml:space="preserve"> zarejestrowanych zostało co najmniej 60 tys. pojazdów samochodowych</w:t>
      </w:r>
      <w:r w:rsidR="008A60A0" w:rsidRPr="003478AF">
        <w:rPr>
          <w:rFonts w:cs="Arial"/>
          <w:szCs w:val="20"/>
        </w:rPr>
        <w:t xml:space="preserve">, a </w:t>
      </w:r>
      <w:r w:rsidRPr="003478AF">
        <w:rPr>
          <w:rFonts w:cs="Arial"/>
          <w:szCs w:val="20"/>
        </w:rPr>
        <w:t>co najmniej 400 pojazdów samochodowych przypada na 1</w:t>
      </w:r>
      <w:r w:rsidR="00826E20" w:rsidRPr="003478AF">
        <w:rPr>
          <w:rFonts w:cs="Arial"/>
          <w:szCs w:val="20"/>
        </w:rPr>
        <w:t xml:space="preserve"> tys.</w:t>
      </w:r>
      <w:r w:rsidRPr="003478AF">
        <w:rPr>
          <w:rFonts w:cs="Arial"/>
          <w:szCs w:val="20"/>
        </w:rPr>
        <w:t xml:space="preserve"> mieszkańców. </w:t>
      </w:r>
    </w:p>
    <w:p w14:paraId="29A082F8" w14:textId="77777777" w:rsidR="00FA2BB9" w:rsidRPr="003478AF" w:rsidRDefault="00FA2BB9">
      <w:pPr>
        <w:rPr>
          <w:rFonts w:cs="Arial"/>
          <w:szCs w:val="20"/>
        </w:rPr>
      </w:pPr>
      <w:r w:rsidRPr="003478AF">
        <w:rPr>
          <w:rFonts w:cs="Arial"/>
          <w:szCs w:val="20"/>
        </w:rPr>
        <w:t>Zgodnie z zapisami ustawy plan ten powinien określać:</w:t>
      </w:r>
    </w:p>
    <w:p w14:paraId="0DCD3C70" w14:textId="590A5609" w:rsidR="00FA2BB9" w:rsidRPr="003478AF" w:rsidRDefault="00FA2BB9" w:rsidP="00B13D49">
      <w:pPr>
        <w:pStyle w:val="Akapitzlist"/>
        <w:numPr>
          <w:ilvl w:val="0"/>
          <w:numId w:val="30"/>
        </w:numPr>
        <w:ind w:left="714" w:hanging="357"/>
        <w:rPr>
          <w:rFonts w:cs="Arial"/>
          <w:szCs w:val="20"/>
        </w:rPr>
      </w:pPr>
      <w:r w:rsidRPr="003478AF">
        <w:rPr>
          <w:rFonts w:cs="Arial"/>
          <w:szCs w:val="20"/>
        </w:rPr>
        <w:t>lokalizację i liczbę planowanych ogólnodostępnych stacji ładowania wraz z liczbą planowanych do zainstalowania w nich punktów ładowania</w:t>
      </w:r>
      <w:r w:rsidR="00FB4F39" w:rsidRPr="003478AF">
        <w:rPr>
          <w:rFonts w:cs="Arial"/>
          <w:szCs w:val="20"/>
        </w:rPr>
        <w:t>;</w:t>
      </w:r>
    </w:p>
    <w:p w14:paraId="201FA317" w14:textId="2CF25267" w:rsidR="0085134F" w:rsidRPr="003478AF" w:rsidRDefault="00FA2BB9" w:rsidP="00B13D49">
      <w:pPr>
        <w:pStyle w:val="Akapitzlist"/>
        <w:numPr>
          <w:ilvl w:val="0"/>
          <w:numId w:val="30"/>
        </w:numPr>
        <w:ind w:left="714" w:hanging="357"/>
        <w:rPr>
          <w:rFonts w:cs="Arial"/>
          <w:szCs w:val="20"/>
        </w:rPr>
      </w:pPr>
      <w:r w:rsidRPr="003478AF">
        <w:rPr>
          <w:rFonts w:cs="Arial"/>
          <w:szCs w:val="20"/>
        </w:rPr>
        <w:t>moc każdego punktu ładowania</w:t>
      </w:r>
      <w:r w:rsidR="00FB4F39" w:rsidRPr="003478AF">
        <w:rPr>
          <w:rFonts w:cs="Arial"/>
          <w:szCs w:val="20"/>
        </w:rPr>
        <w:t>;</w:t>
      </w:r>
    </w:p>
    <w:p w14:paraId="75845AB6" w14:textId="67500A57" w:rsidR="00FA2BB9" w:rsidRPr="003478AF" w:rsidRDefault="0085134F" w:rsidP="00B13D49">
      <w:pPr>
        <w:pStyle w:val="Akapitzlist"/>
        <w:numPr>
          <w:ilvl w:val="0"/>
          <w:numId w:val="30"/>
        </w:numPr>
        <w:ind w:left="714" w:hanging="357"/>
        <w:rPr>
          <w:rFonts w:cs="Arial"/>
          <w:szCs w:val="20"/>
        </w:rPr>
      </w:pPr>
      <w:r w:rsidRPr="003478AF">
        <w:rPr>
          <w:rFonts w:cs="Arial"/>
          <w:szCs w:val="20"/>
        </w:rPr>
        <w:t xml:space="preserve">proponowany </w:t>
      </w:r>
      <w:r w:rsidR="00FA2BB9" w:rsidRPr="003478AF">
        <w:rPr>
          <w:rFonts w:cs="Arial"/>
          <w:szCs w:val="20"/>
        </w:rPr>
        <w:t xml:space="preserve">harmonogram budowy ogólnodostępnych stacji ładowania. </w:t>
      </w:r>
    </w:p>
    <w:p w14:paraId="7198E536" w14:textId="089E01D7" w:rsidR="00FA2BB9" w:rsidRPr="003478AF" w:rsidRDefault="00FA2BB9" w:rsidP="00FA2BB9">
      <w:pPr>
        <w:rPr>
          <w:rFonts w:cs="Arial"/>
          <w:szCs w:val="20"/>
        </w:rPr>
      </w:pPr>
      <w:r w:rsidRPr="003478AF">
        <w:rPr>
          <w:rFonts w:cs="Arial"/>
          <w:szCs w:val="20"/>
        </w:rPr>
        <w:t>W związku z powyższym dla gmin i miast opracowano strategie elektromobliności na najbliższe lata. Jednym z przykładów takie</w:t>
      </w:r>
      <w:r w:rsidR="00CA33B5" w:rsidRPr="003478AF">
        <w:rPr>
          <w:rFonts w:cs="Arial"/>
          <w:szCs w:val="20"/>
        </w:rPr>
        <w:t xml:space="preserve">go dokumentu </w:t>
      </w:r>
      <w:r w:rsidRPr="003478AF">
        <w:rPr>
          <w:rFonts w:cs="Arial"/>
          <w:szCs w:val="20"/>
        </w:rPr>
        <w:t xml:space="preserve">jest </w:t>
      </w:r>
      <w:r w:rsidR="00CA33B5" w:rsidRPr="003478AF">
        <w:rPr>
          <w:rFonts w:cs="Arial"/>
          <w:szCs w:val="20"/>
        </w:rPr>
        <w:t>S</w:t>
      </w:r>
      <w:r w:rsidRPr="003478AF">
        <w:rPr>
          <w:rFonts w:cs="Arial"/>
          <w:szCs w:val="20"/>
        </w:rPr>
        <w:t>trategia</w:t>
      </w:r>
      <w:r w:rsidR="00CA33B5" w:rsidRPr="003478AF">
        <w:rPr>
          <w:rFonts w:cs="Arial"/>
          <w:szCs w:val="20"/>
        </w:rPr>
        <w:t xml:space="preserve"> rozwoju elektromobilności dla Miasta Poznania</w:t>
      </w:r>
      <w:r w:rsidRPr="003478AF">
        <w:rPr>
          <w:rFonts w:cs="Arial"/>
          <w:szCs w:val="20"/>
        </w:rPr>
        <w:t xml:space="preserve"> do </w:t>
      </w:r>
      <w:r w:rsidR="00CA33B5" w:rsidRPr="003478AF">
        <w:rPr>
          <w:rFonts w:cs="Arial"/>
          <w:szCs w:val="20"/>
        </w:rPr>
        <w:t xml:space="preserve">roku </w:t>
      </w:r>
      <w:r w:rsidRPr="003478AF">
        <w:rPr>
          <w:rFonts w:cs="Arial"/>
          <w:szCs w:val="20"/>
        </w:rPr>
        <w:t xml:space="preserve">2035. </w:t>
      </w:r>
      <w:r w:rsidR="000414C8" w:rsidRPr="003478AF">
        <w:rPr>
          <w:rFonts w:cs="Arial"/>
          <w:szCs w:val="20"/>
        </w:rPr>
        <w:t>O</w:t>
      </w:r>
      <w:r w:rsidRPr="003478AF">
        <w:rPr>
          <w:rFonts w:cs="Arial"/>
          <w:szCs w:val="20"/>
        </w:rPr>
        <w:t>pisano</w:t>
      </w:r>
      <w:r w:rsidR="000414C8" w:rsidRPr="003478AF">
        <w:rPr>
          <w:rFonts w:cs="Arial"/>
          <w:szCs w:val="20"/>
        </w:rPr>
        <w:t xml:space="preserve"> w niej szczegółowo</w:t>
      </w:r>
      <w:r w:rsidRPr="003478AF">
        <w:rPr>
          <w:rFonts w:cs="Arial"/>
          <w:szCs w:val="20"/>
        </w:rPr>
        <w:t xml:space="preserve"> stan komunikacji z wyszczególnieniem </w:t>
      </w:r>
      <w:r w:rsidR="007B44DE" w:rsidRPr="003478AF">
        <w:rPr>
          <w:rFonts w:cs="Arial"/>
          <w:szCs w:val="20"/>
        </w:rPr>
        <w:t xml:space="preserve">liczby </w:t>
      </w:r>
      <w:r w:rsidRPr="003478AF">
        <w:rPr>
          <w:rFonts w:cs="Arial"/>
          <w:szCs w:val="20"/>
        </w:rPr>
        <w:t xml:space="preserve">samochodów spalinowych, z napędem na gaz lub inne paliwa alternatywne oraz samochodów elektrycznych. </w:t>
      </w:r>
    </w:p>
    <w:p w14:paraId="119E3471" w14:textId="728213C0" w:rsidR="00FA2BB9" w:rsidRPr="003478AF" w:rsidRDefault="00FA2BB9" w:rsidP="00FA2BB9">
      <w:pPr>
        <w:rPr>
          <w:rFonts w:cs="Arial"/>
          <w:szCs w:val="20"/>
        </w:rPr>
      </w:pPr>
      <w:r w:rsidRPr="003478AF">
        <w:rPr>
          <w:rFonts w:cs="Arial"/>
          <w:szCs w:val="20"/>
        </w:rPr>
        <w:t xml:space="preserve">W dokumencie określono </w:t>
      </w:r>
      <w:r w:rsidR="00022387" w:rsidRPr="003478AF">
        <w:rPr>
          <w:rFonts w:cs="Arial"/>
          <w:szCs w:val="20"/>
        </w:rPr>
        <w:t xml:space="preserve">też </w:t>
      </w:r>
      <w:r w:rsidRPr="003478AF">
        <w:rPr>
          <w:rFonts w:cs="Arial"/>
          <w:szCs w:val="20"/>
        </w:rPr>
        <w:t>zakres działań w kierunku zniwelowania niedoborów jakościowych i ilościowych w systemie transportowym w ramach przedmiotowej Strategii, które opierają się m.in. na:</w:t>
      </w:r>
    </w:p>
    <w:p w14:paraId="7D4E9536" w14:textId="3AE0D13A" w:rsidR="00FA2BB9" w:rsidRPr="003478AF" w:rsidRDefault="00FA2BB9" w:rsidP="00B13D49">
      <w:pPr>
        <w:pStyle w:val="Akapitzlist"/>
        <w:numPr>
          <w:ilvl w:val="0"/>
          <w:numId w:val="40"/>
        </w:numPr>
        <w:rPr>
          <w:rFonts w:cs="Arial"/>
          <w:szCs w:val="20"/>
        </w:rPr>
      </w:pPr>
      <w:r w:rsidRPr="003478AF">
        <w:rPr>
          <w:rFonts w:cs="Arial"/>
          <w:szCs w:val="20"/>
        </w:rPr>
        <w:t>sporządzaniu kolejnych analiz kosztów i korzyści wynikających z zapisów obecnie brzmiącego art. 37 Ustawy o elektromobilności i paliwach alternatywnych kolejno do 31 grudnia 2021 roku, 31 grudnia 2024 roku i 31 grudnia 2027 roku i przygotowaniu się do ewentualnego spełnienia przepisów dotyczących odpowiedniej liczby autobusów zeroemisyjnych</w:t>
      </w:r>
      <w:r w:rsidR="00A257F0" w:rsidRPr="003478AF">
        <w:rPr>
          <w:rFonts w:cs="Arial"/>
          <w:szCs w:val="20"/>
        </w:rPr>
        <w:t>;</w:t>
      </w:r>
    </w:p>
    <w:p w14:paraId="4ABF215E" w14:textId="48139A08" w:rsidR="00FA2BB9" w:rsidRPr="003478AF" w:rsidRDefault="00FA2BB9" w:rsidP="00B13D49">
      <w:pPr>
        <w:pStyle w:val="Akapitzlist"/>
        <w:numPr>
          <w:ilvl w:val="0"/>
          <w:numId w:val="40"/>
        </w:numPr>
        <w:rPr>
          <w:rFonts w:cs="Arial"/>
          <w:szCs w:val="20"/>
        </w:rPr>
      </w:pPr>
      <w:r w:rsidRPr="003478AF">
        <w:rPr>
          <w:rFonts w:cs="Arial"/>
          <w:szCs w:val="20"/>
        </w:rPr>
        <w:t xml:space="preserve">spełnieniu wskazanych zapisów prawa dotyczących udziałów procentowych pojazdów elektrycznych </w:t>
      </w:r>
      <w:r w:rsidR="00A85042" w:rsidRPr="003478AF">
        <w:rPr>
          <w:rFonts w:cs="Arial"/>
          <w:szCs w:val="20"/>
        </w:rPr>
        <w:t>lub</w:t>
      </w:r>
      <w:r w:rsidRPr="003478AF">
        <w:rPr>
          <w:rFonts w:cs="Arial"/>
          <w:szCs w:val="20"/>
        </w:rPr>
        <w:t xml:space="preserve"> napędzanych gazem ziemnym, które znajdują się we flocie użytkowanych pojazdów w Urzędzie Miasta Poznania oraz które są wykorzystywane do wykonywania wybranych zadań publicznych</w:t>
      </w:r>
      <w:r w:rsidR="00A257F0" w:rsidRPr="003478AF">
        <w:rPr>
          <w:rFonts w:cs="Arial"/>
          <w:szCs w:val="20"/>
        </w:rPr>
        <w:t>;</w:t>
      </w:r>
      <w:r w:rsidRPr="003478AF">
        <w:rPr>
          <w:rFonts w:cs="Arial"/>
          <w:szCs w:val="20"/>
        </w:rPr>
        <w:t xml:space="preserve"> </w:t>
      </w:r>
    </w:p>
    <w:p w14:paraId="216FEA98" w14:textId="3309081D" w:rsidR="00FA2BB9" w:rsidRPr="003478AF" w:rsidRDefault="00FA2BB9" w:rsidP="00B13D49">
      <w:pPr>
        <w:pStyle w:val="Akapitzlist"/>
        <w:numPr>
          <w:ilvl w:val="0"/>
          <w:numId w:val="40"/>
        </w:numPr>
        <w:rPr>
          <w:rFonts w:cs="Arial"/>
          <w:szCs w:val="20"/>
        </w:rPr>
      </w:pPr>
      <w:r w:rsidRPr="003478AF">
        <w:rPr>
          <w:rFonts w:cs="Arial"/>
          <w:szCs w:val="20"/>
        </w:rPr>
        <w:t>spełnieniu wskazanych zapisów prawa dotyczących udziałów procentowych pojazdów elektrycznych lub napędzanych gazem ziemnym w przypadku zlecania wybranych zadań publicznych</w:t>
      </w:r>
      <w:r w:rsidR="00A257F0" w:rsidRPr="003478AF">
        <w:rPr>
          <w:rFonts w:cs="Arial"/>
          <w:szCs w:val="20"/>
        </w:rPr>
        <w:t>;</w:t>
      </w:r>
    </w:p>
    <w:p w14:paraId="5D877BB8" w14:textId="2FDA482C" w:rsidR="00FA2BB9" w:rsidRPr="003478AF" w:rsidRDefault="00FA2BB9" w:rsidP="00B13D49">
      <w:pPr>
        <w:pStyle w:val="Akapitzlist"/>
        <w:numPr>
          <w:ilvl w:val="0"/>
          <w:numId w:val="40"/>
        </w:numPr>
        <w:rPr>
          <w:rFonts w:cs="Arial"/>
          <w:szCs w:val="20"/>
        </w:rPr>
      </w:pPr>
      <w:r w:rsidRPr="003478AF">
        <w:rPr>
          <w:rFonts w:cs="Arial"/>
          <w:szCs w:val="20"/>
        </w:rPr>
        <w:t xml:space="preserve">podjęciu działań mających na celu zwiększenie </w:t>
      </w:r>
      <w:r w:rsidR="00A330AF" w:rsidRPr="003478AF">
        <w:rPr>
          <w:rFonts w:cs="Arial"/>
          <w:szCs w:val="20"/>
        </w:rPr>
        <w:t xml:space="preserve">liczby </w:t>
      </w:r>
      <w:r w:rsidRPr="003478AF">
        <w:rPr>
          <w:rFonts w:cs="Arial"/>
          <w:szCs w:val="20"/>
        </w:rPr>
        <w:t>punktów ładowania tak, aby była większa niż 210</w:t>
      </w:r>
      <w:r w:rsidR="00A257F0" w:rsidRPr="003478AF">
        <w:rPr>
          <w:rFonts w:cs="Arial"/>
          <w:szCs w:val="20"/>
        </w:rPr>
        <w:t>;</w:t>
      </w:r>
    </w:p>
    <w:p w14:paraId="31A22C05" w14:textId="451A0A7F" w:rsidR="00FA2BB9" w:rsidRPr="003478AF" w:rsidRDefault="00FA2BB9" w:rsidP="00B13D49">
      <w:pPr>
        <w:pStyle w:val="Akapitzlist"/>
        <w:numPr>
          <w:ilvl w:val="0"/>
          <w:numId w:val="40"/>
        </w:numPr>
        <w:rPr>
          <w:rFonts w:cs="Arial"/>
          <w:szCs w:val="20"/>
        </w:rPr>
      </w:pPr>
      <w:r w:rsidRPr="003478AF">
        <w:rPr>
          <w:rFonts w:cs="Arial"/>
          <w:szCs w:val="20"/>
        </w:rPr>
        <w:t xml:space="preserve">prowadzeniu działań mających na celu zwiększenie </w:t>
      </w:r>
      <w:r w:rsidR="00E66D7A" w:rsidRPr="003478AF">
        <w:rPr>
          <w:rFonts w:cs="Arial"/>
          <w:szCs w:val="20"/>
        </w:rPr>
        <w:t xml:space="preserve">liczby </w:t>
      </w:r>
      <w:r w:rsidRPr="003478AF">
        <w:rPr>
          <w:rFonts w:cs="Arial"/>
          <w:szCs w:val="20"/>
        </w:rPr>
        <w:t xml:space="preserve">stacji gazu ziemnego </w:t>
      </w:r>
      <w:r w:rsidRPr="003478AF">
        <w:rPr>
          <w:rFonts w:cs="Arial"/>
          <w:szCs w:val="20"/>
        </w:rPr>
        <w:br/>
        <w:t>w szczególności w północnej i centralnej części Miasta Poznania</w:t>
      </w:r>
      <w:r w:rsidR="00A257F0" w:rsidRPr="003478AF">
        <w:rPr>
          <w:rFonts w:cs="Arial"/>
          <w:szCs w:val="20"/>
        </w:rPr>
        <w:t>;</w:t>
      </w:r>
      <w:r w:rsidRPr="003478AF">
        <w:rPr>
          <w:rFonts w:cs="Arial"/>
          <w:szCs w:val="20"/>
        </w:rPr>
        <w:t xml:space="preserve"> </w:t>
      </w:r>
    </w:p>
    <w:p w14:paraId="357F7E0E" w14:textId="13118EEB" w:rsidR="00FA2BB9" w:rsidRPr="003478AF" w:rsidRDefault="00FA2BB9" w:rsidP="00B13D49">
      <w:pPr>
        <w:pStyle w:val="Akapitzlist"/>
        <w:numPr>
          <w:ilvl w:val="0"/>
          <w:numId w:val="40"/>
        </w:numPr>
        <w:rPr>
          <w:rFonts w:cs="Arial"/>
          <w:szCs w:val="20"/>
        </w:rPr>
      </w:pPr>
      <w:r w:rsidRPr="003478AF">
        <w:rPr>
          <w:rFonts w:cs="Arial"/>
          <w:szCs w:val="20"/>
        </w:rPr>
        <w:t xml:space="preserve">prowadzeniu działań mających na celu uruchomienie pierwszej stacji tankowania wodoru w mieście Poznań. </w:t>
      </w:r>
    </w:p>
    <w:bookmarkEnd w:id="33"/>
    <w:bookmarkEnd w:id="39"/>
    <w:p w14:paraId="433DB0A6" w14:textId="77777777" w:rsidR="004F03A3" w:rsidRPr="003478AF" w:rsidRDefault="004F03A3">
      <w:pPr>
        <w:spacing w:line="240" w:lineRule="auto"/>
        <w:ind w:firstLine="0"/>
        <w:jc w:val="left"/>
        <w:rPr>
          <w:rFonts w:eastAsia="MinionPro-Regular" w:cs="Arial"/>
          <w:b/>
          <w:color w:val="00007E"/>
          <w:sz w:val="24"/>
          <w:szCs w:val="16"/>
          <w:shd w:val="clear" w:color="auto" w:fill="FFFFFF"/>
        </w:rPr>
      </w:pPr>
      <w:r w:rsidRPr="003478AF">
        <w:br w:type="page"/>
      </w:r>
    </w:p>
    <w:p w14:paraId="7112DFD7" w14:textId="77777777" w:rsidR="00C977E8" w:rsidRPr="003478AF" w:rsidRDefault="00C977E8" w:rsidP="00C977E8"/>
    <w:p w14:paraId="69C02EC4" w14:textId="06406FEF" w:rsidR="00211079" w:rsidRPr="003478AF" w:rsidRDefault="00211079">
      <w:pPr>
        <w:pStyle w:val="Nagwek1"/>
      </w:pPr>
      <w:bookmarkStart w:id="41" w:name="_Toc82159996"/>
      <w:r w:rsidRPr="003478AF">
        <w:t>Rola innowacji w transformacji w kierunku GOZ</w:t>
      </w:r>
      <w:bookmarkEnd w:id="41"/>
    </w:p>
    <w:p w14:paraId="56D1832B" w14:textId="500AB01B" w:rsidR="00E44697" w:rsidRPr="003478AF" w:rsidRDefault="00E44697" w:rsidP="00E44697">
      <w:pPr>
        <w:rPr>
          <w:rFonts w:cstheme="minorHAnsi"/>
        </w:rPr>
      </w:pPr>
      <w:r w:rsidRPr="003478AF">
        <w:rPr>
          <w:rFonts w:cstheme="minorHAnsi"/>
        </w:rPr>
        <w:t xml:space="preserve">Koncepcja </w:t>
      </w:r>
      <w:r w:rsidR="00382A22" w:rsidRPr="003478AF">
        <w:rPr>
          <w:rFonts w:cstheme="minorHAnsi"/>
        </w:rPr>
        <w:t>GOZ</w:t>
      </w:r>
      <w:r w:rsidRPr="003478AF">
        <w:rPr>
          <w:rFonts w:cstheme="minorHAnsi"/>
        </w:rPr>
        <w:t xml:space="preserve"> postrzegana jako nowy sposób rozwoju społeczeństwa, wskazuje, że aktualny system wymaga przekształcenia. Zmiany powinny odbywać się</w:t>
      </w:r>
      <w:r w:rsidR="00E5109D" w:rsidRPr="003478AF">
        <w:rPr>
          <w:rFonts w:cstheme="minorHAnsi"/>
        </w:rPr>
        <w:t xml:space="preserve"> </w:t>
      </w:r>
      <w:r w:rsidRPr="003478AF">
        <w:rPr>
          <w:rFonts w:cstheme="minorHAnsi"/>
        </w:rPr>
        <w:t xml:space="preserve">poprzez wprowadzanie innowacji. </w:t>
      </w:r>
    </w:p>
    <w:p w14:paraId="3EA1DF04" w14:textId="7D6C9C33" w:rsidR="00E44697" w:rsidRPr="003478AF" w:rsidRDefault="00E44697" w:rsidP="00E44697">
      <w:pPr>
        <w:rPr>
          <w:rFonts w:cstheme="minorHAnsi"/>
        </w:rPr>
      </w:pPr>
      <w:bookmarkStart w:id="42" w:name="_Hlk75910269"/>
      <w:r w:rsidRPr="003478AF">
        <w:rPr>
          <w:rFonts w:cstheme="minorHAnsi"/>
        </w:rPr>
        <w:t>Innowacje, które mogą pozwolić na transformację do zasobooszczędnego modelu GOZ, obejmują działania w kilku różnych aspektach. Pierwszym z nich są wysiłki na rzecz zmiany dominujących modeli biznesowych. Ważne jest przejście w kierunku nowatorskich projektów, produktów i usług, jak również rekonfiguracja łańcucha wartości</w:t>
      </w:r>
      <w:bookmarkEnd w:id="42"/>
      <w:r w:rsidRPr="003478AF">
        <w:rPr>
          <w:rFonts w:cstheme="minorHAnsi"/>
        </w:rPr>
        <w:t xml:space="preserve">. Konieczne jest także opracowanie ulepszonych systemów dostarczania zasobów oraz zmiana sposobu interakcji obywateli z produktami i usługami, poprzez upowszechnienie takich rozwiązań jak współdzielenie, współużyczenie </w:t>
      </w:r>
      <w:r w:rsidR="000A5F68" w:rsidRPr="003478AF">
        <w:rPr>
          <w:rFonts w:cstheme="minorHAnsi"/>
        </w:rPr>
        <w:t>itp</w:t>
      </w:r>
      <w:r w:rsidRPr="003478AF">
        <w:rPr>
          <w:rFonts w:cstheme="minorHAnsi"/>
        </w:rPr>
        <w:t xml:space="preserve">. </w:t>
      </w:r>
      <w:r w:rsidR="0034377E" w:rsidRPr="003478AF">
        <w:rPr>
          <w:rFonts w:cstheme="minorHAnsi"/>
        </w:rPr>
        <w:t>K</w:t>
      </w:r>
      <w:r w:rsidRPr="003478AF">
        <w:rPr>
          <w:rFonts w:cstheme="minorHAnsi"/>
        </w:rPr>
        <w:t xml:space="preserve">luczową rolę odgrywać będą </w:t>
      </w:r>
      <w:r w:rsidR="0034377E" w:rsidRPr="003478AF">
        <w:rPr>
          <w:rFonts w:cstheme="minorHAnsi"/>
        </w:rPr>
        <w:t xml:space="preserve">również </w:t>
      </w:r>
      <w:r w:rsidRPr="003478AF">
        <w:rPr>
          <w:rFonts w:cstheme="minorHAnsi"/>
        </w:rPr>
        <w:t>koncepcje zrównoważonych miast, zielonej mobilności czy inteligentnych systemów energetycznych.</w:t>
      </w:r>
    </w:p>
    <w:p w14:paraId="62F5607C" w14:textId="4AB13A53" w:rsidR="00E44697" w:rsidRPr="003478AF" w:rsidRDefault="00E44697" w:rsidP="00E44697">
      <w:pPr>
        <w:rPr>
          <w:rFonts w:cstheme="minorHAnsi"/>
        </w:rPr>
      </w:pPr>
      <w:r w:rsidRPr="003478AF">
        <w:rPr>
          <w:rFonts w:cstheme="minorHAnsi"/>
        </w:rPr>
        <w:t xml:space="preserve">W kontekście przejścia do gospodarki </w:t>
      </w:r>
      <w:r w:rsidR="000A5F68" w:rsidRPr="003478AF">
        <w:rPr>
          <w:rFonts w:cstheme="minorHAnsi"/>
        </w:rPr>
        <w:t>cyrkularnej</w:t>
      </w:r>
      <w:r w:rsidRPr="003478AF">
        <w:rPr>
          <w:rFonts w:cstheme="minorHAnsi"/>
        </w:rPr>
        <w:t xml:space="preserve"> wyróżnić należy kilka rodzajów innowacji (produktowa, procesowa, organizacyjna, marketingowa). Do innowacji produktowych zaliczyć można projektowanie produktów w taki sposób, aby możliwy był ich szeroko pojęty odzysk w całym cykl</w:t>
      </w:r>
      <w:r w:rsidR="009F1CAF" w:rsidRPr="003478AF">
        <w:rPr>
          <w:rFonts w:cstheme="minorHAnsi"/>
        </w:rPr>
        <w:t>u</w:t>
      </w:r>
      <w:r w:rsidRPr="003478AF">
        <w:rPr>
          <w:rFonts w:cstheme="minorHAnsi"/>
        </w:rPr>
        <w:t xml:space="preserve"> życia, poprzez dedykowane działania</w:t>
      </w:r>
      <w:r w:rsidR="000A5F68" w:rsidRPr="003478AF">
        <w:rPr>
          <w:rFonts w:cstheme="minorHAnsi"/>
        </w:rPr>
        <w:t>,</w:t>
      </w:r>
      <w:r w:rsidRPr="003478AF">
        <w:rPr>
          <w:rFonts w:cstheme="minorHAnsi"/>
        </w:rPr>
        <w:t xml:space="preserve"> t</w:t>
      </w:r>
      <w:r w:rsidR="000A5F68" w:rsidRPr="003478AF">
        <w:rPr>
          <w:rFonts w:cstheme="minorHAnsi"/>
        </w:rPr>
        <w:t xml:space="preserve">akie </w:t>
      </w:r>
      <w:r w:rsidRPr="003478AF">
        <w:rPr>
          <w:rFonts w:cstheme="minorHAnsi"/>
        </w:rPr>
        <w:t>j</w:t>
      </w:r>
      <w:r w:rsidR="000A5F68" w:rsidRPr="003478AF">
        <w:rPr>
          <w:rFonts w:cstheme="minorHAnsi"/>
        </w:rPr>
        <w:t>ak</w:t>
      </w:r>
      <w:r w:rsidRPr="003478AF">
        <w:rPr>
          <w:rFonts w:cstheme="minorHAnsi"/>
        </w:rPr>
        <w:t xml:space="preserve"> recykling, naprawa, przebudowa czy też kaskadowe wykorzystanie produktu lub materiałów wchodzących w jego skład. Pozwala to na minimalizację wpływu na środowisko oraz zużycia materiałów.</w:t>
      </w:r>
    </w:p>
    <w:p w14:paraId="7A83728C" w14:textId="0C176E47" w:rsidR="00E44697" w:rsidRPr="003478AF" w:rsidRDefault="00E44697" w:rsidP="00E44697">
      <w:pPr>
        <w:rPr>
          <w:rFonts w:cstheme="minorHAnsi"/>
        </w:rPr>
      </w:pPr>
      <w:r w:rsidRPr="003478AF">
        <w:rPr>
          <w:rFonts w:cstheme="minorHAnsi"/>
        </w:rPr>
        <w:t xml:space="preserve">Innowacje procesowe opierają się głównie na zmniejszeniu zużycia materiałów, emisji zanieczyszczeń </w:t>
      </w:r>
      <w:r w:rsidR="0034377E" w:rsidRPr="003478AF">
        <w:rPr>
          <w:rFonts w:cstheme="minorHAnsi"/>
        </w:rPr>
        <w:t xml:space="preserve">czy </w:t>
      </w:r>
      <w:r w:rsidRPr="003478AF">
        <w:rPr>
          <w:rFonts w:cstheme="minorHAnsi"/>
        </w:rPr>
        <w:t xml:space="preserve">kosztów w ramach procesu produkcji. Najważniejszym przykładem tego typu innowacji jest produkcja bezodpadowa. Zaliczyć tu też można naprawę urządzeń poprzez wymianę wadliwych bądź zużytych części, co pozwala na dalsze korzystanie z tego urządzenia. Wadliwe części zostają poddane recyklingowi w celu odzysku np. pierwiastków ziem rzadkich. Działania takie prowadzone są na poziomie urządzeń, części oraz materiałów. </w:t>
      </w:r>
    </w:p>
    <w:p w14:paraId="1FCE6E94" w14:textId="7DB21F52" w:rsidR="00E44697" w:rsidRPr="003478AF" w:rsidRDefault="00E44697" w:rsidP="00E44697">
      <w:pPr>
        <w:rPr>
          <w:rFonts w:cstheme="minorHAnsi"/>
        </w:rPr>
      </w:pPr>
      <w:r w:rsidRPr="003478AF">
        <w:rPr>
          <w:rFonts w:cstheme="minorHAnsi"/>
        </w:rPr>
        <w:t xml:space="preserve">Innowacje dotyczące systemowego podejścia do zmian w największej skali wpłyną na </w:t>
      </w:r>
      <w:r w:rsidR="0034377E" w:rsidRPr="003478AF">
        <w:rPr>
          <w:rFonts w:cstheme="minorHAnsi"/>
        </w:rPr>
        <w:t xml:space="preserve">rozwój </w:t>
      </w:r>
      <w:r w:rsidRPr="003478AF">
        <w:rPr>
          <w:rFonts w:cstheme="minorHAnsi"/>
        </w:rPr>
        <w:t xml:space="preserve">GOZ. Mają one na celu tworzenie nowych systemów życia bazujących na minimalizacji wpływu na środowisko. Dążą one do znacznego zmniejszenia materialistycznego postrzegania świata przez społeczeństwo. Do tego typu innowacji zaliczane są koncepcje inteligentnych miast </w:t>
      </w:r>
      <w:r w:rsidR="007E6814" w:rsidRPr="003478AF">
        <w:rPr>
          <w:rFonts w:cstheme="minorHAnsi"/>
        </w:rPr>
        <w:t>i</w:t>
      </w:r>
      <w:r w:rsidR="000A5F68" w:rsidRPr="003478AF">
        <w:rPr>
          <w:rFonts w:cstheme="minorHAnsi"/>
        </w:rPr>
        <w:t xml:space="preserve"> </w:t>
      </w:r>
      <w:r w:rsidRPr="003478AF">
        <w:rPr>
          <w:rFonts w:cstheme="minorHAnsi"/>
        </w:rPr>
        <w:t>permakultur, których głównym założeniem jest tworzenie zrównoważonych, samoregulujących się społeczeństw na wzór naturalnych ekosystemów.</w:t>
      </w:r>
    </w:p>
    <w:p w14:paraId="4D74F836" w14:textId="77777777" w:rsidR="00E44697" w:rsidRPr="003478AF" w:rsidRDefault="00E44697" w:rsidP="00E44697">
      <w:pPr>
        <w:rPr>
          <w:rFonts w:cstheme="minorHAnsi"/>
        </w:rPr>
      </w:pPr>
      <w:r w:rsidRPr="003478AF">
        <w:rPr>
          <w:rFonts w:cstheme="minorHAnsi"/>
        </w:rPr>
        <w:t>Kolejne omawiane innowacje dotyczą głównie rozwiązań organizacyjnych i reorganizacji systemów zarządzania, które dążą do zamykania obiegu gospodarki oraz wzrostu efektywności produkcji i wykorzystania zasobów. Opierają się one o nowe modele biznesowe bazujące na symbiozie przemysłowej oraz koncepcji odzysku wartościowych zasobów. Innowacje organizacyjne obejmują również nowe rozwiązania uzasadnione biznesowo.</w:t>
      </w:r>
    </w:p>
    <w:p w14:paraId="1B62FE4B" w14:textId="4BD2595F" w:rsidR="00E44697" w:rsidRPr="003478AF" w:rsidRDefault="00E44697" w:rsidP="00E44697">
      <w:pPr>
        <w:rPr>
          <w:rFonts w:cstheme="minorHAnsi"/>
        </w:rPr>
      </w:pPr>
      <w:r w:rsidRPr="003478AF">
        <w:rPr>
          <w:rFonts w:cstheme="minorHAnsi"/>
        </w:rPr>
        <w:t xml:space="preserve">Ostatnie analizowane innowacje związane są głównie z promocją ponownego wykorzystania produktów lub ich integralnych części poprzez zmiany w projektach produktów </w:t>
      </w:r>
      <w:r w:rsidR="000A5F68" w:rsidRPr="003478AF">
        <w:rPr>
          <w:rFonts w:cstheme="minorHAnsi"/>
        </w:rPr>
        <w:t>–</w:t>
      </w:r>
      <w:r w:rsidRPr="003478AF">
        <w:rPr>
          <w:rFonts w:cstheme="minorHAnsi"/>
        </w:rPr>
        <w:t xml:space="preserve"> innowacje marketingowe. Zmiany związane z konstrukcją produktów odnoszą się do przekształceń formy, wyglądu i opakowań produktów, nie prowadząc do zmiany ich cech użytkowych. Wykorzystywane w innowacjach marketingowych materiały recyklowalne </w:t>
      </w:r>
      <w:r w:rsidRPr="003478AF">
        <w:rPr>
          <w:rFonts w:cstheme="minorHAnsi"/>
        </w:rPr>
        <w:br/>
        <w:t xml:space="preserve">i ekologiczne, mogą podnieść atrakcyjność produktu z punktu widzenia świadomego konsumenta. </w:t>
      </w:r>
    </w:p>
    <w:p w14:paraId="3536ADFC" w14:textId="77777777" w:rsidR="00F1574F" w:rsidRPr="003478AF" w:rsidRDefault="00F1574F">
      <w:pPr>
        <w:spacing w:line="240" w:lineRule="auto"/>
        <w:ind w:firstLine="0"/>
        <w:jc w:val="left"/>
        <w:rPr>
          <w:rFonts w:cstheme="minorHAnsi"/>
        </w:rPr>
      </w:pPr>
      <w:r w:rsidRPr="003478AF">
        <w:rPr>
          <w:rFonts w:cstheme="minorHAnsi"/>
        </w:rPr>
        <w:br w:type="page"/>
      </w:r>
    </w:p>
    <w:p w14:paraId="3FC25272" w14:textId="6570D8B6" w:rsidR="00E44697" w:rsidRPr="003478AF" w:rsidRDefault="00E44697" w:rsidP="00E44697">
      <w:pPr>
        <w:rPr>
          <w:rFonts w:cstheme="minorHAnsi"/>
        </w:rPr>
      </w:pPr>
      <w:r w:rsidRPr="003478AF">
        <w:rPr>
          <w:rFonts w:cstheme="minorHAnsi"/>
        </w:rPr>
        <w:lastRenderedPageBreak/>
        <w:t xml:space="preserve">Zmiana sposobu życia czy codziennych zachowań </w:t>
      </w:r>
      <w:r w:rsidRPr="003478AF">
        <w:rPr>
          <w:rStyle w:val="Uwydatnienie"/>
          <w:i w:val="0"/>
          <w:iCs w:val="0"/>
        </w:rPr>
        <w:t>często</w:t>
      </w:r>
      <w:r w:rsidRPr="003478AF">
        <w:rPr>
          <w:rStyle w:val="Uwydatnienie"/>
        </w:rPr>
        <w:t xml:space="preserve"> </w:t>
      </w:r>
      <w:r w:rsidRPr="003478AF">
        <w:t xml:space="preserve">powiązanych ze stylem życia oraz </w:t>
      </w:r>
      <w:r w:rsidRPr="003478AF">
        <w:rPr>
          <w:rStyle w:val="Uwydatnienie"/>
          <w:i w:val="0"/>
          <w:iCs w:val="0"/>
        </w:rPr>
        <w:t>postawami</w:t>
      </w:r>
      <w:r w:rsidRPr="003478AF">
        <w:rPr>
          <w:rStyle w:val="Uwydatnienie"/>
        </w:rPr>
        <w:t xml:space="preserve"> </w:t>
      </w:r>
      <w:r w:rsidRPr="003478AF">
        <w:rPr>
          <w:rStyle w:val="Uwydatnienie"/>
          <w:i w:val="0"/>
          <w:iCs w:val="0"/>
        </w:rPr>
        <w:t>proekologicznymi</w:t>
      </w:r>
      <w:r w:rsidRPr="003478AF">
        <w:rPr>
          <w:rFonts w:cstheme="minorHAnsi"/>
        </w:rPr>
        <w:t xml:space="preserve"> to innowacje społeczne. Przykładem tych innowacji może być współużytkowanie urządzeń domowych, rowerów czy samochodów. Jednym z rodzajów wspólnego wykorzystania zasobów jest również współużytkowanie pomieszczeń biurowych, co pozwala na zmniejszenie zużycia zasobów. Inne rozwiązania związane są z odpowiedzialną konsumpcją, czyli świadomym kupowaniem produktów w ilościach niezbędnych, nieprzekraczających racjonalnego zapotrzebowania.</w:t>
      </w:r>
    </w:p>
    <w:p w14:paraId="1CE1B908" w14:textId="62E07094" w:rsidR="00E44697" w:rsidRPr="003478AF" w:rsidRDefault="00E44697" w:rsidP="00E44697">
      <w:pPr>
        <w:rPr>
          <w:rFonts w:cstheme="minorHAnsi"/>
        </w:rPr>
      </w:pPr>
      <w:r w:rsidRPr="003478AF">
        <w:rPr>
          <w:rFonts w:cstheme="minorHAnsi"/>
        </w:rPr>
        <w:t xml:space="preserve">Odpowiedzią na wdrażanie innowacji społecznych w Wielkopolsce jest projekt EcoWasteFood, w ramach którego zorganizowano klika akcji przeciw marnotrawieniu żywności wśród dzieci, studentów i społeczności lokalnej. </w:t>
      </w:r>
      <w:r w:rsidR="005565E2" w:rsidRPr="003478AF">
        <w:rPr>
          <w:rFonts w:cstheme="minorHAnsi"/>
        </w:rPr>
        <w:t xml:space="preserve">Na Uniwersytecie Przyrodniczym </w:t>
      </w:r>
      <w:r w:rsidR="00946483" w:rsidRPr="003478AF">
        <w:rPr>
          <w:rFonts w:cstheme="minorHAnsi"/>
        </w:rPr>
        <w:br/>
      </w:r>
      <w:r w:rsidR="005565E2" w:rsidRPr="003478AF">
        <w:rPr>
          <w:rFonts w:cstheme="minorHAnsi"/>
        </w:rPr>
        <w:t xml:space="preserve">w Poznaniu podjęto także </w:t>
      </w:r>
      <w:r w:rsidRPr="003478AF">
        <w:rPr>
          <w:rFonts w:cstheme="minorHAnsi"/>
        </w:rPr>
        <w:t xml:space="preserve">próbę opracowania innowacyjnych rozwiązań wykorzystania produktów ubocznych żywności. W innym projekcie </w:t>
      </w:r>
      <w:r w:rsidR="005565E2" w:rsidRPr="003478AF">
        <w:rPr>
          <w:rFonts w:cstheme="minorHAnsi"/>
        </w:rPr>
        <w:t>–</w:t>
      </w:r>
      <w:r w:rsidRPr="003478AF">
        <w:rPr>
          <w:rFonts w:cstheme="minorHAnsi"/>
        </w:rPr>
        <w:t xml:space="preserve"> SinCE-AFC </w:t>
      </w:r>
      <w:r w:rsidR="0052626E" w:rsidRPr="003478AF">
        <w:rPr>
          <w:rFonts w:cstheme="minorHAnsi"/>
        </w:rPr>
        <w:t>–</w:t>
      </w:r>
      <w:r w:rsidRPr="003478AF">
        <w:rPr>
          <w:rFonts w:cstheme="minorHAnsi"/>
        </w:rPr>
        <w:t xml:space="preserve"> opracowane zostanie narzędzie wykrywania luk w działalności przedsiębiorczej, aby marnotrawstwo stało się szansą biznesową z udziałem całego łańcucha rolno-spożywczego. </w:t>
      </w:r>
    </w:p>
    <w:p w14:paraId="1A8424AD" w14:textId="0559AA38" w:rsidR="00E44697" w:rsidRPr="003478AF" w:rsidRDefault="00E44697" w:rsidP="00E44697">
      <w:r w:rsidRPr="003478AF">
        <w:rPr>
          <w:rFonts w:cstheme="minorHAnsi"/>
        </w:rPr>
        <w:t xml:space="preserve">Powyższe rodzaje innowacji </w:t>
      </w:r>
      <w:r w:rsidRPr="003478AF">
        <w:t xml:space="preserve">w transformacji w kierunku GOZ opisywane są </w:t>
      </w:r>
      <w:r w:rsidRPr="003478AF">
        <w:br/>
        <w:t xml:space="preserve">w dokumentach strategicznych województwa wielkopolskiego, w których wielkopolska polityka innowacyjna jest rozumiana jako zespół działań różnych podmiotów regionalnego systemu innowacji, które prowadzą do podniesienia konkurencyjności i innowacyjności regionu. Wymaga to systemowych działań różnych podmiotów, tj. samorządów lokalnych, jednostek naukowo-badawczych i instytucji otoczenia biznesu. Dzięki ich zaangażowaniu regionalne przedsiębiorstwa będą w stanie skutecznie wprowadzać innowacje i konkurować na rynkach międzynarodowych. </w:t>
      </w:r>
    </w:p>
    <w:p w14:paraId="5A7FC03C" w14:textId="2CC76C6F" w:rsidR="00E44697" w:rsidRPr="003478AF" w:rsidRDefault="00E44697" w:rsidP="00E44697">
      <w:r w:rsidRPr="003478AF">
        <w:t xml:space="preserve">Najczęściej GOZ w kontekście innowacyjnych rozwiązań wskazuje się </w:t>
      </w:r>
      <w:r w:rsidRPr="003478AF">
        <w:rPr>
          <w:szCs w:val="20"/>
        </w:rPr>
        <w:t xml:space="preserve">w </w:t>
      </w:r>
      <w:r w:rsidR="00E51140" w:rsidRPr="003478AF">
        <w:rPr>
          <w:szCs w:val="20"/>
        </w:rPr>
        <w:t>SRWW</w:t>
      </w:r>
      <w:r w:rsidRPr="003478AF">
        <w:rPr>
          <w:rFonts w:cs="Arial"/>
          <w:szCs w:val="20"/>
        </w:rPr>
        <w:t xml:space="preserve">. </w:t>
      </w:r>
      <w:r w:rsidR="001B0CB3" w:rsidRPr="003478AF">
        <w:rPr>
          <w:rFonts w:cs="Arial"/>
          <w:szCs w:val="20"/>
        </w:rPr>
        <w:br/>
      </w:r>
      <w:r w:rsidRPr="003478AF">
        <w:rPr>
          <w:rFonts w:cs="Arial"/>
          <w:szCs w:val="20"/>
        </w:rPr>
        <w:t>W dokumencie tym określono, że dotychczasowe czynniki rozwoju gospodarczego</w:t>
      </w:r>
      <w:r w:rsidR="007E70C0" w:rsidRPr="003478AF">
        <w:rPr>
          <w:rFonts w:cs="Arial"/>
          <w:szCs w:val="20"/>
        </w:rPr>
        <w:t>,</w:t>
      </w:r>
      <w:r w:rsidRPr="003478AF">
        <w:rPr>
          <w:rFonts w:cs="Arial"/>
          <w:szCs w:val="20"/>
        </w:rPr>
        <w:t xml:space="preserve"> tj.: niskie koszty pracy, wykorzystanie walorów rynku wspólnego, wzrost konsumpcji, napływ inwestycji zagranicznych i środków polityki spójności</w:t>
      </w:r>
      <w:r w:rsidR="006D3804" w:rsidRPr="003478AF">
        <w:rPr>
          <w:rFonts w:cs="Arial"/>
          <w:szCs w:val="20"/>
        </w:rPr>
        <w:t>,</w:t>
      </w:r>
      <w:r w:rsidRPr="003478AF">
        <w:rPr>
          <w:rFonts w:cs="Arial"/>
          <w:szCs w:val="20"/>
        </w:rPr>
        <w:t xml:space="preserve"> muszą zostać uzupełnione czynnikami takimi jak: wzrost innowacyjności, badań i technologii, ekspansja zagranicznych podmiotów gospodarczych, a także większe wykorzystanie narzędzi informatycznych w edukacji, kształceniu, rynku pracy i gospodarce. Działanie te mają na celu sprostanie wyzwaniom jakie stoją przed regionem w najbliższych latach</w:t>
      </w:r>
      <w:r w:rsidRPr="003478AF">
        <w:rPr>
          <w:rStyle w:val="Odwoanieprzypisudolnego"/>
          <w:rFonts w:cs="Arial"/>
          <w:szCs w:val="20"/>
        </w:rPr>
        <w:footnoteReference w:id="110"/>
      </w:r>
      <w:r w:rsidRPr="003478AF">
        <w:rPr>
          <w:rFonts w:cs="Arial"/>
          <w:szCs w:val="20"/>
        </w:rPr>
        <w:t>.</w:t>
      </w:r>
    </w:p>
    <w:p w14:paraId="71FEB142" w14:textId="3ADEA8FF" w:rsidR="00E44697" w:rsidRPr="003478AF" w:rsidRDefault="00E44697" w:rsidP="00E44697">
      <w:pPr>
        <w:autoSpaceDE w:val="0"/>
        <w:autoSpaceDN w:val="0"/>
        <w:adjustRightInd w:val="0"/>
        <w:rPr>
          <w:rFonts w:cs="Arial"/>
          <w:szCs w:val="20"/>
        </w:rPr>
      </w:pPr>
      <w:r w:rsidRPr="003478AF">
        <w:rPr>
          <w:rFonts w:cs="Arial"/>
          <w:szCs w:val="20"/>
        </w:rPr>
        <w:t xml:space="preserve">W </w:t>
      </w:r>
      <w:r w:rsidR="00D4602D" w:rsidRPr="003478AF">
        <w:rPr>
          <w:rFonts w:cs="Arial"/>
          <w:szCs w:val="20"/>
        </w:rPr>
        <w:t xml:space="preserve">SRWW </w:t>
      </w:r>
      <w:r w:rsidRPr="003478AF">
        <w:rPr>
          <w:rFonts w:cs="Arial"/>
          <w:szCs w:val="20"/>
        </w:rPr>
        <w:t>jako pierwsze wyzwanie (nr 1) dla regionu wskazano wzrost konkurencyjności, produktywności i innowacyjności gospodarki. Jednym z najważniejszych obszarów, w którym innowacje odgrywają obecnie zasadniczą rolę jest rolnictwo Wielkopolski. Sektor ten stanowi jeden z najważniejszych potencjałów gospodarczych regionu, z dużą zdolnością do absorpcji innowacji. Wzrost liczby aktywnych małych i średnich przedsiębiorstw (MŚP) oraz gospodarstw rolnych wdrażających innowacje i nowe technologie umożliwi symbiozę pomiędzy potrzebą wzrostu produktywności a potrzebą zaspokajania oczekiwań społecznych i wymagań związanych z ochroną środowiska.</w:t>
      </w:r>
    </w:p>
    <w:p w14:paraId="52E32DA8" w14:textId="4525BA54" w:rsidR="00E44697" w:rsidRPr="003478AF" w:rsidRDefault="00E44697" w:rsidP="00E44697">
      <w:pPr>
        <w:autoSpaceDE w:val="0"/>
        <w:autoSpaceDN w:val="0"/>
        <w:adjustRightInd w:val="0"/>
        <w:rPr>
          <w:rFonts w:cs="Arial"/>
          <w:szCs w:val="20"/>
        </w:rPr>
      </w:pPr>
      <w:r w:rsidRPr="003478AF">
        <w:rPr>
          <w:rFonts w:cs="Arial"/>
          <w:szCs w:val="20"/>
        </w:rPr>
        <w:t>Innowacje mają odegrać bardzo ważną rol</w:t>
      </w:r>
      <w:r w:rsidR="00EF35AF" w:rsidRPr="003478AF">
        <w:rPr>
          <w:rFonts w:cs="Arial"/>
          <w:szCs w:val="20"/>
        </w:rPr>
        <w:t>ę</w:t>
      </w:r>
      <w:r w:rsidRPr="003478AF">
        <w:rPr>
          <w:rFonts w:cs="Arial"/>
          <w:szCs w:val="20"/>
        </w:rPr>
        <w:t xml:space="preserve"> także w aspekcie wyzwania </w:t>
      </w:r>
      <w:r w:rsidR="0034377E" w:rsidRPr="003478AF">
        <w:rPr>
          <w:rFonts w:cs="Arial"/>
          <w:szCs w:val="20"/>
        </w:rPr>
        <w:t>szóstego</w:t>
      </w:r>
      <w:r w:rsidRPr="003478AF">
        <w:rPr>
          <w:rFonts w:cs="Arial"/>
          <w:szCs w:val="20"/>
        </w:rPr>
        <w:t xml:space="preserve"> (nr 6) jakim jest przeciwdziałanie i adaptacja do zmian klimatu, co pośrednio łączy się również </w:t>
      </w:r>
      <w:r w:rsidR="00946483" w:rsidRPr="003478AF">
        <w:rPr>
          <w:rFonts w:cs="Arial"/>
          <w:szCs w:val="20"/>
        </w:rPr>
        <w:br/>
      </w:r>
      <w:r w:rsidRPr="003478AF">
        <w:rPr>
          <w:rFonts w:cs="Arial"/>
          <w:szCs w:val="20"/>
        </w:rPr>
        <w:t xml:space="preserve">z rolnictwem. Zmiany klimatyczne będą wpływać na wzrost zasięgu terytorialnego upraw ciepłolubnych, zwiększenie popytu na nowe produkty, np. na urządzenia chłodnicze </w:t>
      </w:r>
      <w:r w:rsidR="001B0CB3" w:rsidRPr="003478AF">
        <w:rPr>
          <w:rFonts w:cs="Arial"/>
          <w:szCs w:val="20"/>
        </w:rPr>
        <w:br/>
      </w:r>
      <w:r w:rsidRPr="003478AF">
        <w:rPr>
          <w:rFonts w:cs="Arial"/>
          <w:szCs w:val="20"/>
        </w:rPr>
        <w:t>i klimatyzacyjne, rozwój „zielonej gospodarki”, „zielonych innowacji”, ekoprojektowania itp.</w:t>
      </w:r>
    </w:p>
    <w:p w14:paraId="705B6975" w14:textId="1CC2F043" w:rsidR="00E44697" w:rsidRPr="003478AF" w:rsidRDefault="00E44697" w:rsidP="00E44697">
      <w:pPr>
        <w:autoSpaceDE w:val="0"/>
        <w:autoSpaceDN w:val="0"/>
        <w:adjustRightInd w:val="0"/>
        <w:rPr>
          <w:rFonts w:cs="Arial"/>
          <w:szCs w:val="20"/>
        </w:rPr>
      </w:pPr>
      <w:r w:rsidRPr="003478AF">
        <w:rPr>
          <w:rFonts w:cs="Arial"/>
          <w:szCs w:val="20"/>
        </w:rPr>
        <w:lastRenderedPageBreak/>
        <w:t xml:space="preserve">W kontekście wyzwania numer osiem (nr 8) dotyczącego zwiększenia efektywności zarządzania regionem zaznaczono, że w latach 2016-2017 ponad połowa komórek organizacyjnych jednostek administracji publicznej w Wielkopolsce wykazała aktywność </w:t>
      </w:r>
      <w:r w:rsidRPr="003478AF">
        <w:rPr>
          <w:rFonts w:cs="Arial"/>
          <w:szCs w:val="20"/>
        </w:rPr>
        <w:br/>
        <w:t>w obrębie innowacji. Wprowadziły one co najmniej jedną innowację, głównie procesową służącą usprawnieniu metod świadczenia usług. Podkreślono, że rosnący trend zaangażowania jednostek administracji publicznej we wdrażani</w:t>
      </w:r>
      <w:r w:rsidR="00811824" w:rsidRPr="003478AF">
        <w:rPr>
          <w:rFonts w:cs="Arial"/>
          <w:szCs w:val="20"/>
        </w:rPr>
        <w:t>e</w:t>
      </w:r>
      <w:r w:rsidRPr="003478AF">
        <w:rPr>
          <w:rFonts w:cs="Arial"/>
          <w:szCs w:val="20"/>
        </w:rPr>
        <w:t xml:space="preserve"> innowacji jest zjawiskiem pożądanym i oczekiwanym.</w:t>
      </w:r>
    </w:p>
    <w:p w14:paraId="7DE9AF20" w14:textId="3196E91D" w:rsidR="00E44697" w:rsidRPr="003478AF" w:rsidRDefault="00E44697" w:rsidP="00E44697">
      <w:pPr>
        <w:rPr>
          <w:rFonts w:cs="Arial"/>
          <w:szCs w:val="20"/>
        </w:rPr>
      </w:pPr>
      <w:bookmarkStart w:id="43" w:name="_Hlk75910323"/>
      <w:r w:rsidRPr="003478AF">
        <w:t>Należy jednak zauważyć, iż pomimo bardzo dużego znaczenia innowacji w procesie rozwoju regionu, w tym GOZ, w</w:t>
      </w:r>
      <w:r w:rsidRPr="003478AF">
        <w:rPr>
          <w:rFonts w:cs="Arial"/>
          <w:szCs w:val="20"/>
        </w:rPr>
        <w:t xml:space="preserve"> prowadzonych rankingach innowacyjności Wielkopolska nie znajduje się w pierwszej trójce województw. Przykładowo w badaniach prowadzonych przez Bank Millenium, Wielkopolska zajęła siódmą pozycję. Kryteriami oceny były czynniki, które </w:t>
      </w:r>
      <w:r w:rsidRPr="003478AF">
        <w:rPr>
          <w:rFonts w:cs="Arial"/>
          <w:szCs w:val="20"/>
        </w:rPr>
        <w:br/>
        <w:t xml:space="preserve">w największym stopniu wpływają na potencjał innowacyjności regionów. Są to: wydajność pracy, wydatki na badania i rozwój, edukacja policealna, liczba pracujących w sektorze B+R, liczba </w:t>
      </w:r>
      <w:r w:rsidR="00CD39EF" w:rsidRPr="003478AF">
        <w:rPr>
          <w:rFonts w:cs="Arial"/>
          <w:szCs w:val="20"/>
        </w:rPr>
        <w:t xml:space="preserve">udzielonych </w:t>
      </w:r>
      <w:r w:rsidRPr="003478AF">
        <w:rPr>
          <w:rFonts w:cs="Arial"/>
          <w:szCs w:val="20"/>
        </w:rPr>
        <w:t>patentów</w:t>
      </w:r>
      <w:bookmarkEnd w:id="43"/>
      <w:r w:rsidRPr="003478AF">
        <w:rPr>
          <w:rStyle w:val="Odwoanieprzypisudolnego"/>
          <w:rFonts w:cs="Arial"/>
          <w:szCs w:val="20"/>
        </w:rPr>
        <w:footnoteReference w:id="111"/>
      </w:r>
      <w:r w:rsidRPr="003478AF">
        <w:rPr>
          <w:rFonts w:cs="Arial"/>
          <w:szCs w:val="20"/>
        </w:rPr>
        <w:t xml:space="preserve">. </w:t>
      </w:r>
    </w:p>
    <w:p w14:paraId="154B9E5F" w14:textId="7F3A983B" w:rsidR="00E6136F" w:rsidRPr="003478AF" w:rsidRDefault="00E6136F">
      <w:pPr>
        <w:spacing w:line="240" w:lineRule="auto"/>
        <w:ind w:firstLine="0"/>
        <w:jc w:val="left"/>
        <w:rPr>
          <w:rFonts w:eastAsia="Arial" w:cs="Arial"/>
          <w:b/>
          <w:bCs/>
          <w:sz w:val="16"/>
          <w:szCs w:val="16"/>
        </w:rPr>
      </w:pPr>
    </w:p>
    <w:p w14:paraId="08CFB609" w14:textId="367BEF6E" w:rsidR="00E6136F" w:rsidRPr="003478AF" w:rsidRDefault="00E44697" w:rsidP="00986D40">
      <w:pPr>
        <w:pStyle w:val="ARYCINA"/>
      </w:pPr>
      <w:r w:rsidRPr="003478AF">
        <w:t>Ry</w:t>
      </w:r>
      <w:r w:rsidR="005F1A34" w:rsidRPr="003478AF">
        <w:t>c. 4.1</w:t>
      </w:r>
      <w:r w:rsidRPr="003478AF">
        <w:t xml:space="preserve"> Ranking innowacyjnoś</w:t>
      </w:r>
      <w:r w:rsidR="007340CB" w:rsidRPr="003478AF">
        <w:t>ci</w:t>
      </w:r>
      <w:r w:rsidRPr="003478AF">
        <w:t xml:space="preserve"> polskich województw we wrześniu 2020 roku</w:t>
      </w:r>
    </w:p>
    <w:p w14:paraId="6CEDF8C6" w14:textId="7D8C4212" w:rsidR="00E44697" w:rsidRPr="003478AF" w:rsidRDefault="00E44697" w:rsidP="00986D40">
      <w:pPr>
        <w:pStyle w:val="ARYCINA"/>
      </w:pPr>
      <w:r w:rsidRPr="003478AF">
        <w:rPr>
          <w:noProof/>
          <w:lang w:eastAsia="pl-PL"/>
        </w:rPr>
        <w:drawing>
          <wp:inline distT="0" distB="0" distL="0" distR="0" wp14:anchorId="643587F8" wp14:editId="7FC531CE">
            <wp:extent cx="5232838" cy="4262511"/>
            <wp:effectExtent l="0" t="0" r="6350" b="5080"/>
            <wp:docPr id="34" name="Obraz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232838" cy="4262511"/>
                    </a:xfrm>
                    <a:prstGeom prst="rect">
                      <a:avLst/>
                    </a:prstGeom>
                    <a:noFill/>
                    <a:ln>
                      <a:noFill/>
                    </a:ln>
                  </pic:spPr>
                </pic:pic>
              </a:graphicData>
            </a:graphic>
          </wp:inline>
        </w:drawing>
      </w:r>
    </w:p>
    <w:p w14:paraId="006DA7BD" w14:textId="77777777" w:rsidR="00E44697" w:rsidRPr="003478AF" w:rsidRDefault="00E44697" w:rsidP="00986D40">
      <w:pPr>
        <w:pStyle w:val="AZRODLO"/>
      </w:pPr>
      <w:r w:rsidRPr="003478AF">
        <w:t>Źródło: Indeks Millennium 2020. Potencjał Innowacyjności Regionów, Millenium Bank, 2020</w:t>
      </w:r>
    </w:p>
    <w:p w14:paraId="09C8AF0B" w14:textId="6BC01D07" w:rsidR="00E44697" w:rsidRPr="003478AF" w:rsidRDefault="00E44697" w:rsidP="00E44697">
      <w:pPr>
        <w:rPr>
          <w:rFonts w:cs="Arial"/>
          <w:szCs w:val="20"/>
        </w:rPr>
      </w:pPr>
    </w:p>
    <w:p w14:paraId="40DB1010" w14:textId="4AAC78EC" w:rsidR="00583D15" w:rsidRPr="003478AF" w:rsidRDefault="00583D15" w:rsidP="00583D15">
      <w:pPr>
        <w:rPr>
          <w:rFonts w:cs="Arial"/>
          <w:szCs w:val="20"/>
        </w:rPr>
      </w:pPr>
      <w:r w:rsidRPr="003478AF">
        <w:rPr>
          <w:rFonts w:cs="Arial"/>
          <w:szCs w:val="20"/>
        </w:rPr>
        <w:lastRenderedPageBreak/>
        <w:t xml:space="preserve">Obserwując ostatnie pięć lat, analitycy zwracają uwagę na województwa łódzkie </w:t>
      </w:r>
      <w:r w:rsidRPr="003478AF">
        <w:rPr>
          <w:rFonts w:cs="Arial"/>
          <w:szCs w:val="20"/>
        </w:rPr>
        <w:br/>
        <w:t xml:space="preserve">i śląskie, które awansowały o dwie pozycje w zestawieniu i wyprzedziły Wielkopolskę </w:t>
      </w:r>
      <w:r w:rsidRPr="003478AF">
        <w:rPr>
          <w:rFonts w:cs="Arial"/>
          <w:szCs w:val="20"/>
        </w:rPr>
        <w:br/>
        <w:t xml:space="preserve">w rankingach. Te regiony awansowały głównie ze względu na zwiększoną aktywność </w:t>
      </w:r>
      <w:r w:rsidRPr="003478AF">
        <w:rPr>
          <w:rFonts w:cs="Arial"/>
          <w:szCs w:val="20"/>
        </w:rPr>
        <w:br/>
        <w:t>w obszarze B+R. Na potrzeby opracowania Indeksu Millennium zostały wykorzystane ostatnie dostępne dane GUS, tj. z września 2020 roku.</w:t>
      </w:r>
    </w:p>
    <w:p w14:paraId="72EFE102" w14:textId="50621DC6" w:rsidR="00E44697" w:rsidRPr="003478AF" w:rsidRDefault="00E44697" w:rsidP="00E44697">
      <w:pPr>
        <w:rPr>
          <w:rFonts w:cs="Arial"/>
          <w:szCs w:val="20"/>
        </w:rPr>
      </w:pPr>
      <w:r w:rsidRPr="003478AF">
        <w:rPr>
          <w:rFonts w:cs="Arial"/>
          <w:szCs w:val="20"/>
        </w:rPr>
        <w:t xml:space="preserve">Wielkopolska charakteryzuje się bardzo dużym potencjałem gospodarczym – produkt </w:t>
      </w:r>
      <w:r w:rsidR="00E051EC" w:rsidRPr="003478AF">
        <w:rPr>
          <w:rFonts w:cs="Arial"/>
          <w:szCs w:val="20"/>
        </w:rPr>
        <w:t>krajowy</w:t>
      </w:r>
      <w:r w:rsidRPr="003478AF">
        <w:rPr>
          <w:rFonts w:cs="Arial"/>
          <w:szCs w:val="20"/>
        </w:rPr>
        <w:t xml:space="preserve"> brutto</w:t>
      </w:r>
      <w:r w:rsidR="00E051EC" w:rsidRPr="003478AF">
        <w:rPr>
          <w:rFonts w:cs="Arial"/>
          <w:szCs w:val="20"/>
        </w:rPr>
        <w:t xml:space="preserve"> (PKB)</w:t>
      </w:r>
      <w:r w:rsidRPr="003478AF">
        <w:rPr>
          <w:rFonts w:cs="Arial"/>
          <w:szCs w:val="20"/>
        </w:rPr>
        <w:t xml:space="preserve"> na jednego mieszkańca jest jednym z najwyższych w Polsce. </w:t>
      </w:r>
      <w:r w:rsidR="00D511F8" w:rsidRPr="003478AF">
        <w:rPr>
          <w:rFonts w:cs="Arial"/>
          <w:szCs w:val="20"/>
        </w:rPr>
        <w:t>Zjawisku temu s</w:t>
      </w:r>
      <w:r w:rsidRPr="003478AF">
        <w:rPr>
          <w:rFonts w:cs="Arial"/>
          <w:szCs w:val="20"/>
        </w:rPr>
        <w:t xml:space="preserve">przyja wysoka na tle kraju aktywność zawodowa mieszkańców oraz pozytywnie wyróżniający się wskaźnik przedsiębiorczości. Pomimo </w:t>
      </w:r>
      <w:r w:rsidR="00D511F8" w:rsidRPr="003478AF">
        <w:rPr>
          <w:rFonts w:cs="Arial"/>
          <w:szCs w:val="20"/>
        </w:rPr>
        <w:t>tego</w:t>
      </w:r>
      <w:r w:rsidRPr="003478AF">
        <w:rPr>
          <w:rFonts w:cs="Arial"/>
          <w:szCs w:val="20"/>
        </w:rPr>
        <w:t xml:space="preserve"> działalność innowacyjna przedsiębiorstw pozostaje </w:t>
      </w:r>
      <w:r w:rsidR="00D511F8" w:rsidRPr="003478AF">
        <w:rPr>
          <w:rFonts w:cs="Arial"/>
          <w:szCs w:val="20"/>
        </w:rPr>
        <w:t xml:space="preserve">na </w:t>
      </w:r>
      <w:r w:rsidRPr="003478AF">
        <w:rPr>
          <w:rFonts w:cs="Arial"/>
          <w:szCs w:val="20"/>
        </w:rPr>
        <w:t>przeciętn</w:t>
      </w:r>
      <w:r w:rsidR="00D511F8" w:rsidRPr="003478AF">
        <w:rPr>
          <w:rFonts w:cs="Arial"/>
          <w:szCs w:val="20"/>
        </w:rPr>
        <w:t>ym poziomie</w:t>
      </w:r>
      <w:r w:rsidRPr="003478AF">
        <w:rPr>
          <w:rFonts w:cs="Arial"/>
          <w:szCs w:val="20"/>
        </w:rPr>
        <w:t xml:space="preserve">. Pozytywnym wyróżnikiem regionu jest relatywnie wysoki udział w przychodach sprzedaży nowych bądź ulepszonych produktów przemysłowych. Potencjałowi sektora przemysłowego sprzyja dobrze rozwinięta infrastruktura transportowa oraz położenie </w:t>
      </w:r>
      <w:r w:rsidR="00D511F8" w:rsidRPr="003478AF">
        <w:rPr>
          <w:rFonts w:cs="Arial"/>
          <w:szCs w:val="20"/>
        </w:rPr>
        <w:t xml:space="preserve">w ciągu </w:t>
      </w:r>
      <w:r w:rsidRPr="003478AF">
        <w:rPr>
          <w:rFonts w:cs="Arial"/>
          <w:szCs w:val="20"/>
        </w:rPr>
        <w:t>europejski</w:t>
      </w:r>
      <w:r w:rsidR="00D511F8" w:rsidRPr="003478AF">
        <w:rPr>
          <w:rFonts w:cs="Arial"/>
          <w:szCs w:val="20"/>
        </w:rPr>
        <w:t>ego</w:t>
      </w:r>
      <w:r w:rsidRPr="003478AF">
        <w:rPr>
          <w:rFonts w:cs="Arial"/>
          <w:szCs w:val="20"/>
        </w:rPr>
        <w:t xml:space="preserve"> szlaku tranzytow</w:t>
      </w:r>
      <w:r w:rsidR="00D511F8" w:rsidRPr="003478AF">
        <w:rPr>
          <w:rFonts w:cs="Arial"/>
          <w:szCs w:val="20"/>
        </w:rPr>
        <w:t>ego</w:t>
      </w:r>
      <w:r w:rsidRPr="003478AF">
        <w:rPr>
          <w:rFonts w:cs="Arial"/>
          <w:szCs w:val="20"/>
        </w:rPr>
        <w:t>.</w:t>
      </w:r>
    </w:p>
    <w:p w14:paraId="7797EEEA" w14:textId="4DB0149B" w:rsidR="00E44697" w:rsidRPr="003478AF" w:rsidRDefault="00E44697" w:rsidP="00E44697">
      <w:r w:rsidRPr="003478AF">
        <w:t>Według prowadzonego badania Millenium Banku epidemia SARS-CoV-2 nie zmieniła podejścia do innowacyjnych przedsięwzięć. Zmiana, która się dokonała polega</w:t>
      </w:r>
      <w:r w:rsidR="00D511F8" w:rsidRPr="003478AF">
        <w:t>ła</w:t>
      </w:r>
      <w:r w:rsidRPr="003478AF">
        <w:t xml:space="preserve"> głównie na podejściu jakościowym. Obecnie „pierwszeństwo” mają innowacje bazujące na szeroko pojętej digitalizacji i w segmencie e-commerce. Na drugi</w:t>
      </w:r>
      <w:r w:rsidR="009B507A" w:rsidRPr="003478AF">
        <w:t>m</w:t>
      </w:r>
      <w:r w:rsidRPr="003478AF">
        <w:t xml:space="preserve"> plan</w:t>
      </w:r>
      <w:r w:rsidR="009B507A" w:rsidRPr="003478AF">
        <w:t>ie</w:t>
      </w:r>
      <w:r w:rsidRPr="003478AF">
        <w:t xml:space="preserve"> znajdują się innowacje „nietechnologiczne”, choć równie istotne z punktu widzenia budowania wartości, jak np. innowacje z zakresu zarządzania. </w:t>
      </w:r>
    </w:p>
    <w:p w14:paraId="1AB57FDF" w14:textId="5F1D1BA8" w:rsidR="00E44697" w:rsidRPr="003478AF" w:rsidRDefault="00E44697" w:rsidP="00E44697">
      <w:pPr>
        <w:autoSpaceDE w:val="0"/>
        <w:autoSpaceDN w:val="0"/>
        <w:adjustRightInd w:val="0"/>
        <w:rPr>
          <w:rFonts w:cs="Arial"/>
          <w:szCs w:val="20"/>
        </w:rPr>
      </w:pPr>
      <w:bookmarkStart w:id="44" w:name="_Hlk77089673"/>
      <w:r w:rsidRPr="003478AF">
        <w:rPr>
          <w:rFonts w:cstheme="minorHAnsi"/>
        </w:rPr>
        <w:t xml:space="preserve">Natomiast eksperci niniejszego opracowania podobnie podkreślali, iż </w:t>
      </w:r>
      <w:r w:rsidRPr="003478AF">
        <w:rPr>
          <w:rFonts w:cs="Arial"/>
          <w:szCs w:val="20"/>
        </w:rPr>
        <w:t xml:space="preserve">kluczową rolę </w:t>
      </w:r>
      <w:r w:rsidRPr="003478AF">
        <w:rPr>
          <w:rFonts w:cs="Arial"/>
          <w:szCs w:val="20"/>
        </w:rPr>
        <w:br/>
        <w:t>w aspekcie wdrażania GOZ w województwie odegrają innowacje cyfrowe, technologiczne</w:t>
      </w:r>
      <w:r w:rsidR="00CB467B" w:rsidRPr="003478AF">
        <w:rPr>
          <w:rFonts w:cs="Arial"/>
          <w:szCs w:val="20"/>
        </w:rPr>
        <w:t xml:space="preserve"> </w:t>
      </w:r>
      <w:r w:rsidR="001B0CB3" w:rsidRPr="003478AF">
        <w:rPr>
          <w:rFonts w:cs="Arial"/>
          <w:szCs w:val="20"/>
        </w:rPr>
        <w:br/>
      </w:r>
      <w:r w:rsidR="00CB467B" w:rsidRPr="003478AF">
        <w:rPr>
          <w:rFonts w:cs="Arial"/>
          <w:szCs w:val="20"/>
        </w:rPr>
        <w:t>i</w:t>
      </w:r>
      <w:r w:rsidRPr="003478AF">
        <w:rPr>
          <w:rFonts w:cs="Arial"/>
          <w:szCs w:val="20"/>
        </w:rPr>
        <w:t xml:space="preserve"> rewolucja przemysłowa 4.0. </w:t>
      </w:r>
      <w:bookmarkEnd w:id="44"/>
      <w:r w:rsidRPr="003478AF">
        <w:rPr>
          <w:rFonts w:cs="Arial"/>
          <w:szCs w:val="20"/>
        </w:rPr>
        <w:t xml:space="preserve">Duże znaczenie mają również innowacje społeczne. Zasadnicze znaczenie będzie miała forma wsparcia dla podmiotów gospodarczych, wspomagająca je </w:t>
      </w:r>
      <w:r w:rsidRPr="003478AF">
        <w:rPr>
          <w:rFonts w:cs="Arial"/>
          <w:szCs w:val="20"/>
        </w:rPr>
        <w:br/>
        <w:t xml:space="preserve">w prowadzeniu badań na najwyższym poziomie, a następnie we wchodzeniu na rynek </w:t>
      </w:r>
      <w:r w:rsidRPr="003478AF">
        <w:rPr>
          <w:rFonts w:cs="Arial"/>
          <w:szCs w:val="20"/>
        </w:rPr>
        <w:br/>
        <w:t xml:space="preserve">z innowacyjnymi produktami i usługami. Ważną rolę będzie </w:t>
      </w:r>
      <w:r w:rsidR="009B507A" w:rsidRPr="003478AF">
        <w:rPr>
          <w:rFonts w:cs="Arial"/>
          <w:szCs w:val="20"/>
        </w:rPr>
        <w:t xml:space="preserve">odgrywać </w:t>
      </w:r>
      <w:r w:rsidRPr="003478AF">
        <w:rPr>
          <w:rFonts w:cs="Arial"/>
          <w:szCs w:val="20"/>
        </w:rPr>
        <w:t xml:space="preserve">także zintensyfikowanie powiązań i przepływów między edukacją a gospodarką oraz stawianie na odważne, nieszablonowe inicjatywy. Wykorzystanie atutów płynących ze „zdobyczy naukowych </w:t>
      </w:r>
      <w:r w:rsidRPr="003478AF">
        <w:rPr>
          <w:rFonts w:cs="Arial"/>
          <w:szCs w:val="20"/>
        </w:rPr>
        <w:br/>
        <w:t xml:space="preserve">i technicznych”, dalsze pobudzanie i rozwój gospodarki Wielkopolski, a także poprawa warunków życia będą odbywać się w realiach bardziej zrównoważonego, przyjaznego dla środowiska i niskoemisyjnego „zielonego” wzrostu. </w:t>
      </w:r>
    </w:p>
    <w:p w14:paraId="3FF7410A" w14:textId="68548735" w:rsidR="00E44697" w:rsidRPr="003478AF" w:rsidRDefault="00E44697" w:rsidP="00E44697">
      <w:pPr>
        <w:autoSpaceDE w:val="0"/>
        <w:autoSpaceDN w:val="0"/>
        <w:adjustRightInd w:val="0"/>
        <w:rPr>
          <w:rFonts w:cs="Arial"/>
          <w:szCs w:val="20"/>
        </w:rPr>
      </w:pPr>
      <w:r w:rsidRPr="003478AF">
        <w:rPr>
          <w:rFonts w:cs="Arial"/>
          <w:szCs w:val="20"/>
        </w:rPr>
        <w:t xml:space="preserve">Innowacje oraz rewolucja przemysłowa 4.0 już teraz są motorami napędowymi gospodarki. Odpowiednio wykorzystane i ukierunkowane stają się także elementem niezbędnym do tworzenia przyjaznego dla środowiska i niskoemisyjnego, zrównoważonego wzrostu oraz dla efektywnego wdrażania GOZ, przyczyniając się do ochrony przyrody. Działania już podejmowane w ramach poszczególnych celów województwa, a także </w:t>
      </w:r>
      <w:r w:rsidR="009B507A" w:rsidRPr="003478AF">
        <w:rPr>
          <w:rFonts w:cs="Arial"/>
          <w:szCs w:val="20"/>
        </w:rPr>
        <w:t xml:space="preserve">te </w:t>
      </w:r>
      <w:r w:rsidRPr="003478AF">
        <w:rPr>
          <w:rFonts w:cs="Arial"/>
          <w:szCs w:val="20"/>
        </w:rPr>
        <w:t>dopiero planowan</w:t>
      </w:r>
      <w:r w:rsidR="009924D8" w:rsidRPr="003478AF">
        <w:rPr>
          <w:rFonts w:cs="Arial"/>
          <w:szCs w:val="20"/>
        </w:rPr>
        <w:t>e</w:t>
      </w:r>
      <w:r w:rsidRPr="003478AF">
        <w:rPr>
          <w:rFonts w:cs="Arial"/>
          <w:szCs w:val="20"/>
        </w:rPr>
        <w:t xml:space="preserve"> uwzględniają: promowanie kultury innowacyjnej, w tym angażowanie społeczeństwa w proces tworzenia innowacji, rozwój platform współpracy na rzecz innowacji, upowszechnianie alternatywnych źródeł finansowania innowacji, wsparcie wykorzystania nowoczesnych technologii w produkcji i usługach, lepsze wykorzystanie potencjału </w:t>
      </w:r>
      <w:r w:rsidR="009924D8" w:rsidRPr="003478AF">
        <w:rPr>
          <w:rFonts w:cs="Arial"/>
          <w:szCs w:val="20"/>
        </w:rPr>
        <w:t>instytucji otoczenia biznesu</w:t>
      </w:r>
      <w:r w:rsidRPr="003478AF">
        <w:rPr>
          <w:rFonts w:cs="Arial"/>
          <w:szCs w:val="20"/>
        </w:rPr>
        <w:t>, wzmacnianie zdolności podmiotów do absorpcji innowacji.</w:t>
      </w:r>
    </w:p>
    <w:p w14:paraId="0B86EADD" w14:textId="77777777" w:rsidR="00E44697" w:rsidRPr="003478AF" w:rsidRDefault="00E44697" w:rsidP="00E44697">
      <w:pPr>
        <w:autoSpaceDE w:val="0"/>
        <w:autoSpaceDN w:val="0"/>
        <w:adjustRightInd w:val="0"/>
        <w:rPr>
          <w:rFonts w:cs="Arial"/>
          <w:szCs w:val="20"/>
        </w:rPr>
      </w:pPr>
      <w:r w:rsidRPr="003478AF">
        <w:rPr>
          <w:rFonts w:cs="Arial"/>
          <w:szCs w:val="20"/>
        </w:rPr>
        <w:t>Wśród celów strategicznych województwa wielkopolskiego, według RIS w kontekście GOZ i innowacji, należy wyróżnić następujące</w:t>
      </w:r>
      <w:r w:rsidRPr="003478AF">
        <w:rPr>
          <w:rStyle w:val="Odwoanieprzypisudolnego"/>
          <w:rFonts w:cs="Arial"/>
          <w:szCs w:val="20"/>
        </w:rPr>
        <w:footnoteReference w:id="112"/>
      </w:r>
      <w:r w:rsidRPr="003478AF">
        <w:rPr>
          <w:rFonts w:cs="Arial"/>
          <w:szCs w:val="20"/>
        </w:rPr>
        <w:t>:</w:t>
      </w:r>
    </w:p>
    <w:p w14:paraId="51ECC5AC" w14:textId="77777777" w:rsidR="00E44697" w:rsidRPr="003478AF" w:rsidRDefault="00E44697" w:rsidP="00B13D49">
      <w:pPr>
        <w:pStyle w:val="Akapitzlist"/>
        <w:numPr>
          <w:ilvl w:val="0"/>
          <w:numId w:val="20"/>
        </w:numPr>
        <w:autoSpaceDE w:val="0"/>
        <w:autoSpaceDN w:val="0"/>
        <w:adjustRightInd w:val="0"/>
        <w:spacing w:before="120" w:after="120" w:line="360" w:lineRule="auto"/>
        <w:rPr>
          <w:rFonts w:cs="Arial"/>
          <w:szCs w:val="20"/>
        </w:rPr>
      </w:pPr>
      <w:r w:rsidRPr="003478AF">
        <w:rPr>
          <w:rFonts w:cs="Arial"/>
          <w:szCs w:val="20"/>
        </w:rPr>
        <w:t>Zwiększenie aktywności innowacyjnej w Wielkopolsce;</w:t>
      </w:r>
    </w:p>
    <w:p w14:paraId="036849D4" w14:textId="77777777" w:rsidR="00E44697" w:rsidRPr="003478AF" w:rsidRDefault="00E44697" w:rsidP="00B13D49">
      <w:pPr>
        <w:pStyle w:val="Akapitzlist"/>
        <w:numPr>
          <w:ilvl w:val="0"/>
          <w:numId w:val="20"/>
        </w:numPr>
        <w:autoSpaceDE w:val="0"/>
        <w:autoSpaceDN w:val="0"/>
        <w:adjustRightInd w:val="0"/>
        <w:spacing w:before="120" w:after="120" w:line="360" w:lineRule="auto"/>
        <w:rPr>
          <w:rFonts w:cs="Arial"/>
          <w:szCs w:val="20"/>
        </w:rPr>
      </w:pPr>
      <w:r w:rsidRPr="003478AF">
        <w:rPr>
          <w:rFonts w:cs="Arial"/>
          <w:szCs w:val="20"/>
        </w:rPr>
        <w:lastRenderedPageBreak/>
        <w:t>Rozwój regionalnego ekosystemu innowacji;</w:t>
      </w:r>
    </w:p>
    <w:p w14:paraId="52E50489" w14:textId="77777777" w:rsidR="00E44697" w:rsidRPr="003478AF" w:rsidRDefault="00E44697" w:rsidP="00B13D49">
      <w:pPr>
        <w:pStyle w:val="Akapitzlist"/>
        <w:numPr>
          <w:ilvl w:val="0"/>
          <w:numId w:val="20"/>
        </w:numPr>
        <w:autoSpaceDE w:val="0"/>
        <w:autoSpaceDN w:val="0"/>
        <w:adjustRightInd w:val="0"/>
        <w:spacing w:before="120" w:after="120" w:line="360" w:lineRule="auto"/>
        <w:rPr>
          <w:rFonts w:cs="Arial"/>
          <w:szCs w:val="20"/>
        </w:rPr>
      </w:pPr>
      <w:r w:rsidRPr="003478AF">
        <w:rPr>
          <w:rFonts w:cs="Arial"/>
          <w:szCs w:val="20"/>
        </w:rPr>
        <w:t>Włączanie się Wielkopolski w globalne łańcuchy wartości.</w:t>
      </w:r>
    </w:p>
    <w:p w14:paraId="36EBD04A" w14:textId="2E24E6C2" w:rsidR="00E44697" w:rsidRPr="003478AF" w:rsidRDefault="00E44697" w:rsidP="00E44697">
      <w:pPr>
        <w:autoSpaceDE w:val="0"/>
        <w:autoSpaceDN w:val="0"/>
        <w:adjustRightInd w:val="0"/>
        <w:rPr>
          <w:rFonts w:cs="Arial"/>
          <w:szCs w:val="20"/>
        </w:rPr>
      </w:pPr>
      <w:r w:rsidRPr="003478AF">
        <w:rPr>
          <w:rFonts w:cs="Arial"/>
          <w:szCs w:val="20"/>
        </w:rPr>
        <w:t>Natomiast wśród celów horyzontalnych RIS można wyróżnić Zrównoważony rozwój regionu (zeroemisyjność, elektromobilność, zielona energia, transformacja energetyczna, dekarbonizacja, gospodarka obiegu zamkniętego).</w:t>
      </w:r>
    </w:p>
    <w:p w14:paraId="0FA27C87" w14:textId="77777777" w:rsidR="00E44697" w:rsidRPr="003478AF" w:rsidRDefault="00E44697" w:rsidP="00E44697">
      <w:pPr>
        <w:autoSpaceDE w:val="0"/>
        <w:autoSpaceDN w:val="0"/>
        <w:adjustRightInd w:val="0"/>
        <w:rPr>
          <w:rFonts w:cs="Arial"/>
          <w:szCs w:val="20"/>
        </w:rPr>
      </w:pPr>
      <w:bookmarkStart w:id="45" w:name="_Hlk75910361"/>
      <w:r w:rsidRPr="003478AF">
        <w:rPr>
          <w:rFonts w:cs="Arial"/>
          <w:szCs w:val="20"/>
        </w:rPr>
        <w:t>Na podstawie wywiadów przeprowadzonych z ekspertami wskazano trzy kierunki rozwoju innowacyjności w województwie wielkopolskim. Są to:</w:t>
      </w:r>
    </w:p>
    <w:p w14:paraId="6790121E" w14:textId="58B568EE" w:rsidR="00E44697" w:rsidRPr="003478AF" w:rsidRDefault="00E44697" w:rsidP="00B13D49">
      <w:pPr>
        <w:pStyle w:val="Akapitzlist"/>
        <w:numPr>
          <w:ilvl w:val="0"/>
          <w:numId w:val="21"/>
        </w:numPr>
        <w:autoSpaceDE w:val="0"/>
        <w:autoSpaceDN w:val="0"/>
        <w:adjustRightInd w:val="0"/>
        <w:spacing w:before="120" w:after="120" w:line="360" w:lineRule="auto"/>
        <w:rPr>
          <w:rFonts w:cs="Arial"/>
          <w:szCs w:val="20"/>
        </w:rPr>
      </w:pPr>
      <w:r w:rsidRPr="003478AF">
        <w:rPr>
          <w:rFonts w:cs="Arial"/>
          <w:szCs w:val="20"/>
        </w:rPr>
        <w:t>Przetwarzani</w:t>
      </w:r>
      <w:r w:rsidR="00C64B3D" w:rsidRPr="003478AF">
        <w:rPr>
          <w:rFonts w:cs="Arial"/>
          <w:szCs w:val="20"/>
        </w:rPr>
        <w:t>e</w:t>
      </w:r>
      <w:r w:rsidRPr="003478AF">
        <w:rPr>
          <w:rFonts w:cs="Arial"/>
          <w:szCs w:val="20"/>
        </w:rPr>
        <w:t xml:space="preserve"> bioodpadów na energię i biopaliwa</w:t>
      </w:r>
      <w:r w:rsidR="007E6814" w:rsidRPr="003478AF">
        <w:rPr>
          <w:rFonts w:cs="Arial"/>
          <w:szCs w:val="20"/>
        </w:rPr>
        <w:t>;</w:t>
      </w:r>
    </w:p>
    <w:p w14:paraId="1D140941" w14:textId="08CA9F19" w:rsidR="00E44697" w:rsidRPr="003478AF" w:rsidRDefault="00E051EC" w:rsidP="00B13D49">
      <w:pPr>
        <w:pStyle w:val="Akapitzlist"/>
        <w:numPr>
          <w:ilvl w:val="0"/>
          <w:numId w:val="21"/>
        </w:numPr>
        <w:autoSpaceDE w:val="0"/>
        <w:autoSpaceDN w:val="0"/>
        <w:adjustRightInd w:val="0"/>
        <w:spacing w:before="120" w:after="120" w:line="360" w:lineRule="auto"/>
        <w:rPr>
          <w:rFonts w:cs="Arial"/>
          <w:szCs w:val="20"/>
        </w:rPr>
      </w:pPr>
      <w:r w:rsidRPr="003478AF">
        <w:t>Zrównoważone budownictwo</w:t>
      </w:r>
      <w:r w:rsidR="007E6814" w:rsidRPr="003478AF">
        <w:t>;</w:t>
      </w:r>
    </w:p>
    <w:p w14:paraId="24B3BBDC" w14:textId="77777777" w:rsidR="00E44697" w:rsidRPr="003478AF" w:rsidRDefault="00E44697" w:rsidP="00B13D49">
      <w:pPr>
        <w:pStyle w:val="Akapitzlist"/>
        <w:numPr>
          <w:ilvl w:val="0"/>
          <w:numId w:val="21"/>
        </w:numPr>
        <w:autoSpaceDE w:val="0"/>
        <w:autoSpaceDN w:val="0"/>
        <w:adjustRightInd w:val="0"/>
        <w:spacing w:before="120" w:after="120" w:line="360" w:lineRule="auto"/>
        <w:rPr>
          <w:rFonts w:cs="Arial"/>
          <w:szCs w:val="20"/>
        </w:rPr>
      </w:pPr>
      <w:r w:rsidRPr="003478AF">
        <w:t>Inteligentne opakowania.</w:t>
      </w:r>
    </w:p>
    <w:bookmarkEnd w:id="45"/>
    <w:p w14:paraId="1E3AB812" w14:textId="77777777" w:rsidR="00E44697" w:rsidRPr="003478AF" w:rsidRDefault="00E44697" w:rsidP="00175EF7">
      <w:pPr>
        <w:ind w:firstLine="0"/>
        <w:rPr>
          <w:rFonts w:cs="Arial"/>
          <w:b/>
          <w:bCs/>
          <w:szCs w:val="20"/>
        </w:rPr>
      </w:pPr>
      <w:r w:rsidRPr="003478AF">
        <w:rPr>
          <w:rFonts w:cs="Arial"/>
          <w:b/>
          <w:bCs/>
          <w:szCs w:val="20"/>
        </w:rPr>
        <w:t>Przetwarzanie bioodpadów na energię i biopaliwa</w:t>
      </w:r>
    </w:p>
    <w:p w14:paraId="4DB45983" w14:textId="0DD3DD70" w:rsidR="00E44697" w:rsidRPr="003478AF" w:rsidRDefault="00E44697" w:rsidP="00E44697">
      <w:pPr>
        <w:rPr>
          <w:rFonts w:cs="Arial"/>
          <w:szCs w:val="20"/>
        </w:rPr>
      </w:pPr>
      <w:r w:rsidRPr="003478AF">
        <w:rPr>
          <w:rFonts w:cs="Arial"/>
          <w:szCs w:val="20"/>
        </w:rPr>
        <w:t>Przetwarzani</w:t>
      </w:r>
      <w:r w:rsidR="000654D9" w:rsidRPr="003478AF">
        <w:rPr>
          <w:rFonts w:cs="Arial"/>
          <w:szCs w:val="20"/>
        </w:rPr>
        <w:t>e</w:t>
      </w:r>
      <w:r w:rsidRPr="003478AF">
        <w:rPr>
          <w:rFonts w:cs="Arial"/>
          <w:szCs w:val="20"/>
        </w:rPr>
        <w:t xml:space="preserve"> bioodpadów na energię i biopaliwa to istotny kierunek rozwoju GOZ. Coraz więcej wielkopolskich firm interesuje się zmniejszaniem śladu węglowego w produktach, co wiąże się z implementacją różnych rozwiązań </w:t>
      </w:r>
      <w:r w:rsidR="005C08D3" w:rsidRPr="003478AF">
        <w:rPr>
          <w:rFonts w:cs="Arial"/>
          <w:szCs w:val="20"/>
        </w:rPr>
        <w:t xml:space="preserve">związanych z </w:t>
      </w:r>
      <w:r w:rsidRPr="003478AF">
        <w:rPr>
          <w:rFonts w:cs="Arial"/>
          <w:szCs w:val="20"/>
        </w:rPr>
        <w:t xml:space="preserve">OZE. Bio-LPG i bio-LNG </w:t>
      </w:r>
      <w:r w:rsidR="001B0CB3" w:rsidRPr="003478AF">
        <w:rPr>
          <w:rFonts w:cs="Arial"/>
          <w:szCs w:val="20"/>
        </w:rPr>
        <w:br/>
      </w:r>
      <w:r w:rsidRPr="003478AF">
        <w:rPr>
          <w:rFonts w:cs="Arial"/>
          <w:szCs w:val="20"/>
        </w:rPr>
        <w:t xml:space="preserve">w przyszłości, obok wodoru, mogą być szeroko stosowanym paliwem alternatywnym. Jest to szczególnie istotne </w:t>
      </w:r>
      <w:r w:rsidR="007E6814" w:rsidRPr="003478AF">
        <w:rPr>
          <w:rFonts w:cs="Arial"/>
          <w:szCs w:val="20"/>
        </w:rPr>
        <w:t>w</w:t>
      </w:r>
      <w:r w:rsidR="000654D9" w:rsidRPr="003478AF">
        <w:rPr>
          <w:rFonts w:cs="Arial"/>
          <w:szCs w:val="20"/>
        </w:rPr>
        <w:t xml:space="preserve"> </w:t>
      </w:r>
      <w:r w:rsidRPr="003478AF">
        <w:rPr>
          <w:rFonts w:cs="Arial"/>
          <w:szCs w:val="20"/>
        </w:rPr>
        <w:t>perspektywie dążenia do stopniowej redukcji emisji gazów cieplarnianych we wszystkich sektorach gospodarki, m.in. w motoryzacji</w:t>
      </w:r>
      <w:r w:rsidRPr="003478AF">
        <w:rPr>
          <w:rStyle w:val="Odwoanieprzypisudolnego"/>
          <w:rFonts w:cs="Arial"/>
          <w:szCs w:val="20"/>
        </w:rPr>
        <w:footnoteReference w:id="113"/>
      </w:r>
      <w:r w:rsidRPr="003478AF">
        <w:rPr>
          <w:rFonts w:cs="Arial"/>
          <w:szCs w:val="20"/>
        </w:rPr>
        <w:t xml:space="preserve">. </w:t>
      </w:r>
    </w:p>
    <w:p w14:paraId="1ADAE1AA" w14:textId="3B429BB7" w:rsidR="00E44697" w:rsidRPr="003478AF" w:rsidRDefault="00E44697" w:rsidP="00E44697">
      <w:pPr>
        <w:rPr>
          <w:rFonts w:cs="Arial"/>
          <w:szCs w:val="20"/>
        </w:rPr>
      </w:pPr>
      <w:r w:rsidRPr="003478AF">
        <w:rPr>
          <w:rFonts w:cs="Arial"/>
          <w:szCs w:val="20"/>
        </w:rPr>
        <w:t>W Polsce 14% spośród zarejestrowanych pojazdów zasilanych jest gazem płynnym LPG</w:t>
      </w:r>
      <w:r w:rsidRPr="003478AF">
        <w:rPr>
          <w:rStyle w:val="Odwoanieprzypisudolnego"/>
          <w:rFonts w:cs="Arial"/>
          <w:szCs w:val="20"/>
        </w:rPr>
        <w:footnoteReference w:id="114"/>
      </w:r>
      <w:r w:rsidRPr="003478AF">
        <w:rPr>
          <w:rFonts w:cs="Arial"/>
          <w:szCs w:val="20"/>
        </w:rPr>
        <w:t xml:space="preserve">. Według Polskiej Organizacji Gazu Płynnego, na koniec 2019 roku po polskich drogach poruszało się 3,28 mln pojazdów osobowych zasilanych LPG (147 tys. więcej niż w 2018 roku), co plasuje Polskę na drugiej pozycji na świecie pod względem liczby tego typu pojazdów. Podobna </w:t>
      </w:r>
      <w:r w:rsidR="003F6C02" w:rsidRPr="003478AF">
        <w:rPr>
          <w:rFonts w:cs="Arial"/>
          <w:szCs w:val="20"/>
        </w:rPr>
        <w:t xml:space="preserve">sytuacja </w:t>
      </w:r>
      <w:r w:rsidRPr="003478AF">
        <w:rPr>
          <w:rFonts w:cs="Arial"/>
          <w:szCs w:val="20"/>
        </w:rPr>
        <w:t>dotyczy punktów tankowania LPG (</w:t>
      </w:r>
      <w:r w:rsidR="00146BCB" w:rsidRPr="003478AF">
        <w:rPr>
          <w:rFonts w:cs="Arial"/>
          <w:szCs w:val="20"/>
        </w:rPr>
        <w:t xml:space="preserve">druga </w:t>
      </w:r>
      <w:r w:rsidRPr="003478AF">
        <w:rPr>
          <w:rFonts w:cs="Arial"/>
          <w:szCs w:val="20"/>
        </w:rPr>
        <w:t xml:space="preserve">pozycja </w:t>
      </w:r>
      <w:r w:rsidR="00146BCB" w:rsidRPr="003478AF">
        <w:rPr>
          <w:rFonts w:cs="Arial"/>
          <w:szCs w:val="20"/>
        </w:rPr>
        <w:t xml:space="preserve">na świecie, </w:t>
      </w:r>
      <w:r w:rsidRPr="003478AF">
        <w:rPr>
          <w:rFonts w:cs="Arial"/>
          <w:szCs w:val="20"/>
        </w:rPr>
        <w:t>za Turcją)</w:t>
      </w:r>
      <w:r w:rsidRPr="003478AF">
        <w:rPr>
          <w:rStyle w:val="Odwoanieprzypisudolnego"/>
          <w:rFonts w:cs="Arial"/>
          <w:szCs w:val="20"/>
        </w:rPr>
        <w:footnoteReference w:id="115"/>
      </w:r>
      <w:r w:rsidRPr="003478AF">
        <w:rPr>
          <w:rFonts w:cs="Arial"/>
          <w:szCs w:val="20"/>
        </w:rPr>
        <w:t xml:space="preserve">. Polska jako lider UE pod względem konsumpcji autogazu, znajduje się równocześnie </w:t>
      </w:r>
      <w:r w:rsidR="001B0CB3" w:rsidRPr="003478AF">
        <w:rPr>
          <w:rFonts w:cs="Arial"/>
          <w:szCs w:val="20"/>
        </w:rPr>
        <w:br/>
      </w:r>
      <w:r w:rsidRPr="003478AF">
        <w:rPr>
          <w:rFonts w:cs="Arial"/>
          <w:szCs w:val="20"/>
        </w:rPr>
        <w:t xml:space="preserve">w czołówce światowej państw o największym zużyciu LPG do celów transportowych (za Turcją, Rosją i Koreą Południową). </w:t>
      </w:r>
    </w:p>
    <w:p w14:paraId="5A0FFFE3" w14:textId="77777777" w:rsidR="00E44697" w:rsidRPr="003478AF" w:rsidRDefault="00E44697" w:rsidP="00E44697">
      <w:pPr>
        <w:rPr>
          <w:rFonts w:cs="Arial"/>
          <w:szCs w:val="20"/>
        </w:rPr>
      </w:pPr>
      <w:r w:rsidRPr="003478AF">
        <w:rPr>
          <w:rFonts w:cs="Arial"/>
          <w:szCs w:val="20"/>
        </w:rPr>
        <w:t>W Wielkopolsce w 2019 roku zarejestrowanych było 257 018 pojazdów zasilanych LPG</w:t>
      </w:r>
      <w:r w:rsidRPr="003478AF">
        <w:rPr>
          <w:rStyle w:val="Odwoanieprzypisudolnego"/>
          <w:rFonts w:cs="Arial"/>
          <w:szCs w:val="20"/>
        </w:rPr>
        <w:footnoteReference w:id="116"/>
      </w:r>
      <w:r w:rsidRPr="003478AF">
        <w:rPr>
          <w:rFonts w:cs="Arial"/>
          <w:szCs w:val="20"/>
        </w:rPr>
        <w:t>, co stanowiło 7,3% zasilanych tym paliwem pojazdów w Polsce. Inne paliwa (poza benzyną, LPG, olejem napędowym)</w:t>
      </w:r>
      <w:r w:rsidRPr="003478AF">
        <w:rPr>
          <w:rStyle w:val="Odwoanieprzypisudolnego"/>
          <w:rFonts w:cs="Arial"/>
          <w:szCs w:val="20"/>
        </w:rPr>
        <w:footnoteReference w:id="117"/>
      </w:r>
      <w:r w:rsidRPr="003478AF">
        <w:rPr>
          <w:rFonts w:cs="Arial"/>
          <w:szCs w:val="20"/>
        </w:rPr>
        <w:t xml:space="preserve"> wykorzystywane były przez 69 155 jednostek </w:t>
      </w:r>
      <w:r w:rsidRPr="003478AF">
        <w:rPr>
          <w:rFonts w:cs="Arial"/>
          <w:szCs w:val="20"/>
        </w:rPr>
        <w:br/>
        <w:t>w województwie (6,9% ogółu pojazdów wykorzystujących inne paliwa).</w:t>
      </w:r>
    </w:p>
    <w:p w14:paraId="32D88C18" w14:textId="77777777" w:rsidR="00E44697" w:rsidRPr="003478AF" w:rsidRDefault="00E44697" w:rsidP="00E44697">
      <w:pPr>
        <w:rPr>
          <w:rFonts w:cs="Arial"/>
          <w:szCs w:val="20"/>
        </w:rPr>
      </w:pPr>
      <w:r w:rsidRPr="003478AF">
        <w:rPr>
          <w:rFonts w:cs="Arial"/>
          <w:szCs w:val="20"/>
        </w:rPr>
        <w:t>W przypadku taboru komunikacji miejskiej, w Polsce można było wyróżnić w 2019 roku 1 180 autobusów zasilanych paliwem alternatywnym</w:t>
      </w:r>
      <w:r w:rsidRPr="003478AF">
        <w:rPr>
          <w:rStyle w:val="Odwoanieprzypisudolnego"/>
          <w:rFonts w:cs="Arial"/>
          <w:szCs w:val="20"/>
        </w:rPr>
        <w:footnoteReference w:id="118"/>
      </w:r>
      <w:r w:rsidRPr="003478AF">
        <w:rPr>
          <w:rFonts w:cs="Arial"/>
          <w:szCs w:val="20"/>
        </w:rPr>
        <w:t>, co stanowiło wzrost o 40% w stosunku do roku poprzedniego i jednocześnie wynosiło 9,7% ogólnej liczby tych pojazdów, Według danych GUS 775 zarejestrowanych autobusów w Polsce wykorzystywało LPG do napędu, natomiast w Wielkopolsce znajdowały się 4 jednostki.</w:t>
      </w:r>
    </w:p>
    <w:p w14:paraId="38834C63" w14:textId="5714D5F1" w:rsidR="00E44697" w:rsidRPr="003478AF" w:rsidRDefault="00E44697" w:rsidP="00E44697">
      <w:pPr>
        <w:rPr>
          <w:rFonts w:cs="Arial"/>
          <w:szCs w:val="20"/>
        </w:rPr>
      </w:pPr>
      <w:r w:rsidRPr="003478AF">
        <w:rPr>
          <w:rFonts w:cs="Arial"/>
          <w:szCs w:val="20"/>
        </w:rPr>
        <w:lastRenderedPageBreak/>
        <w:t xml:space="preserve">W ostatnich latach rozwija się również rynek napędzanych LNG pojazdów drogowych (głównie pojazdy ciężarowe typu heavy-duty). </w:t>
      </w:r>
      <w:r w:rsidR="00103D94" w:rsidRPr="003478AF">
        <w:rPr>
          <w:rFonts w:cs="Arial"/>
          <w:szCs w:val="20"/>
        </w:rPr>
        <w:t xml:space="preserve">Liczba </w:t>
      </w:r>
      <w:r w:rsidRPr="003478AF">
        <w:rPr>
          <w:rFonts w:cs="Arial"/>
          <w:szCs w:val="20"/>
        </w:rPr>
        <w:t xml:space="preserve">zarejestrowanych samochodów osobowych i dostawczych (CNG/LNG) na koniec 2019 roku wynosiła </w:t>
      </w:r>
      <w:r w:rsidR="00103D94" w:rsidRPr="003478AF">
        <w:rPr>
          <w:rFonts w:cs="Arial"/>
          <w:szCs w:val="20"/>
        </w:rPr>
        <w:t>4 </w:t>
      </w:r>
      <w:r w:rsidRPr="003478AF">
        <w:rPr>
          <w:rFonts w:cs="Arial"/>
          <w:szCs w:val="20"/>
        </w:rPr>
        <w:t>984 szt</w:t>
      </w:r>
      <w:r w:rsidR="00545567" w:rsidRPr="003478AF">
        <w:rPr>
          <w:rFonts w:cs="Arial"/>
          <w:szCs w:val="20"/>
        </w:rPr>
        <w:t>.</w:t>
      </w:r>
      <w:r w:rsidRPr="003478AF">
        <w:rPr>
          <w:rStyle w:val="Odwoanieprzypisudolnego"/>
          <w:rFonts w:cs="Arial"/>
          <w:szCs w:val="20"/>
        </w:rPr>
        <w:footnoteReference w:id="119"/>
      </w:r>
      <w:r w:rsidRPr="003478AF">
        <w:rPr>
          <w:rFonts w:cs="Arial"/>
          <w:szCs w:val="20"/>
        </w:rPr>
        <w:t xml:space="preserve"> W 2020 roku liczba pojazdów ciężarowych zasilanych LNG szacowana była na </w:t>
      </w:r>
      <w:r w:rsidR="00786D3A" w:rsidRPr="003478AF">
        <w:rPr>
          <w:rFonts w:cs="Arial"/>
          <w:szCs w:val="20"/>
        </w:rPr>
        <w:t>1 000</w:t>
      </w:r>
      <w:r w:rsidRPr="003478AF">
        <w:rPr>
          <w:rFonts w:cs="Arial"/>
          <w:szCs w:val="20"/>
        </w:rPr>
        <w:t xml:space="preserve"> jednostek</w:t>
      </w:r>
      <w:r w:rsidRPr="003478AF">
        <w:rPr>
          <w:rStyle w:val="Odwoanieprzypisudolnego"/>
          <w:rFonts w:cs="Arial"/>
          <w:szCs w:val="20"/>
        </w:rPr>
        <w:footnoteReference w:id="120"/>
      </w:r>
      <w:r w:rsidRPr="003478AF">
        <w:rPr>
          <w:rFonts w:cs="Arial"/>
          <w:szCs w:val="20"/>
        </w:rPr>
        <w:t>. Rozbudowa sieci tankowania LNG nie jest natomiast znacząca.</w:t>
      </w:r>
    </w:p>
    <w:p w14:paraId="20163960" w14:textId="77777777" w:rsidR="00E44697" w:rsidRPr="003478AF" w:rsidRDefault="00E44697" w:rsidP="00E44697">
      <w:pPr>
        <w:rPr>
          <w:rFonts w:cs="Arial"/>
          <w:szCs w:val="20"/>
        </w:rPr>
      </w:pPr>
      <w:r w:rsidRPr="003478AF">
        <w:rPr>
          <w:rFonts w:cs="Arial"/>
          <w:szCs w:val="20"/>
        </w:rPr>
        <w:t xml:space="preserve">Pod względem zastosowania w transporcie bio-LPG może być komplementarny </w:t>
      </w:r>
      <w:r w:rsidRPr="003478AF">
        <w:rPr>
          <w:rFonts w:cs="Arial"/>
          <w:szCs w:val="20"/>
        </w:rPr>
        <w:br/>
        <w:t>w stosunku do konwencjonalnego gazu płynnego. Obecnie promowane są możliwości jakie stwarzają biopaliwa, których wykorzystanie skutkuje znacznie niższą emisją gazów cieplarnianych w porównaniu do paliw kopalnianych, a także nie wpływają na ograniczenie produkcji żywności. Coraz więcej firm chce wykorzystywać do napędu taboru transportowego bio-LPG (bio propan) lub bio-LNG (skroplony biometan), by uczynić transport bardziej ekologicznym.</w:t>
      </w:r>
    </w:p>
    <w:p w14:paraId="0FA3CF53" w14:textId="13E2DBB8" w:rsidR="00E44697" w:rsidRPr="003478AF" w:rsidRDefault="00E44697" w:rsidP="00E44697">
      <w:pPr>
        <w:rPr>
          <w:rFonts w:cs="Arial"/>
          <w:szCs w:val="20"/>
        </w:rPr>
      </w:pPr>
      <w:r w:rsidRPr="003478AF">
        <w:rPr>
          <w:rFonts w:cs="Arial"/>
          <w:szCs w:val="20"/>
        </w:rPr>
        <w:t>Jedyną powszechnie wykorzystywaną komercyjnie metodą produkcji bio-LPG jest tzw. hydrogenation-derived renewable diesel (HDRD), rozwijaną w kooperacji firm Neste Oil, Dynamic Fuels i ConocoPhillips</w:t>
      </w:r>
      <w:r w:rsidRPr="003478AF">
        <w:rPr>
          <w:rStyle w:val="Odwoanieprzypisudolnego"/>
          <w:rFonts w:cs="Arial"/>
          <w:szCs w:val="20"/>
        </w:rPr>
        <w:footnoteReference w:id="121"/>
      </w:r>
      <w:r w:rsidRPr="003478AF">
        <w:rPr>
          <w:rFonts w:cs="Arial"/>
          <w:szCs w:val="20"/>
        </w:rPr>
        <w:t xml:space="preserve">. Uproszczony schemat produkcji przedstawia </w:t>
      </w:r>
      <w:r w:rsidR="00381971" w:rsidRPr="003478AF">
        <w:rPr>
          <w:rFonts w:cs="Arial"/>
          <w:szCs w:val="20"/>
        </w:rPr>
        <w:t>ryc.</w:t>
      </w:r>
      <w:r w:rsidR="00915A76" w:rsidRPr="003478AF">
        <w:rPr>
          <w:rFonts w:cs="Arial"/>
          <w:szCs w:val="20"/>
        </w:rPr>
        <w:t xml:space="preserve"> 4.2</w:t>
      </w:r>
      <w:r w:rsidRPr="003478AF">
        <w:rPr>
          <w:rFonts w:cs="Arial"/>
          <w:szCs w:val="20"/>
        </w:rPr>
        <w:t>.</w:t>
      </w:r>
    </w:p>
    <w:p w14:paraId="2279C65C" w14:textId="77777777" w:rsidR="00545567" w:rsidRPr="003478AF" w:rsidRDefault="00545567" w:rsidP="00986D40">
      <w:pPr>
        <w:pStyle w:val="ARYCINA"/>
      </w:pPr>
    </w:p>
    <w:p w14:paraId="6B6F58BE" w14:textId="29130577" w:rsidR="00824E64" w:rsidRPr="003478AF" w:rsidRDefault="00824E64">
      <w:pPr>
        <w:spacing w:line="240" w:lineRule="auto"/>
        <w:ind w:firstLine="0"/>
        <w:jc w:val="left"/>
        <w:rPr>
          <w:rFonts w:eastAsia="Arial" w:cs="Arial"/>
          <w:b/>
          <w:bCs/>
          <w:sz w:val="16"/>
          <w:szCs w:val="16"/>
        </w:rPr>
      </w:pPr>
    </w:p>
    <w:p w14:paraId="452A6826" w14:textId="17A33685" w:rsidR="003A1CE4" w:rsidRPr="003478AF" w:rsidRDefault="00E44697" w:rsidP="00986D40">
      <w:pPr>
        <w:pStyle w:val="ARYCINA"/>
      </w:pPr>
      <w:r w:rsidRPr="003478AF">
        <w:t>Ryc.</w:t>
      </w:r>
      <w:r w:rsidR="00915A76" w:rsidRPr="003478AF">
        <w:t xml:space="preserve"> 4.2 </w:t>
      </w:r>
      <w:r w:rsidRPr="003478AF">
        <w:t>Schemat produkcji bio-LPG według firmy Neste</w:t>
      </w:r>
    </w:p>
    <w:p w14:paraId="1D391F1B" w14:textId="44608064" w:rsidR="00E44697" w:rsidRPr="003478AF" w:rsidRDefault="00E44697" w:rsidP="00986D40">
      <w:pPr>
        <w:pStyle w:val="ARYCINA"/>
      </w:pPr>
      <w:r w:rsidRPr="003478AF">
        <w:rPr>
          <w:noProof/>
          <w:lang w:eastAsia="pl-PL"/>
        </w:rPr>
        <w:drawing>
          <wp:inline distT="0" distB="0" distL="0" distR="0" wp14:anchorId="70D47688" wp14:editId="1B27AEA3">
            <wp:extent cx="4562475" cy="2314575"/>
            <wp:effectExtent l="0" t="0" r="0" b="9525"/>
            <wp:docPr id="7" name="Diagram 7"/>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3" r:lo="rId44" r:qs="rId45" r:cs="rId46"/>
              </a:graphicData>
            </a:graphic>
          </wp:inline>
        </w:drawing>
      </w:r>
    </w:p>
    <w:p w14:paraId="336B1FBB" w14:textId="77777777" w:rsidR="00E44697" w:rsidRPr="003478AF" w:rsidRDefault="00E44697" w:rsidP="00986D40">
      <w:pPr>
        <w:pStyle w:val="AZRODLO"/>
      </w:pPr>
      <w:r w:rsidRPr="003478AF">
        <w:t>Źródło: opracowanie własne na podstawie SHV Energy</w:t>
      </w:r>
    </w:p>
    <w:p w14:paraId="2FAD295E" w14:textId="77777777" w:rsidR="00E44697" w:rsidRPr="003478AF" w:rsidRDefault="00E44697" w:rsidP="00E44697">
      <w:pPr>
        <w:rPr>
          <w:rFonts w:cs="Arial"/>
          <w:szCs w:val="20"/>
        </w:rPr>
      </w:pPr>
    </w:p>
    <w:p w14:paraId="2118CC39" w14:textId="77777777" w:rsidR="00E44697" w:rsidRPr="003478AF" w:rsidRDefault="00E44697" w:rsidP="00E44697">
      <w:pPr>
        <w:rPr>
          <w:rFonts w:cs="Arial"/>
          <w:szCs w:val="20"/>
        </w:rPr>
      </w:pPr>
      <w:r w:rsidRPr="003478AF">
        <w:rPr>
          <w:rFonts w:cs="Arial"/>
          <w:szCs w:val="20"/>
        </w:rPr>
        <w:t xml:space="preserve">W przypadku Wielkopolski szczególne znaczenie może mieć bio-LNG. Skroplony gaz ziemny jest postrzegany jako przyjazne dla środowiska źródło energii dla transportu drogowego, jednak kopalny LNG należy zastąpić zrównoważoną, syntetyczną wersją produkowaną przy użyciu OZE. Rozwiązaniem ekologicznym jest wykorzystanie do produkcji zaawansowanych biopaliw odpadów organicznych i materiału roślinnego. </w:t>
      </w:r>
    </w:p>
    <w:p w14:paraId="4F5F6EB6" w14:textId="55607370" w:rsidR="00E44697" w:rsidRPr="003478AF" w:rsidRDefault="00E44697" w:rsidP="00E44697">
      <w:pPr>
        <w:rPr>
          <w:rFonts w:cs="Arial"/>
          <w:szCs w:val="20"/>
        </w:rPr>
      </w:pPr>
      <w:r w:rsidRPr="003478AF">
        <w:rPr>
          <w:rFonts w:cs="Arial"/>
          <w:szCs w:val="20"/>
        </w:rPr>
        <w:t xml:space="preserve">Wielkopolska posiada duży potencjał inwestycyjny wynikający m.in. z rozwiniętego rolnictwa, produkcji zwierzęcej i tysięcy pryzm obornika. Potencjał ten oszacowano na ponad </w:t>
      </w:r>
      <w:r w:rsidR="00786D3A" w:rsidRPr="003478AF">
        <w:rPr>
          <w:rFonts w:cs="Arial"/>
          <w:szCs w:val="20"/>
        </w:rPr>
        <w:lastRenderedPageBreak/>
        <w:t>1 000</w:t>
      </w:r>
      <w:r w:rsidRPr="003478AF">
        <w:rPr>
          <w:rFonts w:cs="Arial"/>
          <w:szCs w:val="20"/>
        </w:rPr>
        <w:t xml:space="preserve"> biogazowni, co stanowi równoważnik 1 mld m</w:t>
      </w:r>
      <w:r w:rsidRPr="003478AF">
        <w:rPr>
          <w:rFonts w:cs="Arial"/>
          <w:szCs w:val="20"/>
          <w:vertAlign w:val="superscript"/>
        </w:rPr>
        <w:t>3</w:t>
      </w:r>
      <w:r w:rsidRPr="003478AF">
        <w:rPr>
          <w:rFonts w:cs="Arial"/>
          <w:szCs w:val="20"/>
        </w:rPr>
        <w:t xml:space="preserve"> biometanu rocznie, wskazując na możliwy rozwój bio-LNG jako alternatywnego paliwa. </w:t>
      </w:r>
    </w:p>
    <w:p w14:paraId="1B272B50" w14:textId="67A319EB" w:rsidR="00E44697" w:rsidRPr="003478AF" w:rsidRDefault="00E44697" w:rsidP="00E44697">
      <w:pPr>
        <w:rPr>
          <w:rFonts w:cs="Arial"/>
          <w:szCs w:val="20"/>
        </w:rPr>
      </w:pPr>
      <w:r w:rsidRPr="003478AF">
        <w:rPr>
          <w:rFonts w:cs="Arial"/>
          <w:szCs w:val="20"/>
        </w:rPr>
        <w:t>Prace w tym kierunku wspierają również działania w ramach regionalnej inteligentnej specjalizacji Biosurowce i żywność dla świadomych konsumentów, której zakres obejmuje m.in. ekologiczną produkcję żywności i zagospodarowanie odpadów.</w:t>
      </w:r>
    </w:p>
    <w:p w14:paraId="71E98E13" w14:textId="39062107" w:rsidR="00E44697" w:rsidRPr="003478AF" w:rsidRDefault="00E44697" w:rsidP="00E6136F">
      <w:pPr>
        <w:rPr>
          <w:rFonts w:cs="Arial"/>
          <w:szCs w:val="20"/>
        </w:rPr>
      </w:pPr>
      <w:r w:rsidRPr="003478AF">
        <w:rPr>
          <w:rFonts w:cs="Arial"/>
          <w:szCs w:val="20"/>
        </w:rPr>
        <w:t xml:space="preserve">Ponadto istnieje bardzo duży potencjał Wielkopolski dla rozwoju rynku rolniczych biogazowni wykorzystujących odpady z produkcji zwierzęcej, rolniczej i przetwórstwa żywności, co istotnie przyczyni się </w:t>
      </w:r>
      <w:r w:rsidR="00FA1A42" w:rsidRPr="003478AF">
        <w:rPr>
          <w:rFonts w:cs="Arial"/>
          <w:szCs w:val="20"/>
        </w:rPr>
        <w:t xml:space="preserve">do </w:t>
      </w:r>
      <w:r w:rsidRPr="003478AF">
        <w:rPr>
          <w:rFonts w:cs="Arial"/>
          <w:szCs w:val="20"/>
        </w:rPr>
        <w:t>rozwoju czystych i tanich źródeł energii. Są one szansą na zwiększenie dochodów w sektor</w:t>
      </w:r>
      <w:r w:rsidR="006D6D77" w:rsidRPr="003478AF">
        <w:rPr>
          <w:rFonts w:cs="Arial"/>
          <w:szCs w:val="20"/>
        </w:rPr>
        <w:t>ach</w:t>
      </w:r>
      <w:r w:rsidRPr="003478AF">
        <w:rPr>
          <w:rFonts w:cs="Arial"/>
          <w:szCs w:val="20"/>
        </w:rPr>
        <w:t xml:space="preserve"> rolniczym, przemysłowym i energetycznym. Potencjał województwa zobrazowany jest nie tylko poprzez możliwości wykorzystania odpadu (substratu) zasilającego biogazownie na szeroką skalę, ale także poprzez dostępność zaawansowanej technologii i zaplecze merytoryczne.</w:t>
      </w:r>
      <w:r w:rsidR="000C367C" w:rsidRPr="003478AF">
        <w:rPr>
          <w:rFonts w:cs="Arial"/>
          <w:szCs w:val="20"/>
        </w:rPr>
        <w:t xml:space="preserve"> </w:t>
      </w:r>
      <w:r w:rsidRPr="003478AF">
        <w:rPr>
          <w:rFonts w:cs="Arial"/>
          <w:szCs w:val="20"/>
        </w:rPr>
        <w:t xml:space="preserve">Zainteresowania naukowe </w:t>
      </w:r>
      <w:r w:rsidRPr="003478AF">
        <w:rPr>
          <w:rFonts w:cs="Arial"/>
          <w:szCs w:val="20"/>
        </w:rPr>
        <w:br/>
        <w:t>i wdrożeniowe w kierunku OZE pozwalają na rozwijanie agroenergetyki.</w:t>
      </w:r>
      <w:r w:rsidR="000C367C" w:rsidRPr="003478AF">
        <w:rPr>
          <w:rFonts w:cs="Arial"/>
          <w:szCs w:val="20"/>
        </w:rPr>
        <w:t xml:space="preserve"> </w:t>
      </w:r>
      <w:r w:rsidRPr="003478AF">
        <w:rPr>
          <w:rFonts w:cs="Arial"/>
          <w:szCs w:val="20"/>
        </w:rPr>
        <w:t xml:space="preserve">Przykładem na skalę europejską </w:t>
      </w:r>
      <w:r w:rsidR="000C367C" w:rsidRPr="003478AF">
        <w:rPr>
          <w:rFonts w:cs="Arial"/>
          <w:szCs w:val="20"/>
        </w:rPr>
        <w:t xml:space="preserve">jest </w:t>
      </w:r>
      <w:r w:rsidR="00545567" w:rsidRPr="003478AF">
        <w:rPr>
          <w:rFonts w:cs="Arial"/>
          <w:szCs w:val="20"/>
        </w:rPr>
        <w:t xml:space="preserve">biogazownia, którą </w:t>
      </w:r>
      <w:r w:rsidRPr="003478AF">
        <w:rPr>
          <w:rFonts w:cs="Arial"/>
          <w:szCs w:val="20"/>
        </w:rPr>
        <w:t>uruchomiono w 2019</w:t>
      </w:r>
      <w:r w:rsidR="000C367C" w:rsidRPr="003478AF">
        <w:rPr>
          <w:rFonts w:cs="Arial"/>
          <w:szCs w:val="20"/>
        </w:rPr>
        <w:t xml:space="preserve"> roku</w:t>
      </w:r>
      <w:r w:rsidRPr="003478AF">
        <w:rPr>
          <w:rFonts w:cs="Arial"/>
          <w:szCs w:val="20"/>
        </w:rPr>
        <w:t xml:space="preserve"> w Rolniczo</w:t>
      </w:r>
      <w:r w:rsidR="001C4BBF" w:rsidRPr="003478AF">
        <w:rPr>
          <w:rFonts w:cs="Arial"/>
          <w:szCs w:val="20"/>
        </w:rPr>
        <w:t>-</w:t>
      </w:r>
      <w:r w:rsidRPr="003478AF">
        <w:rPr>
          <w:rFonts w:cs="Arial"/>
          <w:szCs w:val="20"/>
        </w:rPr>
        <w:t>Sadowniczym Gospodarstwie Doświadczalnym Przybroda Uniwersytetu Przyrodniczego</w:t>
      </w:r>
      <w:r w:rsidR="001C4BBF" w:rsidRPr="003478AF">
        <w:rPr>
          <w:rFonts w:cs="Arial"/>
          <w:szCs w:val="20"/>
        </w:rPr>
        <w:t xml:space="preserve"> w Poznaniu</w:t>
      </w:r>
      <w:r w:rsidRPr="003478AF">
        <w:rPr>
          <w:rFonts w:cs="Arial"/>
          <w:szCs w:val="20"/>
        </w:rPr>
        <w:t xml:space="preserve">. Instalacja bazuje w całości na polskich rozwiązaniach (współpraca naukowców Uniwersytetu Przyrodniczego z </w:t>
      </w:r>
      <w:r w:rsidR="001C4BBF" w:rsidRPr="003478AF">
        <w:rPr>
          <w:rFonts w:cs="Arial"/>
          <w:szCs w:val="20"/>
        </w:rPr>
        <w:t xml:space="preserve">poznańską </w:t>
      </w:r>
      <w:r w:rsidRPr="003478AF">
        <w:rPr>
          <w:rFonts w:cs="Arial"/>
          <w:szCs w:val="20"/>
        </w:rPr>
        <w:t xml:space="preserve">firmą Dynamic Biogas), Tego typu instalacja o mocy 0,5 MW osiąga wysoką sprawność w porównaniu do innych źródeł OZE (szacowana sprawność ~97%), natomiast ciepło wytworzone przez biogazownię wykorzystywane jest do ogrzewania budynków gospodarstwa i okolicznych domów. Opracowywane technologie kierowane są także do małych biogazowni rolniczych bazujących na podstawowych substratach rolniczych </w:t>
      </w:r>
      <w:r w:rsidR="001B0CB3" w:rsidRPr="003478AF">
        <w:rPr>
          <w:rFonts w:cs="Arial"/>
          <w:szCs w:val="20"/>
        </w:rPr>
        <w:br/>
      </w:r>
      <w:r w:rsidRPr="003478AF">
        <w:rPr>
          <w:rFonts w:cs="Arial"/>
          <w:szCs w:val="20"/>
        </w:rPr>
        <w:t xml:space="preserve">i odpadowych. Technologie firmy Dynamic Biogas będą wdrażane na szeroką skalę przez </w:t>
      </w:r>
      <w:r w:rsidR="00946483" w:rsidRPr="003478AF">
        <w:rPr>
          <w:rFonts w:cs="Arial"/>
          <w:szCs w:val="20"/>
        </w:rPr>
        <w:br/>
      </w:r>
      <w:r w:rsidRPr="003478AF">
        <w:rPr>
          <w:rFonts w:cs="Arial"/>
          <w:szCs w:val="20"/>
        </w:rPr>
        <w:t>H. Cegielski-Poznań S.A.</w:t>
      </w:r>
    </w:p>
    <w:p w14:paraId="27FC5B2D" w14:textId="4A577C9D" w:rsidR="00E44697" w:rsidRPr="003478AF" w:rsidRDefault="00E44697" w:rsidP="00E44697">
      <w:pPr>
        <w:autoSpaceDE w:val="0"/>
        <w:autoSpaceDN w:val="0"/>
        <w:adjustRightInd w:val="0"/>
        <w:ind w:firstLine="709"/>
        <w:rPr>
          <w:rFonts w:cs="Arial"/>
          <w:szCs w:val="20"/>
        </w:rPr>
      </w:pPr>
      <w:r w:rsidRPr="003478AF">
        <w:rPr>
          <w:rFonts w:cs="Arial"/>
          <w:szCs w:val="20"/>
        </w:rPr>
        <w:t xml:space="preserve">Niewykorzystany do tej pory potencjał widoczny jest w </w:t>
      </w:r>
      <w:r w:rsidR="00785442" w:rsidRPr="003478AF">
        <w:rPr>
          <w:rFonts w:cs="Arial"/>
          <w:szCs w:val="20"/>
        </w:rPr>
        <w:t xml:space="preserve">liczbie </w:t>
      </w:r>
      <w:r w:rsidRPr="003478AF">
        <w:rPr>
          <w:rFonts w:cs="Arial"/>
          <w:szCs w:val="20"/>
        </w:rPr>
        <w:t>istniejących biogazowni. Według rejestru wytwórców biogazu rolniczego na dzień 1</w:t>
      </w:r>
      <w:r w:rsidR="001C4BBF" w:rsidRPr="003478AF">
        <w:rPr>
          <w:rFonts w:cs="Arial"/>
          <w:szCs w:val="20"/>
        </w:rPr>
        <w:t xml:space="preserve"> czerwca </w:t>
      </w:r>
      <w:r w:rsidRPr="003478AF">
        <w:rPr>
          <w:rFonts w:cs="Arial"/>
          <w:szCs w:val="20"/>
        </w:rPr>
        <w:t xml:space="preserve">2021 </w:t>
      </w:r>
      <w:r w:rsidR="00785442" w:rsidRPr="003478AF">
        <w:rPr>
          <w:rFonts w:cs="Arial"/>
          <w:szCs w:val="20"/>
        </w:rPr>
        <w:t>roku</w:t>
      </w:r>
      <w:r w:rsidRPr="003478AF">
        <w:rPr>
          <w:rFonts w:cs="Arial"/>
          <w:szCs w:val="20"/>
        </w:rPr>
        <w:t xml:space="preserve"> w Wielkopolsce znajdowało się 13 instalacji (104 w Polsce)</w:t>
      </w:r>
      <w:r w:rsidRPr="003478AF">
        <w:rPr>
          <w:rStyle w:val="Odwoanieprzypisudolnego"/>
          <w:rFonts w:cs="Arial"/>
          <w:szCs w:val="20"/>
        </w:rPr>
        <w:footnoteReference w:id="122"/>
      </w:r>
      <w:r w:rsidRPr="003478AF">
        <w:rPr>
          <w:rFonts w:cs="Arial"/>
          <w:szCs w:val="20"/>
        </w:rPr>
        <w:t xml:space="preserve">. </w:t>
      </w:r>
      <w:r w:rsidR="00785442" w:rsidRPr="003478AF">
        <w:rPr>
          <w:rFonts w:cs="Arial"/>
          <w:szCs w:val="20"/>
        </w:rPr>
        <w:t>S</w:t>
      </w:r>
      <w:r w:rsidRPr="003478AF">
        <w:rPr>
          <w:rFonts w:cs="Arial"/>
          <w:szCs w:val="20"/>
        </w:rPr>
        <w:t xml:space="preserve">zerokie spektrum biomasy rolniczej oraz bioodpadów z przemysłu rolno-spożywczego w połączeniu z dostępem do technologii </w:t>
      </w:r>
      <w:r w:rsidRPr="003478AF">
        <w:rPr>
          <w:rFonts w:cs="Arial"/>
          <w:szCs w:val="20"/>
        </w:rPr>
        <w:br/>
        <w:t>i widocznymi korzyściami może</w:t>
      </w:r>
      <w:r w:rsidR="00785442" w:rsidRPr="003478AF">
        <w:rPr>
          <w:rFonts w:cs="Arial"/>
          <w:szCs w:val="20"/>
        </w:rPr>
        <w:t xml:space="preserve"> jednak</w:t>
      </w:r>
      <w:r w:rsidRPr="003478AF">
        <w:rPr>
          <w:rFonts w:cs="Arial"/>
          <w:szCs w:val="20"/>
        </w:rPr>
        <w:t xml:space="preserve"> zaowocować w niedalekiej przyszłości intensywnym rozwojem biogazowni. </w:t>
      </w:r>
    </w:p>
    <w:p w14:paraId="174292F5" w14:textId="77777777" w:rsidR="00E44697" w:rsidRPr="003478AF" w:rsidRDefault="00E44697" w:rsidP="00E44697">
      <w:pPr>
        <w:autoSpaceDE w:val="0"/>
        <w:autoSpaceDN w:val="0"/>
        <w:adjustRightInd w:val="0"/>
        <w:ind w:firstLine="709"/>
        <w:rPr>
          <w:rFonts w:eastAsia="Times New Roman" w:cs="Arial"/>
          <w:b/>
          <w:bCs/>
          <w:szCs w:val="20"/>
          <w:lang w:eastAsia="pl-PL"/>
        </w:rPr>
      </w:pPr>
    </w:p>
    <w:p w14:paraId="700C9106" w14:textId="5C6783DB" w:rsidR="00E44697" w:rsidRPr="003478AF" w:rsidRDefault="00E44697" w:rsidP="00175EF7">
      <w:pPr>
        <w:autoSpaceDE w:val="0"/>
        <w:autoSpaceDN w:val="0"/>
        <w:adjustRightInd w:val="0"/>
        <w:ind w:firstLine="0"/>
        <w:rPr>
          <w:rFonts w:eastAsia="Times New Roman" w:cs="Arial"/>
          <w:b/>
          <w:bCs/>
          <w:szCs w:val="20"/>
          <w:lang w:eastAsia="pl-PL"/>
        </w:rPr>
      </w:pPr>
      <w:r w:rsidRPr="003478AF">
        <w:rPr>
          <w:rFonts w:eastAsia="Times New Roman" w:cs="Arial"/>
          <w:b/>
          <w:bCs/>
          <w:szCs w:val="20"/>
          <w:lang w:eastAsia="pl-PL"/>
        </w:rPr>
        <w:t>Zrównoważone budownictwo</w:t>
      </w:r>
    </w:p>
    <w:p w14:paraId="2D249315" w14:textId="58B34A18" w:rsidR="00E44697" w:rsidRPr="003478AF" w:rsidRDefault="00E44697" w:rsidP="00E44697">
      <w:pPr>
        <w:autoSpaceDE w:val="0"/>
        <w:autoSpaceDN w:val="0"/>
        <w:adjustRightInd w:val="0"/>
        <w:rPr>
          <w:rFonts w:cs="Arial"/>
          <w:szCs w:val="20"/>
        </w:rPr>
      </w:pPr>
      <w:r w:rsidRPr="003478AF">
        <w:rPr>
          <w:rFonts w:cs="Arial"/>
          <w:szCs w:val="20"/>
        </w:rPr>
        <w:t>Kolejnym innowacyjnym rozwiązaniem wpisujący</w:t>
      </w:r>
      <w:r w:rsidR="00FA1A42" w:rsidRPr="003478AF">
        <w:rPr>
          <w:rFonts w:cs="Arial"/>
          <w:szCs w:val="20"/>
        </w:rPr>
        <w:t>m</w:t>
      </w:r>
      <w:r w:rsidRPr="003478AF">
        <w:rPr>
          <w:rFonts w:cs="Arial"/>
          <w:szCs w:val="20"/>
        </w:rPr>
        <w:t xml:space="preserve"> się w gospodarkę cyrkularną jest zrównoważone budownictwo, czyli technologie budowlane, które umożliwiają konstrukcję </w:t>
      </w:r>
      <w:r w:rsidRPr="003478AF">
        <w:rPr>
          <w:rFonts w:cs="Arial"/>
          <w:szCs w:val="20"/>
        </w:rPr>
        <w:br/>
        <w:t>i wyposażenie budynków, w tym domów</w:t>
      </w:r>
      <w:r w:rsidR="00737AED" w:rsidRPr="003478AF">
        <w:rPr>
          <w:rFonts w:cs="Arial"/>
          <w:szCs w:val="20"/>
        </w:rPr>
        <w:t>,</w:t>
      </w:r>
      <w:r w:rsidRPr="003478AF">
        <w:rPr>
          <w:rFonts w:cs="Arial"/>
          <w:szCs w:val="20"/>
        </w:rPr>
        <w:t xml:space="preserve"> o możliwie najlepszym, optymalnie zerowym lub pozytywnym</w:t>
      </w:r>
      <w:r w:rsidR="00737AED" w:rsidRPr="003478AF">
        <w:rPr>
          <w:rFonts w:cs="Arial"/>
          <w:szCs w:val="20"/>
        </w:rPr>
        <w:t>,</w:t>
      </w:r>
      <w:r w:rsidRPr="003478AF">
        <w:rPr>
          <w:rFonts w:cs="Arial"/>
          <w:szCs w:val="20"/>
        </w:rPr>
        <w:t xml:space="preserve"> bilansie rocznym zużycia energii. Do budowy powinny </w:t>
      </w:r>
      <w:r w:rsidR="00737AED" w:rsidRPr="003478AF">
        <w:rPr>
          <w:rFonts w:cs="Arial"/>
          <w:szCs w:val="20"/>
        </w:rPr>
        <w:t xml:space="preserve">zostać </w:t>
      </w:r>
      <w:r w:rsidRPr="003478AF">
        <w:rPr>
          <w:rFonts w:cs="Arial"/>
          <w:szCs w:val="20"/>
        </w:rPr>
        <w:t>wykorzystywane materiały budowlane tworzone na bazie surowców wtórnych. Konstrukcja budynku powinna być tak przygotowana, aby możliwe było ograniczenie zużycia wody poprzez wykorzystanie deszczówki i wody szarej.</w:t>
      </w:r>
    </w:p>
    <w:p w14:paraId="6F2B68DD" w14:textId="03D79B81" w:rsidR="00E44697" w:rsidRPr="003478AF" w:rsidRDefault="00E44697" w:rsidP="00E44697">
      <w:pPr>
        <w:autoSpaceDE w:val="0"/>
        <w:autoSpaceDN w:val="0"/>
        <w:adjustRightInd w:val="0"/>
        <w:rPr>
          <w:rFonts w:cs="Arial"/>
          <w:szCs w:val="20"/>
        </w:rPr>
      </w:pPr>
      <w:r w:rsidRPr="003478AF">
        <w:rPr>
          <w:rFonts w:cs="Arial"/>
          <w:szCs w:val="20"/>
        </w:rPr>
        <w:t xml:space="preserve">Budynek zeroenergetyczny to taki, w którym bilans energii zużywanej i wytwarzanej jest zerowy w skali roku. Im większy </w:t>
      </w:r>
      <w:r w:rsidR="00737AED" w:rsidRPr="003478AF">
        <w:rPr>
          <w:rFonts w:cs="Arial"/>
          <w:szCs w:val="20"/>
        </w:rPr>
        <w:t xml:space="preserve">w bilansie </w:t>
      </w:r>
      <w:r w:rsidRPr="003478AF">
        <w:rPr>
          <w:rFonts w:cs="Arial"/>
          <w:szCs w:val="20"/>
        </w:rPr>
        <w:t>będzie udział energii odnawialnej, tym niższe będzie zużycie energii pierwotnej.</w:t>
      </w:r>
    </w:p>
    <w:p w14:paraId="3DE3D5BE" w14:textId="52A0932F" w:rsidR="00E44697" w:rsidRPr="003478AF" w:rsidRDefault="00E44697" w:rsidP="00E44697">
      <w:pPr>
        <w:autoSpaceDE w:val="0"/>
        <w:autoSpaceDN w:val="0"/>
        <w:adjustRightInd w:val="0"/>
      </w:pPr>
      <w:r w:rsidRPr="003478AF">
        <w:rPr>
          <w:rFonts w:cs="Arial"/>
          <w:szCs w:val="20"/>
        </w:rPr>
        <w:lastRenderedPageBreak/>
        <w:t xml:space="preserve">W Polsce, jak i w większości krajów </w:t>
      </w:r>
      <w:r w:rsidR="00993210" w:rsidRPr="003478AF">
        <w:rPr>
          <w:rFonts w:cs="Arial"/>
          <w:szCs w:val="20"/>
        </w:rPr>
        <w:t>UE</w:t>
      </w:r>
      <w:r w:rsidRPr="003478AF">
        <w:rPr>
          <w:rFonts w:cs="Arial"/>
          <w:szCs w:val="20"/>
        </w:rPr>
        <w:t xml:space="preserve"> można zaobserwować stopniowe prawne ograniczanie zużycia energii w budynkach nowych oraz poddawanych remontom </w:t>
      </w:r>
      <w:r w:rsidRPr="003478AF">
        <w:rPr>
          <w:rFonts w:cs="Arial"/>
          <w:szCs w:val="20"/>
        </w:rPr>
        <w:br/>
        <w:t xml:space="preserve">i modernizacji. W UE w ostatnich latach wprowadzono szereg dyrektyw mających poprawić efektywność energetyczną budynków. Przykładowo w dyrektywie 2010/32/UE w sprawie charakterystyki energetycznej budynków oszacowano, że budownictwo odpowiada za 41% całkowitego zużycia energii. Ograniczenie </w:t>
      </w:r>
      <w:r w:rsidR="00737AED" w:rsidRPr="003478AF">
        <w:rPr>
          <w:rFonts w:cs="Arial"/>
          <w:szCs w:val="20"/>
        </w:rPr>
        <w:t xml:space="preserve">jej </w:t>
      </w:r>
      <w:r w:rsidRPr="003478AF">
        <w:rPr>
          <w:rFonts w:cs="Arial"/>
          <w:szCs w:val="20"/>
        </w:rPr>
        <w:t>zużycia oraz wykorzystywanie energii ze źródeł odnawialnych w budynkach stanowią istotne działania konieczne do ograniczenia uzależnienia energetycznego UE i emisji gazów cieplarnianych. W Planie działania na rzecz racjonalizacji zużycia energii</w:t>
      </w:r>
      <w:r w:rsidR="00737AED" w:rsidRPr="003478AF">
        <w:rPr>
          <w:rFonts w:cs="Arial"/>
          <w:szCs w:val="20"/>
        </w:rPr>
        <w:t xml:space="preserve"> w kontekście</w:t>
      </w:r>
      <w:r w:rsidRPr="003478AF">
        <w:rPr>
          <w:rFonts w:cs="Arial"/>
          <w:szCs w:val="20"/>
        </w:rPr>
        <w:t xml:space="preserve"> sposob</w:t>
      </w:r>
      <w:r w:rsidR="00737AED" w:rsidRPr="003478AF">
        <w:rPr>
          <w:rFonts w:cs="Arial"/>
          <w:szCs w:val="20"/>
        </w:rPr>
        <w:t>ów</w:t>
      </w:r>
      <w:r w:rsidRPr="003478AF">
        <w:rPr>
          <w:rFonts w:cs="Arial"/>
          <w:szCs w:val="20"/>
        </w:rPr>
        <w:t xml:space="preserve"> wykorzystania potencjału wskazano istotne możliwości zaoszczędzenia energii w sposób opłacalny ekonomicznie w sektorze budynków.</w:t>
      </w:r>
      <w:r w:rsidR="00737AED" w:rsidRPr="003478AF">
        <w:rPr>
          <w:rFonts w:cs="Arial"/>
          <w:szCs w:val="20"/>
        </w:rPr>
        <w:t xml:space="preserve"> </w:t>
      </w:r>
      <w:r w:rsidRPr="003478AF">
        <w:rPr>
          <w:rFonts w:cs="Arial"/>
          <w:szCs w:val="20"/>
        </w:rPr>
        <w:t>Do wymogów tych muszą się dostosować firmy budowlane</w:t>
      </w:r>
      <w:r w:rsidR="00993210" w:rsidRPr="003478AF">
        <w:rPr>
          <w:rFonts w:cs="Arial"/>
          <w:szCs w:val="20"/>
        </w:rPr>
        <w:t>,</w:t>
      </w:r>
      <w:r w:rsidRPr="003478AF">
        <w:rPr>
          <w:rFonts w:cs="Arial"/>
          <w:szCs w:val="20"/>
        </w:rPr>
        <w:t xml:space="preserve"> wśród których </w:t>
      </w:r>
      <w:r w:rsidRPr="003478AF">
        <w:t>budownictwo jest coraz bardziej ekologiczne. Świadczą o tym np. liczne certyfikaty, jak np</w:t>
      </w:r>
      <w:r w:rsidR="00993210" w:rsidRPr="003478AF">
        <w:t xml:space="preserve">. </w:t>
      </w:r>
      <w:r w:rsidRPr="003478AF">
        <w:t>BREEAM,</w:t>
      </w:r>
      <w:r w:rsidR="00993210" w:rsidRPr="003478AF" w:rsidDel="00993210">
        <w:t xml:space="preserve"> </w:t>
      </w:r>
      <w:r w:rsidRPr="003478AF">
        <w:t>HQE</w:t>
      </w:r>
      <w:r w:rsidR="00993210" w:rsidRPr="003478AF">
        <w:t xml:space="preserve"> </w:t>
      </w:r>
      <w:r w:rsidRPr="003478AF">
        <w:t>czy</w:t>
      </w:r>
      <w:r w:rsidR="00993210" w:rsidRPr="003478AF">
        <w:t xml:space="preserve"> </w:t>
      </w:r>
      <w:r w:rsidRPr="003478AF">
        <w:t>Carbon</w:t>
      </w:r>
      <w:r w:rsidR="00993210" w:rsidRPr="003478AF">
        <w:t xml:space="preserve"> </w:t>
      </w:r>
      <w:r w:rsidRPr="003478AF">
        <w:t>Neutral</w:t>
      </w:r>
      <w:r w:rsidR="00993210" w:rsidRPr="003478AF">
        <w:t xml:space="preserve"> </w:t>
      </w:r>
      <w:r w:rsidRPr="003478AF">
        <w:t xml:space="preserve">Company, a także rosnąca liczba inwestorów, którzy należą do Polskiego Stowarzyszenia Budownictwa Ekologicznego. </w:t>
      </w:r>
    </w:p>
    <w:p w14:paraId="688BC23F" w14:textId="01B1A6D0" w:rsidR="00E44697" w:rsidRPr="003478AF" w:rsidRDefault="00E44697" w:rsidP="00E44697">
      <w:pPr>
        <w:autoSpaceDE w:val="0"/>
        <w:autoSpaceDN w:val="0"/>
        <w:adjustRightInd w:val="0"/>
        <w:rPr>
          <w:rFonts w:cs="Arial"/>
          <w:szCs w:val="20"/>
        </w:rPr>
      </w:pPr>
      <w:r w:rsidRPr="003478AF">
        <w:rPr>
          <w:rFonts w:cs="Arial"/>
          <w:szCs w:val="20"/>
        </w:rPr>
        <w:t xml:space="preserve">W Wielkopolsce rozwiązania przyjazne środowisku wdraża wiele firm. Przykładowo przedsiębiorstwo </w:t>
      </w:r>
      <w:r w:rsidRPr="003478AF">
        <w:rPr>
          <w:rStyle w:val="Pogrubienie"/>
          <w:rFonts w:cs="Arial"/>
          <w:b w:val="0"/>
          <w:bCs w:val="0"/>
          <w:szCs w:val="20"/>
        </w:rPr>
        <w:t>Erigo Development Sp. z o.o. z Poznania</w:t>
      </w:r>
      <w:r w:rsidRPr="003478AF">
        <w:rPr>
          <w:rStyle w:val="Pogrubienie"/>
          <w:rFonts w:cs="Arial"/>
          <w:szCs w:val="20"/>
        </w:rPr>
        <w:t xml:space="preserve"> </w:t>
      </w:r>
      <w:r w:rsidR="00AF6A78" w:rsidRPr="003478AF">
        <w:rPr>
          <w:rStyle w:val="Pogrubienie"/>
          <w:rFonts w:cs="Arial"/>
          <w:b w:val="0"/>
          <w:bCs w:val="0"/>
          <w:szCs w:val="20"/>
        </w:rPr>
        <w:t>w</w:t>
      </w:r>
      <w:r w:rsidR="00AF6A78" w:rsidRPr="003478AF">
        <w:rPr>
          <w:rFonts w:cs="Arial"/>
          <w:szCs w:val="20"/>
        </w:rPr>
        <w:t xml:space="preserve">ybudowało </w:t>
      </w:r>
      <w:r w:rsidRPr="003478AF">
        <w:rPr>
          <w:rFonts w:cs="Arial"/>
          <w:szCs w:val="20"/>
        </w:rPr>
        <w:t>osiedle przyjazne środowisku. Budynki mieszkaniowe wykorzystują m.in. energię solarną pochodzącą</w:t>
      </w:r>
      <w:r w:rsidR="00D33815" w:rsidRPr="003478AF">
        <w:rPr>
          <w:rFonts w:cs="Arial"/>
          <w:szCs w:val="20"/>
        </w:rPr>
        <w:t xml:space="preserve"> </w:t>
      </w:r>
      <w:r w:rsidR="00993210" w:rsidRPr="003478AF">
        <w:rPr>
          <w:rFonts w:cs="Arial"/>
          <w:szCs w:val="20"/>
        </w:rPr>
        <w:br/>
      </w:r>
      <w:r w:rsidR="00545567" w:rsidRPr="003478AF">
        <w:rPr>
          <w:rFonts w:cs="Arial"/>
          <w:szCs w:val="20"/>
        </w:rPr>
        <w:t>z</w:t>
      </w:r>
      <w:r w:rsidR="00993210" w:rsidRPr="003478AF">
        <w:rPr>
          <w:rFonts w:cs="Arial"/>
          <w:szCs w:val="20"/>
        </w:rPr>
        <w:t xml:space="preserve"> </w:t>
      </w:r>
      <w:r w:rsidRPr="003478AF">
        <w:rPr>
          <w:rFonts w:cs="Arial"/>
          <w:szCs w:val="20"/>
        </w:rPr>
        <w:t xml:space="preserve">kolektorów słonecznych, a mieszkania wyposażono w wymienniki ciepła centralnego ogrzewania. </w:t>
      </w:r>
    </w:p>
    <w:p w14:paraId="54A7DE20" w14:textId="0CCD1B2C" w:rsidR="00E44697" w:rsidRPr="003478AF" w:rsidRDefault="00E44697" w:rsidP="00E44697">
      <w:pPr>
        <w:rPr>
          <w:rFonts w:cs="Arial"/>
          <w:szCs w:val="20"/>
        </w:rPr>
      </w:pPr>
      <w:r w:rsidRPr="003478AF">
        <w:rPr>
          <w:rFonts w:cs="Arial"/>
          <w:szCs w:val="20"/>
        </w:rPr>
        <w:t xml:space="preserve">W Poznaniu już od dłuższego czasu istnieją </w:t>
      </w:r>
      <w:r w:rsidR="00272F54" w:rsidRPr="003478AF">
        <w:rPr>
          <w:rFonts w:cs="Arial"/>
          <w:szCs w:val="20"/>
        </w:rPr>
        <w:t xml:space="preserve">przykłady </w:t>
      </w:r>
      <w:r w:rsidRPr="003478AF">
        <w:rPr>
          <w:rFonts w:cs="Arial"/>
          <w:szCs w:val="20"/>
        </w:rPr>
        <w:t>zielon</w:t>
      </w:r>
      <w:r w:rsidR="00272F54" w:rsidRPr="003478AF">
        <w:rPr>
          <w:rFonts w:cs="Arial"/>
          <w:szCs w:val="20"/>
        </w:rPr>
        <w:t>ych</w:t>
      </w:r>
      <w:r w:rsidRPr="003478AF">
        <w:rPr>
          <w:rFonts w:cs="Arial"/>
          <w:szCs w:val="20"/>
        </w:rPr>
        <w:t xml:space="preserve"> osiedl</w:t>
      </w:r>
      <w:r w:rsidR="00272F54" w:rsidRPr="003478AF">
        <w:rPr>
          <w:rFonts w:cs="Arial"/>
          <w:szCs w:val="20"/>
        </w:rPr>
        <w:t>i</w:t>
      </w:r>
      <w:r w:rsidRPr="003478AF">
        <w:rPr>
          <w:rFonts w:cs="Arial"/>
          <w:szCs w:val="20"/>
        </w:rPr>
        <w:t xml:space="preserve">. </w:t>
      </w:r>
      <w:r w:rsidR="00993210" w:rsidRPr="003478AF">
        <w:rPr>
          <w:rFonts w:cs="Arial"/>
          <w:szCs w:val="20"/>
        </w:rPr>
        <w:t>Na</w:t>
      </w:r>
      <w:r w:rsidRPr="003478AF">
        <w:rPr>
          <w:rFonts w:cs="Arial"/>
          <w:szCs w:val="20"/>
        </w:rPr>
        <w:t xml:space="preserve"> Podolanach </w:t>
      </w:r>
      <w:r w:rsidRPr="003478AF">
        <w:rPr>
          <w:rFonts w:cs="Arial"/>
          <w:szCs w:val="20"/>
        </w:rPr>
        <w:br/>
        <w:t xml:space="preserve">w budynkach wykorzystuje się energię geotermalną. Osiedle Natura wybudowane </w:t>
      </w:r>
      <w:r w:rsidRPr="003478AF">
        <w:rPr>
          <w:rFonts w:cs="Arial"/>
          <w:szCs w:val="20"/>
        </w:rPr>
        <w:br/>
        <w:t>w podpoznańskiej miejscowości Biedrusko zostało w całości ocieplone nowoczesnym materiałem izolacyjnym, który dzięki swoim parametrom technicznym daje nawet o 25% lepszą izolację budynków od tradycyjnych materiałów.</w:t>
      </w:r>
    </w:p>
    <w:p w14:paraId="47015967" w14:textId="5ED3E1A8" w:rsidR="00E44697" w:rsidRPr="003478AF" w:rsidRDefault="00272F54" w:rsidP="00E44697">
      <w:pPr>
        <w:rPr>
          <w:rFonts w:cs="Arial"/>
          <w:szCs w:val="20"/>
        </w:rPr>
      </w:pPr>
      <w:r w:rsidRPr="003478AF">
        <w:rPr>
          <w:rFonts w:cs="Arial"/>
          <w:szCs w:val="20"/>
        </w:rPr>
        <w:t>F</w:t>
      </w:r>
      <w:r w:rsidR="00E44697" w:rsidRPr="003478AF">
        <w:rPr>
          <w:rFonts w:cs="Arial"/>
          <w:szCs w:val="20"/>
        </w:rPr>
        <w:t xml:space="preserve">irma Forbo Flooring Systems Oddział </w:t>
      </w:r>
      <w:r w:rsidRPr="003478AF">
        <w:rPr>
          <w:rFonts w:cs="Arial"/>
          <w:szCs w:val="20"/>
        </w:rPr>
        <w:t xml:space="preserve">w </w:t>
      </w:r>
      <w:r w:rsidR="00E44697" w:rsidRPr="003478AF">
        <w:rPr>
          <w:rFonts w:cs="Arial"/>
          <w:szCs w:val="20"/>
        </w:rPr>
        <w:t>Pols</w:t>
      </w:r>
      <w:r w:rsidRPr="003478AF">
        <w:rPr>
          <w:rFonts w:cs="Arial"/>
          <w:szCs w:val="20"/>
        </w:rPr>
        <w:t>ce</w:t>
      </w:r>
      <w:r w:rsidR="00E44697" w:rsidRPr="003478AF">
        <w:rPr>
          <w:rFonts w:cs="Arial"/>
          <w:szCs w:val="20"/>
        </w:rPr>
        <w:t xml:space="preserve"> </w:t>
      </w:r>
      <w:r w:rsidRPr="003478AF">
        <w:rPr>
          <w:rFonts w:cs="Arial"/>
          <w:szCs w:val="20"/>
        </w:rPr>
        <w:t xml:space="preserve">(Poznań) </w:t>
      </w:r>
      <w:r w:rsidR="00E44697" w:rsidRPr="003478AF">
        <w:rPr>
          <w:rFonts w:cs="Arial"/>
          <w:szCs w:val="20"/>
        </w:rPr>
        <w:t xml:space="preserve">produkuje najnowszej generacji wykładziny </w:t>
      </w:r>
      <w:r w:rsidRPr="003478AF">
        <w:rPr>
          <w:rFonts w:cs="Arial"/>
          <w:szCs w:val="20"/>
        </w:rPr>
        <w:t>o nazwie</w:t>
      </w:r>
      <w:r w:rsidR="003008DB" w:rsidRPr="003478AF">
        <w:rPr>
          <w:rFonts w:cs="Arial"/>
          <w:szCs w:val="20"/>
        </w:rPr>
        <w:t xml:space="preserve"> </w:t>
      </w:r>
      <w:r w:rsidR="00E44697" w:rsidRPr="003478AF">
        <w:rPr>
          <w:rFonts w:cs="Arial"/>
          <w:szCs w:val="20"/>
        </w:rPr>
        <w:t>Marmoleum. Dzięki zastosowaniu naturalnych surowców, takich jak olej lniany z ziaren lnu, włókno z łodyg juty czy żywica z drzew sosnowych</w:t>
      </w:r>
      <w:r w:rsidR="00993210" w:rsidRPr="003478AF">
        <w:rPr>
          <w:rFonts w:cs="Arial"/>
          <w:szCs w:val="20"/>
        </w:rPr>
        <w:t>,</w:t>
      </w:r>
      <w:r w:rsidR="00E44697" w:rsidRPr="003478AF">
        <w:rPr>
          <w:rFonts w:cs="Arial"/>
          <w:szCs w:val="20"/>
        </w:rPr>
        <w:t xml:space="preserve"> oraz wykorzystaniu w 100% zielonej energii przy produkcji udało się stworzyć linoleum całkowicie neutralne pod względem emisji CO</w:t>
      </w:r>
      <w:r w:rsidR="00E44697" w:rsidRPr="003478AF">
        <w:rPr>
          <w:rFonts w:cs="Arial"/>
          <w:szCs w:val="20"/>
          <w:vertAlign w:val="subscript"/>
        </w:rPr>
        <w:t>2</w:t>
      </w:r>
      <w:r w:rsidR="00E44697" w:rsidRPr="003478AF">
        <w:rPr>
          <w:rFonts w:cs="Arial"/>
          <w:szCs w:val="20"/>
        </w:rPr>
        <w:t xml:space="preserve">, przez co jest maksymalnie przyjazne człowiekowi </w:t>
      </w:r>
      <w:r w:rsidR="001B0CB3" w:rsidRPr="003478AF">
        <w:rPr>
          <w:rFonts w:cs="Arial"/>
          <w:szCs w:val="20"/>
        </w:rPr>
        <w:br/>
      </w:r>
      <w:r w:rsidR="00E44697" w:rsidRPr="003478AF">
        <w:rPr>
          <w:rFonts w:cs="Arial"/>
          <w:szCs w:val="20"/>
        </w:rPr>
        <w:t>i środowisku naturalnemu. Każdy metr kwadratowy Marmoleum uwalnia środowisko od 40 g CO</w:t>
      </w:r>
      <w:r w:rsidR="00E44697" w:rsidRPr="003478AF">
        <w:rPr>
          <w:rFonts w:cs="Arial"/>
          <w:szCs w:val="20"/>
          <w:vertAlign w:val="subscript"/>
        </w:rPr>
        <w:t>2</w:t>
      </w:r>
      <w:r w:rsidR="00E44697" w:rsidRPr="003478AF">
        <w:rPr>
          <w:rFonts w:cs="Arial"/>
          <w:szCs w:val="20"/>
        </w:rPr>
        <w:t>, ponieważ w swoim cyklu życia uprawy wykorzystywane do wytwarzania składników Marmoleum pochłaniają z atmosfery więcej CO</w:t>
      </w:r>
      <w:r w:rsidR="00E44697" w:rsidRPr="003478AF">
        <w:rPr>
          <w:rFonts w:cs="Arial"/>
          <w:szCs w:val="20"/>
          <w:vertAlign w:val="subscript"/>
        </w:rPr>
        <w:t>2</w:t>
      </w:r>
      <w:r w:rsidR="00E44697" w:rsidRPr="003478AF">
        <w:rPr>
          <w:rFonts w:cs="Arial"/>
          <w:szCs w:val="20"/>
        </w:rPr>
        <w:t xml:space="preserve"> niż generuje jego produkcja.</w:t>
      </w:r>
    </w:p>
    <w:p w14:paraId="4A8197F8" w14:textId="5AC5F208" w:rsidR="00E44697" w:rsidRPr="003478AF" w:rsidRDefault="00E44697" w:rsidP="00175EF7">
      <w:pPr>
        <w:rPr>
          <w:rFonts w:cs="Arial"/>
          <w:szCs w:val="20"/>
        </w:rPr>
      </w:pPr>
      <w:r w:rsidRPr="003478AF">
        <w:rPr>
          <w:rFonts w:cs="Arial"/>
          <w:szCs w:val="20"/>
        </w:rPr>
        <w:t>W Poznaniu firma Skanska wybuduje chodnik antysmogowy (prac</w:t>
      </w:r>
      <w:r w:rsidR="00993210" w:rsidRPr="003478AF">
        <w:rPr>
          <w:rFonts w:cs="Arial"/>
          <w:szCs w:val="20"/>
        </w:rPr>
        <w:t>e</w:t>
      </w:r>
      <w:r w:rsidRPr="003478AF">
        <w:rPr>
          <w:rFonts w:cs="Arial"/>
          <w:szCs w:val="20"/>
        </w:rPr>
        <w:t xml:space="preserve"> rozpoczęto </w:t>
      </w:r>
      <w:r w:rsidRPr="003478AF">
        <w:rPr>
          <w:rFonts w:cs="Arial"/>
          <w:szCs w:val="20"/>
        </w:rPr>
        <w:br/>
        <w:t>w II kwarta</w:t>
      </w:r>
      <w:r w:rsidR="00AF6A78" w:rsidRPr="003478AF">
        <w:rPr>
          <w:rFonts w:cs="Arial"/>
          <w:szCs w:val="20"/>
        </w:rPr>
        <w:t>le</w:t>
      </w:r>
      <w:r w:rsidRPr="003478AF">
        <w:rPr>
          <w:rFonts w:cs="Arial"/>
          <w:szCs w:val="20"/>
        </w:rPr>
        <w:t xml:space="preserve"> 2021 roku)</w:t>
      </w:r>
      <w:r w:rsidRPr="003478AF">
        <w:rPr>
          <w:rStyle w:val="Odwoanieprzypisudolnego"/>
          <w:rFonts w:cs="Arial"/>
          <w:szCs w:val="20"/>
        </w:rPr>
        <w:footnoteReference w:id="123"/>
      </w:r>
      <w:r w:rsidRPr="003478AF">
        <w:rPr>
          <w:rFonts w:cs="Arial"/>
          <w:szCs w:val="20"/>
        </w:rPr>
        <w:t xml:space="preserve">, z tzw. zielonego betonu, neutralizującego równowartość zanieczyszczeń wyemitowanych przez samochód, który przejechał w ciągu roku ponad 70 tys. kilometrów. Dzięki promieniom słonecznym na jego powierzchni dochodzi do redukcji niebezpiecznych dla człowieka cząstek NOx. Są one rozkładane na neutralne związki azotu </w:t>
      </w:r>
      <w:r w:rsidRPr="003478AF">
        <w:rPr>
          <w:rFonts w:cs="Arial"/>
          <w:szCs w:val="20"/>
        </w:rPr>
        <w:br/>
        <w:t>i wraz z wodą deszczową odprowadzane do gleby. Dodatkowym atutem samego betonu są jego właściwości samooczyszczania się.</w:t>
      </w:r>
    </w:p>
    <w:p w14:paraId="68AFF2A3" w14:textId="07964610" w:rsidR="00E44697" w:rsidRPr="003478AF" w:rsidRDefault="00E44697" w:rsidP="00E44697">
      <w:pPr>
        <w:rPr>
          <w:rFonts w:cs="Arial"/>
          <w:szCs w:val="20"/>
        </w:rPr>
      </w:pPr>
      <w:r w:rsidRPr="003478AF">
        <w:rPr>
          <w:rFonts w:cs="Arial"/>
          <w:szCs w:val="20"/>
        </w:rPr>
        <w:t>Pomiary przeprowadzane przez Skanska i partnerów naukowych podczas badań laboratoryjnych, a następnie w przestrzeni miejskiej, pokazały, że teren, na którym zainstalowano zielony beton, wykazuje</w:t>
      </w:r>
      <w:r w:rsidR="003D1ACF" w:rsidRPr="003478AF">
        <w:rPr>
          <w:rFonts w:cs="Arial"/>
          <w:szCs w:val="20"/>
        </w:rPr>
        <w:t xml:space="preserve"> </w:t>
      </w:r>
      <w:r w:rsidRPr="003478AF">
        <w:rPr>
          <w:rFonts w:cs="Arial"/>
          <w:szCs w:val="20"/>
        </w:rPr>
        <w:t>średnio</w:t>
      </w:r>
      <w:r w:rsidR="003D1ACF" w:rsidRPr="003478AF">
        <w:rPr>
          <w:rFonts w:cs="Arial"/>
          <w:szCs w:val="20"/>
        </w:rPr>
        <w:t xml:space="preserve"> </w:t>
      </w:r>
      <w:r w:rsidRPr="003478AF">
        <w:rPr>
          <w:rFonts w:cs="Arial"/>
          <w:szCs w:val="20"/>
        </w:rPr>
        <w:t>o 30%</w:t>
      </w:r>
      <w:r w:rsidR="003D1ACF" w:rsidRPr="003478AF">
        <w:rPr>
          <w:rFonts w:cs="Arial"/>
          <w:szCs w:val="20"/>
        </w:rPr>
        <w:t xml:space="preserve"> </w:t>
      </w:r>
      <w:r w:rsidRPr="003478AF">
        <w:rPr>
          <w:rFonts w:cs="Arial"/>
          <w:szCs w:val="20"/>
        </w:rPr>
        <w:t xml:space="preserve">mniejsze stężenie dwutlenku azotu, </w:t>
      </w:r>
      <w:r w:rsidRPr="003478AF">
        <w:rPr>
          <w:rFonts w:cs="Arial"/>
          <w:szCs w:val="20"/>
        </w:rPr>
        <w:br/>
        <w:t>w stosunku do zwykłego odcinka nawierzchni.</w:t>
      </w:r>
    </w:p>
    <w:p w14:paraId="2928D2C6" w14:textId="2BBA39A2" w:rsidR="00E44697" w:rsidRPr="003478AF" w:rsidRDefault="00E44697" w:rsidP="00A56DA1">
      <w:pPr>
        <w:rPr>
          <w:rFonts w:cs="Arial"/>
          <w:szCs w:val="20"/>
        </w:rPr>
      </w:pPr>
      <w:r w:rsidRPr="003478AF">
        <w:rPr>
          <w:rFonts w:cs="Arial"/>
          <w:szCs w:val="20"/>
        </w:rPr>
        <w:lastRenderedPageBreak/>
        <w:t>Należy zaznaczyć, że Poznań pełni rolę jednego z</w:t>
      </w:r>
      <w:r w:rsidR="003D1ACF" w:rsidRPr="003478AF">
        <w:rPr>
          <w:rFonts w:cs="Arial"/>
          <w:szCs w:val="20"/>
        </w:rPr>
        <w:t xml:space="preserve"> </w:t>
      </w:r>
      <w:r w:rsidRPr="003478AF">
        <w:rPr>
          <w:rFonts w:cs="Arial"/>
          <w:szCs w:val="20"/>
        </w:rPr>
        <w:t>trzech</w:t>
      </w:r>
      <w:r w:rsidR="003D1ACF" w:rsidRPr="003478AF">
        <w:rPr>
          <w:rFonts w:cs="Arial"/>
          <w:szCs w:val="20"/>
        </w:rPr>
        <w:t xml:space="preserve"> </w:t>
      </w:r>
      <w:r w:rsidRPr="003478AF">
        <w:rPr>
          <w:rFonts w:cs="Arial"/>
          <w:szCs w:val="20"/>
        </w:rPr>
        <w:t>Miast Wiodących w</w:t>
      </w:r>
      <w:r w:rsidR="003D1ACF" w:rsidRPr="003478AF">
        <w:rPr>
          <w:rFonts w:cs="Arial"/>
          <w:szCs w:val="20"/>
        </w:rPr>
        <w:t xml:space="preserve"> </w:t>
      </w:r>
      <w:r w:rsidRPr="003478AF">
        <w:rPr>
          <w:rFonts w:cs="Arial"/>
          <w:szCs w:val="20"/>
        </w:rPr>
        <w:t>projekcie CONNECTING Nature (COproductioN with NaturE for City Transitioning, INnovation and Governance) w</w:t>
      </w:r>
      <w:r w:rsidR="003D1ACF" w:rsidRPr="003478AF">
        <w:rPr>
          <w:rFonts w:cs="Arial"/>
          <w:szCs w:val="20"/>
        </w:rPr>
        <w:t xml:space="preserve"> </w:t>
      </w:r>
      <w:r w:rsidRPr="003478AF">
        <w:rPr>
          <w:rFonts w:cs="Arial"/>
          <w:szCs w:val="20"/>
        </w:rPr>
        <w:t>ramach Programu Horyzont 2020 (w</w:t>
      </w:r>
      <w:r w:rsidR="003D1ACF" w:rsidRPr="003478AF">
        <w:rPr>
          <w:rFonts w:cs="Arial"/>
          <w:szCs w:val="20"/>
        </w:rPr>
        <w:t xml:space="preserve"> </w:t>
      </w:r>
      <w:r w:rsidRPr="003478AF">
        <w:rPr>
          <w:rFonts w:cs="Arial"/>
          <w:szCs w:val="20"/>
        </w:rPr>
        <w:t>okresie od</w:t>
      </w:r>
      <w:r w:rsidR="003D1ACF" w:rsidRPr="003478AF">
        <w:rPr>
          <w:rFonts w:cs="Arial"/>
          <w:szCs w:val="20"/>
        </w:rPr>
        <w:t xml:space="preserve"> </w:t>
      </w:r>
      <w:r w:rsidRPr="003478AF">
        <w:rPr>
          <w:rFonts w:cs="Arial"/>
          <w:szCs w:val="20"/>
        </w:rPr>
        <w:t>2015-2020)</w:t>
      </w:r>
      <w:r w:rsidRPr="003478AF">
        <w:rPr>
          <w:rStyle w:val="Odwoanieprzypisudolnego"/>
          <w:rFonts w:cs="Arial"/>
          <w:szCs w:val="20"/>
        </w:rPr>
        <w:footnoteReference w:id="124"/>
      </w:r>
      <w:r w:rsidRPr="003478AF">
        <w:rPr>
          <w:rFonts w:cs="Arial"/>
          <w:szCs w:val="20"/>
        </w:rPr>
        <w:t>.</w:t>
      </w:r>
      <w:r w:rsidR="003D1ACF" w:rsidRPr="003478AF">
        <w:rPr>
          <w:rFonts w:cs="Arial"/>
          <w:szCs w:val="20"/>
        </w:rPr>
        <w:t xml:space="preserve"> </w:t>
      </w:r>
      <w:r w:rsidRPr="003478AF">
        <w:rPr>
          <w:rFonts w:cs="Arial"/>
          <w:szCs w:val="20"/>
        </w:rPr>
        <w:t>Celem projektu było upowszechnienie w</w:t>
      </w:r>
      <w:r w:rsidR="003D1ACF" w:rsidRPr="003478AF">
        <w:rPr>
          <w:rFonts w:cs="Arial"/>
          <w:szCs w:val="20"/>
        </w:rPr>
        <w:t xml:space="preserve"> </w:t>
      </w:r>
      <w:r w:rsidRPr="003478AF">
        <w:rPr>
          <w:rFonts w:cs="Arial"/>
          <w:szCs w:val="20"/>
        </w:rPr>
        <w:t>miastach innowacyjnych rozwiązań opartych na</w:t>
      </w:r>
      <w:r w:rsidR="003D1ACF" w:rsidRPr="003478AF">
        <w:rPr>
          <w:rFonts w:cs="Arial"/>
          <w:szCs w:val="20"/>
        </w:rPr>
        <w:t xml:space="preserve"> </w:t>
      </w:r>
      <w:r w:rsidRPr="003478AF">
        <w:rPr>
          <w:rFonts w:cs="Arial"/>
          <w:szCs w:val="20"/>
        </w:rPr>
        <w:t>środowisku (tzw. nature-based solutions), dzięki którym</w:t>
      </w:r>
      <w:r w:rsidR="003D1ACF" w:rsidRPr="003478AF">
        <w:rPr>
          <w:rFonts w:cs="Arial"/>
          <w:szCs w:val="20"/>
        </w:rPr>
        <w:t xml:space="preserve"> </w:t>
      </w:r>
      <w:r w:rsidRPr="003478AF">
        <w:rPr>
          <w:rFonts w:cs="Arial"/>
          <w:szCs w:val="20"/>
        </w:rPr>
        <w:t>będą rozwijać się w</w:t>
      </w:r>
      <w:r w:rsidR="003D1ACF" w:rsidRPr="003478AF">
        <w:rPr>
          <w:rFonts w:cs="Arial"/>
          <w:szCs w:val="20"/>
        </w:rPr>
        <w:t xml:space="preserve"> </w:t>
      </w:r>
      <w:r w:rsidRPr="003478AF">
        <w:rPr>
          <w:rFonts w:cs="Arial"/>
          <w:szCs w:val="20"/>
        </w:rPr>
        <w:t>sposób zrównoważony, a</w:t>
      </w:r>
      <w:r w:rsidR="003D1ACF" w:rsidRPr="003478AF">
        <w:rPr>
          <w:rFonts w:cs="Arial"/>
          <w:szCs w:val="20"/>
        </w:rPr>
        <w:t xml:space="preserve"> </w:t>
      </w:r>
      <w:r w:rsidRPr="003478AF">
        <w:rPr>
          <w:rFonts w:cs="Arial"/>
          <w:szCs w:val="20"/>
        </w:rPr>
        <w:t>jakość życia mieszkańców, wbrew postępującym negatywnym skutkom zmian klimatycznych, będzie wzrastać. W projekcie zakładano, że</w:t>
      </w:r>
      <w:r w:rsidR="003D1ACF" w:rsidRPr="003478AF">
        <w:rPr>
          <w:rFonts w:cs="Arial"/>
          <w:szCs w:val="20"/>
        </w:rPr>
        <w:t xml:space="preserve"> </w:t>
      </w:r>
      <w:r w:rsidRPr="003478AF">
        <w:rPr>
          <w:rFonts w:cs="Arial"/>
          <w:szCs w:val="20"/>
        </w:rPr>
        <w:t>gospodarka będzie rozwijać się w</w:t>
      </w:r>
      <w:r w:rsidR="003D1ACF" w:rsidRPr="003478AF">
        <w:rPr>
          <w:rFonts w:cs="Arial"/>
          <w:szCs w:val="20"/>
        </w:rPr>
        <w:t xml:space="preserve"> </w:t>
      </w:r>
      <w:r w:rsidRPr="003478AF">
        <w:rPr>
          <w:rFonts w:cs="Arial"/>
          <w:szCs w:val="20"/>
        </w:rPr>
        <w:t>oparciu o</w:t>
      </w:r>
      <w:r w:rsidR="003D1ACF" w:rsidRPr="003478AF">
        <w:rPr>
          <w:rFonts w:cs="Arial"/>
          <w:szCs w:val="20"/>
        </w:rPr>
        <w:t xml:space="preserve"> </w:t>
      </w:r>
      <w:r w:rsidRPr="003478AF">
        <w:rPr>
          <w:rFonts w:cs="Arial"/>
          <w:szCs w:val="20"/>
        </w:rPr>
        <w:t>efektywne modele współpracy międzysektorowej. Dzięki działaniom projektowym przewidziany jest rozwój usług w</w:t>
      </w:r>
      <w:r w:rsidR="003D1ACF" w:rsidRPr="003478AF">
        <w:rPr>
          <w:rFonts w:cs="Arial"/>
          <w:szCs w:val="20"/>
        </w:rPr>
        <w:t xml:space="preserve"> </w:t>
      </w:r>
      <w:r w:rsidRPr="003478AF">
        <w:rPr>
          <w:rFonts w:cs="Arial"/>
          <w:szCs w:val="20"/>
        </w:rPr>
        <w:t>obszarze tzw. zielonej infrastruktury.</w:t>
      </w:r>
    </w:p>
    <w:p w14:paraId="197C5711" w14:textId="43108376" w:rsidR="005A623C" w:rsidRPr="003478AF" w:rsidRDefault="00E44697" w:rsidP="00E44697">
      <w:pPr>
        <w:pStyle w:val="NormalnyWeb"/>
        <w:rPr>
          <w:rFonts w:ascii="Arial" w:hAnsi="Arial" w:cs="Arial"/>
          <w:sz w:val="20"/>
          <w:szCs w:val="20"/>
        </w:rPr>
      </w:pPr>
      <w:r w:rsidRPr="003478AF">
        <w:rPr>
          <w:rStyle w:val="Pogrubienie"/>
          <w:rFonts w:ascii="Arial" w:hAnsi="Arial" w:cs="Arial"/>
          <w:b w:val="0"/>
          <w:bCs w:val="0"/>
          <w:sz w:val="20"/>
          <w:szCs w:val="20"/>
        </w:rPr>
        <w:t xml:space="preserve">Miasto Poznań zostało laureatem rankingu </w:t>
      </w:r>
      <w:r w:rsidR="003D1ACF" w:rsidRPr="003478AF">
        <w:rPr>
          <w:rStyle w:val="Pogrubienie"/>
          <w:rFonts w:ascii="Arial" w:hAnsi="Arial" w:cs="Arial"/>
          <w:b w:val="0"/>
          <w:bCs w:val="0"/>
          <w:sz w:val="20"/>
          <w:szCs w:val="20"/>
        </w:rPr>
        <w:t>„</w:t>
      </w:r>
      <w:r w:rsidRPr="003478AF">
        <w:rPr>
          <w:rStyle w:val="Pogrubienie"/>
          <w:rFonts w:ascii="Arial" w:hAnsi="Arial" w:cs="Arial"/>
          <w:b w:val="0"/>
          <w:bCs w:val="0"/>
          <w:sz w:val="20"/>
          <w:szCs w:val="20"/>
        </w:rPr>
        <w:t>Najbardziej ekologiczne miasto w</w:t>
      </w:r>
      <w:r w:rsidR="003D1ACF" w:rsidRPr="003478AF">
        <w:rPr>
          <w:rStyle w:val="Pogrubienie"/>
          <w:rFonts w:ascii="Arial" w:hAnsi="Arial" w:cs="Arial"/>
          <w:b w:val="0"/>
          <w:bCs w:val="0"/>
          <w:sz w:val="20"/>
          <w:szCs w:val="20"/>
        </w:rPr>
        <w:t xml:space="preserve"> </w:t>
      </w:r>
      <w:r w:rsidRPr="003478AF">
        <w:rPr>
          <w:rStyle w:val="Pogrubienie"/>
          <w:rFonts w:ascii="Arial" w:hAnsi="Arial" w:cs="Arial"/>
          <w:b w:val="0"/>
          <w:bCs w:val="0"/>
          <w:sz w:val="20"/>
          <w:szCs w:val="20"/>
        </w:rPr>
        <w:t>Polsce” oraz</w:t>
      </w:r>
      <w:r w:rsidR="003D1ACF" w:rsidRPr="003478AF">
        <w:rPr>
          <w:rStyle w:val="Pogrubienie"/>
          <w:rFonts w:ascii="Arial" w:hAnsi="Arial" w:cs="Arial"/>
          <w:b w:val="0"/>
          <w:bCs w:val="0"/>
          <w:sz w:val="20"/>
          <w:szCs w:val="20"/>
        </w:rPr>
        <w:t xml:space="preserve"> </w:t>
      </w:r>
      <w:r w:rsidRPr="003478AF">
        <w:rPr>
          <w:rStyle w:val="Pogrubienie"/>
          <w:rFonts w:ascii="Arial" w:hAnsi="Arial" w:cs="Arial"/>
          <w:b w:val="0"/>
          <w:bCs w:val="0"/>
          <w:sz w:val="20"/>
          <w:szCs w:val="20"/>
        </w:rPr>
        <w:t xml:space="preserve">otrzymało </w:t>
      </w:r>
      <w:r w:rsidR="00272F54" w:rsidRPr="003478AF">
        <w:rPr>
          <w:rStyle w:val="Pogrubienie"/>
          <w:rFonts w:ascii="Arial" w:hAnsi="Arial" w:cs="Arial"/>
          <w:b w:val="0"/>
          <w:bCs w:val="0"/>
          <w:sz w:val="20"/>
          <w:szCs w:val="20"/>
        </w:rPr>
        <w:t xml:space="preserve">nagrodę </w:t>
      </w:r>
      <w:r w:rsidRPr="003478AF">
        <w:rPr>
          <w:rStyle w:val="Pogrubienie"/>
          <w:rFonts w:ascii="Arial" w:hAnsi="Arial" w:cs="Arial"/>
          <w:b w:val="0"/>
          <w:bCs w:val="0"/>
          <w:sz w:val="20"/>
          <w:szCs w:val="20"/>
        </w:rPr>
        <w:t>Zielonego Feniksa za</w:t>
      </w:r>
      <w:r w:rsidR="003D1ACF" w:rsidRPr="003478AF">
        <w:rPr>
          <w:rStyle w:val="Pogrubienie"/>
          <w:rFonts w:ascii="Arial" w:hAnsi="Arial" w:cs="Arial"/>
          <w:b w:val="0"/>
          <w:bCs w:val="0"/>
          <w:sz w:val="20"/>
          <w:szCs w:val="20"/>
        </w:rPr>
        <w:t xml:space="preserve"> </w:t>
      </w:r>
      <w:r w:rsidRPr="003478AF">
        <w:rPr>
          <w:rStyle w:val="Pogrubienie"/>
          <w:rFonts w:ascii="Arial" w:hAnsi="Arial" w:cs="Arial"/>
          <w:b w:val="0"/>
          <w:bCs w:val="0"/>
          <w:sz w:val="20"/>
          <w:szCs w:val="20"/>
        </w:rPr>
        <w:t>zasługi we</w:t>
      </w:r>
      <w:r w:rsidR="003D1ACF" w:rsidRPr="003478AF">
        <w:rPr>
          <w:rStyle w:val="Pogrubienie"/>
          <w:rFonts w:ascii="Arial" w:hAnsi="Arial" w:cs="Arial"/>
          <w:b w:val="0"/>
          <w:bCs w:val="0"/>
          <w:sz w:val="20"/>
          <w:szCs w:val="20"/>
        </w:rPr>
        <w:t xml:space="preserve"> </w:t>
      </w:r>
      <w:r w:rsidRPr="003478AF">
        <w:rPr>
          <w:rStyle w:val="Pogrubienie"/>
          <w:rFonts w:ascii="Arial" w:hAnsi="Arial" w:cs="Arial"/>
          <w:b w:val="0"/>
          <w:bCs w:val="0"/>
          <w:sz w:val="20"/>
          <w:szCs w:val="20"/>
        </w:rPr>
        <w:t>wspieraniu i</w:t>
      </w:r>
      <w:r w:rsidR="003D1ACF" w:rsidRPr="003478AF">
        <w:rPr>
          <w:rStyle w:val="Pogrubienie"/>
          <w:rFonts w:ascii="Arial" w:hAnsi="Arial" w:cs="Arial"/>
          <w:b w:val="0"/>
          <w:bCs w:val="0"/>
          <w:sz w:val="20"/>
          <w:szCs w:val="20"/>
        </w:rPr>
        <w:t xml:space="preserve"> </w:t>
      </w:r>
      <w:r w:rsidRPr="003478AF">
        <w:rPr>
          <w:rStyle w:val="Pogrubienie"/>
          <w:rFonts w:ascii="Arial" w:hAnsi="Arial" w:cs="Arial"/>
          <w:b w:val="0"/>
          <w:bCs w:val="0"/>
          <w:sz w:val="20"/>
          <w:szCs w:val="20"/>
        </w:rPr>
        <w:t>upowszechnianiu idei ekoenergetyki</w:t>
      </w:r>
      <w:r w:rsidRPr="003478AF">
        <w:rPr>
          <w:rFonts w:ascii="Arial" w:hAnsi="Arial" w:cs="Arial"/>
          <w:b/>
          <w:bCs/>
          <w:sz w:val="20"/>
          <w:szCs w:val="20"/>
        </w:rPr>
        <w:t>,</w:t>
      </w:r>
      <w:r w:rsidRPr="003478AF">
        <w:rPr>
          <w:rFonts w:ascii="Arial" w:hAnsi="Arial" w:cs="Arial"/>
          <w:sz w:val="20"/>
          <w:szCs w:val="20"/>
        </w:rPr>
        <w:t xml:space="preserve"> m.in.</w:t>
      </w:r>
      <w:r w:rsidR="003D1ACF" w:rsidRPr="003478AF">
        <w:rPr>
          <w:rFonts w:ascii="Arial" w:hAnsi="Arial" w:cs="Arial"/>
          <w:sz w:val="20"/>
          <w:szCs w:val="20"/>
        </w:rPr>
        <w:t xml:space="preserve"> </w:t>
      </w:r>
      <w:r w:rsidRPr="003478AF">
        <w:rPr>
          <w:rFonts w:ascii="Arial" w:hAnsi="Arial" w:cs="Arial"/>
          <w:sz w:val="20"/>
          <w:szCs w:val="20"/>
        </w:rPr>
        <w:t>za</w:t>
      </w:r>
      <w:r w:rsidR="003D1ACF" w:rsidRPr="003478AF">
        <w:rPr>
          <w:rFonts w:ascii="Arial" w:hAnsi="Arial" w:cs="Arial"/>
          <w:sz w:val="20"/>
          <w:szCs w:val="20"/>
        </w:rPr>
        <w:t xml:space="preserve"> </w:t>
      </w:r>
      <w:r w:rsidRPr="003478AF">
        <w:rPr>
          <w:rFonts w:ascii="Arial" w:hAnsi="Arial" w:cs="Arial"/>
          <w:sz w:val="20"/>
          <w:szCs w:val="20"/>
        </w:rPr>
        <w:t>uruchomienie Instalacji Termicznego Przekształcania Odpadów Komunalnych oraz</w:t>
      </w:r>
      <w:r w:rsidR="003D1ACF" w:rsidRPr="003478AF">
        <w:rPr>
          <w:rFonts w:ascii="Arial" w:hAnsi="Arial" w:cs="Arial"/>
          <w:sz w:val="20"/>
          <w:szCs w:val="20"/>
        </w:rPr>
        <w:t xml:space="preserve"> </w:t>
      </w:r>
      <w:r w:rsidRPr="003478AF">
        <w:rPr>
          <w:rFonts w:ascii="Arial" w:hAnsi="Arial" w:cs="Arial"/>
          <w:sz w:val="20"/>
          <w:szCs w:val="20"/>
        </w:rPr>
        <w:t xml:space="preserve">projekt Poznański Dzień Energii, </w:t>
      </w:r>
      <w:r w:rsidR="003D1ACF" w:rsidRPr="003478AF">
        <w:rPr>
          <w:rFonts w:ascii="Arial" w:hAnsi="Arial" w:cs="Arial"/>
          <w:sz w:val="20"/>
          <w:szCs w:val="20"/>
        </w:rPr>
        <w:t xml:space="preserve">który </w:t>
      </w:r>
      <w:r w:rsidRPr="003478AF">
        <w:rPr>
          <w:rFonts w:ascii="Arial" w:hAnsi="Arial" w:cs="Arial"/>
          <w:sz w:val="20"/>
          <w:szCs w:val="20"/>
        </w:rPr>
        <w:t xml:space="preserve">propaguje wiedzę </w:t>
      </w:r>
      <w:r w:rsidR="003D1ACF" w:rsidRPr="003478AF">
        <w:rPr>
          <w:rFonts w:ascii="Arial" w:hAnsi="Arial" w:cs="Arial"/>
          <w:sz w:val="20"/>
          <w:szCs w:val="20"/>
        </w:rPr>
        <w:t xml:space="preserve">z </w:t>
      </w:r>
      <w:r w:rsidRPr="003478AF">
        <w:rPr>
          <w:rFonts w:ascii="Arial" w:hAnsi="Arial" w:cs="Arial"/>
          <w:sz w:val="20"/>
          <w:szCs w:val="20"/>
        </w:rPr>
        <w:t>zakresu efektywności energetycznej.</w:t>
      </w:r>
    </w:p>
    <w:p w14:paraId="6BA59A14" w14:textId="77777777" w:rsidR="00B74873" w:rsidRPr="003478AF" w:rsidRDefault="00B74873" w:rsidP="00E44697">
      <w:pPr>
        <w:pStyle w:val="NormalnyWeb"/>
        <w:rPr>
          <w:rFonts w:ascii="Arial" w:hAnsi="Arial" w:cs="Arial"/>
          <w:sz w:val="20"/>
          <w:szCs w:val="20"/>
        </w:rPr>
      </w:pPr>
    </w:p>
    <w:p w14:paraId="029E6636" w14:textId="0AED2195" w:rsidR="00E44697" w:rsidRPr="003478AF" w:rsidRDefault="00E44697" w:rsidP="00E6136F">
      <w:pPr>
        <w:spacing w:line="240" w:lineRule="auto"/>
        <w:ind w:firstLine="0"/>
        <w:jc w:val="left"/>
        <w:rPr>
          <w:rFonts w:cs="Arial"/>
          <w:b/>
          <w:bCs/>
          <w:szCs w:val="20"/>
        </w:rPr>
      </w:pPr>
      <w:r w:rsidRPr="003478AF">
        <w:rPr>
          <w:rFonts w:cs="Arial"/>
          <w:b/>
          <w:bCs/>
          <w:szCs w:val="20"/>
        </w:rPr>
        <w:t>Inteligentne opakowania</w:t>
      </w:r>
    </w:p>
    <w:p w14:paraId="11C3DECA" w14:textId="6B902A6B" w:rsidR="00E44697" w:rsidRPr="003478AF" w:rsidRDefault="00E44697" w:rsidP="00E44697">
      <w:pPr>
        <w:autoSpaceDE w:val="0"/>
        <w:autoSpaceDN w:val="0"/>
        <w:adjustRightInd w:val="0"/>
        <w:rPr>
          <w:rFonts w:cs="Arial"/>
          <w:szCs w:val="20"/>
        </w:rPr>
      </w:pPr>
      <w:r w:rsidRPr="003478AF">
        <w:rPr>
          <w:rFonts w:cs="Arial"/>
          <w:szCs w:val="20"/>
        </w:rPr>
        <w:t xml:space="preserve">Eksperci wskazali, iż dużą rolę w rozwoju innowacyjnych produktów wpisujących się </w:t>
      </w:r>
      <w:r w:rsidRPr="003478AF">
        <w:rPr>
          <w:rFonts w:cs="Arial"/>
          <w:szCs w:val="20"/>
        </w:rPr>
        <w:br/>
        <w:t xml:space="preserve">w gospodarkę cyrkularną odgrywają inteligentne opakowania, które posiadają możliwość monitorowania określonych parametrów (wewnętrznego </w:t>
      </w:r>
      <w:r w:rsidR="00A85042" w:rsidRPr="003478AF">
        <w:rPr>
          <w:rFonts w:cs="Arial"/>
          <w:szCs w:val="20"/>
        </w:rPr>
        <w:t>lub</w:t>
      </w:r>
      <w:r w:rsidRPr="003478AF">
        <w:rPr>
          <w:rFonts w:cs="Arial"/>
          <w:szCs w:val="20"/>
        </w:rPr>
        <w:t xml:space="preserve"> zewnętrznego otoczenia produktu). Dostarczają więc użytkownikowi informacj</w:t>
      </w:r>
      <w:r w:rsidR="00D0703A" w:rsidRPr="003478AF">
        <w:rPr>
          <w:rFonts w:cs="Arial"/>
          <w:szCs w:val="20"/>
        </w:rPr>
        <w:t>e</w:t>
      </w:r>
      <w:r w:rsidRPr="003478AF">
        <w:rPr>
          <w:rFonts w:cs="Arial"/>
          <w:szCs w:val="20"/>
        </w:rPr>
        <w:t xml:space="preserve"> o produkcie, jego stanie jakościowym </w:t>
      </w:r>
      <w:r w:rsidRPr="003478AF">
        <w:rPr>
          <w:rFonts w:cs="Arial"/>
          <w:szCs w:val="20"/>
        </w:rPr>
        <w:br/>
        <w:t>i bezpieczeństwie oraz o zmianach lub nawet nieprawidłowościach występujących w trakcie przechowywania i dystrybucji żywności, bez potrzeby otwarcia samego opakowania</w:t>
      </w:r>
      <w:r w:rsidRPr="003478AF">
        <w:rPr>
          <w:rStyle w:val="Odwoanieprzypisudolnego"/>
          <w:rFonts w:cs="Arial"/>
          <w:szCs w:val="20"/>
        </w:rPr>
        <w:footnoteReference w:id="125"/>
      </w:r>
      <w:r w:rsidRPr="003478AF">
        <w:rPr>
          <w:rFonts w:cs="Arial"/>
          <w:szCs w:val="20"/>
        </w:rPr>
        <w:t>. Mogą to być informacje o składzie atmosfery, zmianach i wahaniach temperatury, zawartości tlenu lub dwutlenku węgla.</w:t>
      </w:r>
    </w:p>
    <w:p w14:paraId="2246B591" w14:textId="755C4C97" w:rsidR="00E44697" w:rsidRPr="003478AF" w:rsidRDefault="00E44697" w:rsidP="00E44697">
      <w:pPr>
        <w:autoSpaceDE w:val="0"/>
        <w:autoSpaceDN w:val="0"/>
        <w:adjustRightInd w:val="0"/>
        <w:rPr>
          <w:rFonts w:eastAsia="Times New Roman" w:cs="Arial"/>
          <w:szCs w:val="20"/>
          <w:lang w:eastAsia="pl-PL"/>
        </w:rPr>
      </w:pPr>
      <w:r w:rsidRPr="003478AF">
        <w:rPr>
          <w:rFonts w:eastAsia="Times New Roman" w:cs="Arial"/>
          <w:szCs w:val="20"/>
          <w:lang w:eastAsia="pl-PL"/>
        </w:rPr>
        <w:t>Forma opakowania musi być dostosowana do systemu dystrybucji i sprzedaży, być użyteczna (wielkość, pojemność odpowiada</w:t>
      </w:r>
      <w:r w:rsidR="00780C34" w:rsidRPr="003478AF">
        <w:rPr>
          <w:rFonts w:eastAsia="Times New Roman" w:cs="Arial"/>
          <w:szCs w:val="20"/>
          <w:lang w:eastAsia="pl-PL"/>
        </w:rPr>
        <w:t>jąca</w:t>
      </w:r>
      <w:r w:rsidRPr="003478AF">
        <w:rPr>
          <w:rFonts w:eastAsia="Times New Roman" w:cs="Arial"/>
          <w:szCs w:val="20"/>
          <w:lang w:eastAsia="pl-PL"/>
        </w:rPr>
        <w:t xml:space="preserve"> potrzebom konsumenta). Opakowanie powinno być możliwie jak najtańsze i najlepiej gdy nadaje się do przetworzenia (aspekt ochrony środowiska).</w:t>
      </w:r>
    </w:p>
    <w:p w14:paraId="0DB03F6A" w14:textId="05F6B8BF" w:rsidR="00E44697" w:rsidRPr="003478AF" w:rsidRDefault="00E44697" w:rsidP="00E44697">
      <w:pPr>
        <w:autoSpaceDE w:val="0"/>
        <w:autoSpaceDN w:val="0"/>
        <w:adjustRightInd w:val="0"/>
      </w:pPr>
      <w:r w:rsidRPr="003478AF">
        <w:rPr>
          <w:rFonts w:cs="Arial"/>
          <w:szCs w:val="20"/>
        </w:rPr>
        <w:t xml:space="preserve">Istotne jest, aby inteligentne opakowania umożliwiały śledzenie całego cyklu życia, który informuje o zużytych </w:t>
      </w:r>
      <w:r w:rsidR="00B74873" w:rsidRPr="003478AF">
        <w:rPr>
          <w:rFonts w:cs="Arial"/>
          <w:szCs w:val="20"/>
        </w:rPr>
        <w:t xml:space="preserve">do jego wytworzenia </w:t>
      </w:r>
      <w:r w:rsidRPr="003478AF">
        <w:rPr>
          <w:rFonts w:cs="Arial"/>
          <w:szCs w:val="20"/>
        </w:rPr>
        <w:t>materiałach i energii</w:t>
      </w:r>
      <w:r w:rsidR="00B74873" w:rsidRPr="003478AF">
        <w:rPr>
          <w:rFonts w:cs="Arial"/>
          <w:szCs w:val="20"/>
        </w:rPr>
        <w:t xml:space="preserve">, </w:t>
      </w:r>
      <w:r w:rsidRPr="003478AF">
        <w:rPr>
          <w:rFonts w:cs="Arial"/>
          <w:szCs w:val="20"/>
        </w:rPr>
        <w:t>potencjaln</w:t>
      </w:r>
      <w:r w:rsidR="00B74873" w:rsidRPr="003478AF">
        <w:rPr>
          <w:rFonts w:cs="Arial"/>
          <w:szCs w:val="20"/>
        </w:rPr>
        <w:t xml:space="preserve">ej emisji i </w:t>
      </w:r>
      <w:r w:rsidRPr="003478AF">
        <w:rPr>
          <w:rFonts w:cs="Arial"/>
          <w:szCs w:val="20"/>
        </w:rPr>
        <w:t>odpadach wprowadzanych do środowiska</w:t>
      </w:r>
      <w:r w:rsidR="00B74873" w:rsidRPr="003478AF">
        <w:rPr>
          <w:rFonts w:cs="Arial"/>
          <w:szCs w:val="20"/>
        </w:rPr>
        <w:t xml:space="preserve"> oraz </w:t>
      </w:r>
      <w:r w:rsidRPr="003478AF">
        <w:rPr>
          <w:rFonts w:cs="Arial"/>
          <w:szCs w:val="20"/>
        </w:rPr>
        <w:t xml:space="preserve">potencjalnych wpływach tych obciążeń oraz oszacowuje </w:t>
      </w:r>
      <w:r w:rsidR="00B74873" w:rsidRPr="003478AF">
        <w:rPr>
          <w:rFonts w:cs="Arial"/>
          <w:szCs w:val="20"/>
        </w:rPr>
        <w:t>możliwości</w:t>
      </w:r>
      <w:r w:rsidRPr="003478AF">
        <w:rPr>
          <w:rFonts w:cs="Arial"/>
          <w:szCs w:val="20"/>
        </w:rPr>
        <w:t xml:space="preserve"> </w:t>
      </w:r>
      <w:r w:rsidR="00B74873" w:rsidRPr="003478AF">
        <w:rPr>
          <w:rFonts w:cs="Arial"/>
          <w:szCs w:val="20"/>
        </w:rPr>
        <w:t>ich zmniejszenia</w:t>
      </w:r>
      <w:r w:rsidRPr="003478AF">
        <w:rPr>
          <w:rFonts w:cs="Arial"/>
          <w:szCs w:val="20"/>
        </w:rPr>
        <w:t>. Posiadają one duży potencjał poprawy bezpieczeństwa żywności. Na rynku dostępnych jest już wiele komercyjnych rozwiązań z zakresu opakowań/materiałów inteligentnych, ale jeszcze więcej jest w fazie badań</w:t>
      </w:r>
      <w:r w:rsidR="00545567" w:rsidRPr="003478AF">
        <w:rPr>
          <w:rStyle w:val="Odwoanieprzypisudolnego"/>
          <w:rFonts w:cs="Arial"/>
          <w:szCs w:val="20"/>
        </w:rPr>
        <w:footnoteReference w:id="126"/>
      </w:r>
      <w:r w:rsidRPr="003478AF">
        <w:rPr>
          <w:rFonts w:cs="Arial"/>
          <w:szCs w:val="20"/>
        </w:rPr>
        <w:t>.</w:t>
      </w:r>
    </w:p>
    <w:p w14:paraId="3D7D80C7" w14:textId="77777777" w:rsidR="00E44697" w:rsidRPr="003478AF" w:rsidRDefault="00E44697" w:rsidP="00E44697">
      <w:pPr>
        <w:autoSpaceDE w:val="0"/>
        <w:autoSpaceDN w:val="0"/>
        <w:adjustRightInd w:val="0"/>
        <w:rPr>
          <w:rFonts w:cs="Arial"/>
          <w:szCs w:val="20"/>
        </w:rPr>
      </w:pPr>
      <w:r w:rsidRPr="003478AF">
        <w:rPr>
          <w:rFonts w:cs="Arial"/>
          <w:szCs w:val="20"/>
        </w:rPr>
        <w:t>W Polsce prekursorem inteligentnych opakowań były Browary Żywiec, które na swoich butelkach z piwem umieściły specjalnych wskaźnik informujący o tym, kiedy piwo osiągnie idealną temperaturę do spożycia trunku.</w:t>
      </w:r>
    </w:p>
    <w:p w14:paraId="12C21FC6" w14:textId="14B841EF" w:rsidR="00E44697" w:rsidRPr="003478AF" w:rsidRDefault="00E44697" w:rsidP="00E44697">
      <w:pPr>
        <w:autoSpaceDE w:val="0"/>
        <w:autoSpaceDN w:val="0"/>
        <w:adjustRightInd w:val="0"/>
        <w:rPr>
          <w:rFonts w:eastAsia="Times New Roman" w:cs="Arial"/>
          <w:szCs w:val="20"/>
          <w:lang w:eastAsia="pl-PL"/>
        </w:rPr>
      </w:pPr>
      <w:r w:rsidRPr="003478AF">
        <w:rPr>
          <w:rFonts w:cs="Arial"/>
          <w:szCs w:val="20"/>
        </w:rPr>
        <w:t xml:space="preserve">Innym przykładem </w:t>
      </w:r>
      <w:r w:rsidRPr="003478AF">
        <w:rPr>
          <w:rFonts w:eastAsia="Times New Roman" w:cs="Arial"/>
          <w:szCs w:val="20"/>
          <w:lang w:eastAsia="pl-PL"/>
        </w:rPr>
        <w:t xml:space="preserve">inteligentnych opakowań są butelki </w:t>
      </w:r>
      <w:r w:rsidR="0004514C" w:rsidRPr="003478AF">
        <w:rPr>
          <w:rFonts w:eastAsia="Times New Roman" w:cs="Arial"/>
          <w:szCs w:val="20"/>
          <w:lang w:eastAsia="pl-PL"/>
        </w:rPr>
        <w:t>i</w:t>
      </w:r>
      <w:r w:rsidRPr="003478AF">
        <w:rPr>
          <w:rFonts w:eastAsia="Times New Roman" w:cs="Arial"/>
          <w:szCs w:val="20"/>
          <w:lang w:eastAsia="pl-PL"/>
        </w:rPr>
        <w:t xml:space="preserve">iamo dla niemowląt, które zostały zaprojektowane z możliwością nakarmienia dziecka w miejscu pozbawionym elektryczności. Wymieniany każdorazowo wkład zawierający jedynie wodę i sól podgrzewa w ciągu </w:t>
      </w:r>
      <w:r w:rsidR="000E695F" w:rsidRPr="003478AF">
        <w:rPr>
          <w:rFonts w:eastAsia="Times New Roman" w:cs="Arial"/>
          <w:szCs w:val="20"/>
          <w:lang w:eastAsia="pl-PL"/>
        </w:rPr>
        <w:t xml:space="preserve">czterech </w:t>
      </w:r>
      <w:r w:rsidRPr="003478AF">
        <w:rPr>
          <w:rFonts w:eastAsia="Times New Roman" w:cs="Arial"/>
          <w:szCs w:val="20"/>
          <w:lang w:eastAsia="pl-PL"/>
        </w:rPr>
        <w:lastRenderedPageBreak/>
        <w:t>min</w:t>
      </w:r>
      <w:r w:rsidR="000E695F" w:rsidRPr="003478AF">
        <w:rPr>
          <w:rFonts w:eastAsia="Times New Roman" w:cs="Arial"/>
          <w:szCs w:val="20"/>
          <w:lang w:eastAsia="pl-PL"/>
        </w:rPr>
        <w:t>ut</w:t>
      </w:r>
      <w:r w:rsidRPr="003478AF">
        <w:rPr>
          <w:rFonts w:eastAsia="Times New Roman" w:cs="Arial"/>
          <w:szCs w:val="20"/>
          <w:lang w:eastAsia="pl-PL"/>
        </w:rPr>
        <w:t xml:space="preserve"> mleko do optymalnej temperatury dla spożycia (37</w:t>
      </w:r>
      <w:r w:rsidRPr="003478AF">
        <w:rPr>
          <w:rFonts w:eastAsia="Times New Roman" w:cs="Arial"/>
          <w:szCs w:val="20"/>
          <w:vertAlign w:val="superscript"/>
          <w:lang w:eastAsia="pl-PL"/>
        </w:rPr>
        <w:t>o</w:t>
      </w:r>
      <w:r w:rsidRPr="003478AF">
        <w:rPr>
          <w:rFonts w:eastAsia="Times New Roman" w:cs="Arial"/>
          <w:szCs w:val="20"/>
          <w:lang w:eastAsia="pl-PL"/>
        </w:rPr>
        <w:t>C). Działanie opiera się na reakcji egzotermicznej</w:t>
      </w:r>
      <w:r w:rsidR="00560389" w:rsidRPr="003478AF">
        <w:rPr>
          <w:rFonts w:eastAsia="Times New Roman" w:cs="Arial"/>
          <w:szCs w:val="20"/>
          <w:lang w:eastAsia="pl-PL"/>
        </w:rPr>
        <w:t>,</w:t>
      </w:r>
      <w:r w:rsidRPr="003478AF">
        <w:rPr>
          <w:rFonts w:eastAsia="Times New Roman" w:cs="Arial"/>
          <w:szCs w:val="20"/>
          <w:lang w:eastAsia="pl-PL"/>
        </w:rPr>
        <w:t xml:space="preserve"> tj. przebiegającej z wydzieleniem ciepła reakcji chemicznej. </w:t>
      </w:r>
    </w:p>
    <w:p w14:paraId="3C499B5D" w14:textId="77777777" w:rsidR="00E44697" w:rsidRPr="003478AF" w:rsidRDefault="00E44697" w:rsidP="00E44697">
      <w:pPr>
        <w:autoSpaceDE w:val="0"/>
        <w:autoSpaceDN w:val="0"/>
        <w:adjustRightInd w:val="0"/>
        <w:rPr>
          <w:rFonts w:eastAsia="Times New Roman" w:cs="Arial"/>
          <w:szCs w:val="20"/>
          <w:lang w:eastAsia="pl-PL"/>
        </w:rPr>
      </w:pPr>
      <w:r w:rsidRPr="003478AF">
        <w:rPr>
          <w:rFonts w:eastAsia="Times New Roman" w:cs="Arial"/>
          <w:szCs w:val="20"/>
          <w:lang w:eastAsia="pl-PL"/>
        </w:rPr>
        <w:t>Kolejny przykład to Puszki Hot Can, które działają na bardzo podobnej zasadzie. Potrawa zlokalizowana jest w wewnętrznym pojemniku. Między nim, a warstwą zewnętrzną opakowania znajduje się przestrzeń z saszetką wody oraz granulatem wapna</w:t>
      </w:r>
      <w:r w:rsidRPr="003478AF">
        <w:rPr>
          <w:rStyle w:val="Odwoanieprzypisudolnego"/>
          <w:rFonts w:eastAsia="Times New Roman" w:cs="Arial"/>
          <w:szCs w:val="20"/>
          <w:lang w:eastAsia="pl-PL"/>
        </w:rPr>
        <w:footnoteReference w:id="127"/>
      </w:r>
      <w:r w:rsidRPr="003478AF">
        <w:rPr>
          <w:rFonts w:eastAsia="Times New Roman" w:cs="Arial"/>
          <w:szCs w:val="20"/>
          <w:lang w:eastAsia="pl-PL"/>
        </w:rPr>
        <w:t xml:space="preserve">. </w:t>
      </w:r>
    </w:p>
    <w:p w14:paraId="6EDA0D9B" w14:textId="77777777" w:rsidR="00E44697" w:rsidRPr="003478AF" w:rsidRDefault="00E44697" w:rsidP="00E44697">
      <w:pPr>
        <w:autoSpaceDE w:val="0"/>
        <w:autoSpaceDN w:val="0"/>
        <w:adjustRightInd w:val="0"/>
        <w:rPr>
          <w:rFonts w:eastAsia="Times New Roman" w:cs="Arial"/>
          <w:szCs w:val="20"/>
          <w:lang w:eastAsia="pl-PL"/>
        </w:rPr>
      </w:pPr>
      <w:r w:rsidRPr="003478AF">
        <w:rPr>
          <w:rFonts w:eastAsia="Times New Roman" w:cs="Arial"/>
          <w:szCs w:val="20"/>
          <w:lang w:eastAsia="pl-PL"/>
        </w:rPr>
        <w:t>Inteligentny materiał reagujący na gorące napoje wykorzystano w wieczkach Smart Lid. Ich prototyp dotyczy jednorazowych rozwiązań. Kolor informuje czy temperatura jest właściwa do spożycia (wraz ze spadkiem temperatury kolor paska na wieczku zmienia się na ciemniejszy brązowy). Dodatkowym atutem jest informowanie o tym, czy wieczko zostało umieszczone na kubku w sposób prawidłowy, szczelny, niegrożący wylaniem się płynu przy przechyleniu.</w:t>
      </w:r>
    </w:p>
    <w:p w14:paraId="3E48F6CF" w14:textId="7E95EF00" w:rsidR="00E44697" w:rsidRPr="003478AF" w:rsidRDefault="00E44697" w:rsidP="00E44697">
      <w:pPr>
        <w:autoSpaceDE w:val="0"/>
        <w:autoSpaceDN w:val="0"/>
        <w:adjustRightInd w:val="0"/>
        <w:rPr>
          <w:rFonts w:eastAsia="Times New Roman" w:cs="Arial"/>
          <w:szCs w:val="20"/>
          <w:lang w:eastAsia="pl-PL"/>
        </w:rPr>
      </w:pPr>
      <w:r w:rsidRPr="003478AF">
        <w:rPr>
          <w:rFonts w:eastAsia="Times New Roman" w:cs="Arial"/>
          <w:szCs w:val="20"/>
          <w:lang w:eastAsia="pl-PL"/>
        </w:rPr>
        <w:t xml:space="preserve">O znaczeniu inteligentnych opakowań świadczą zapisy w opracowanych obszarach inteligentnych specjalizacji dla Wielkopolski w ramach specjalizacji Biosurowce i żywność dla świadomych konsumentów. Wielkopolska jest </w:t>
      </w:r>
      <w:r w:rsidR="0004514C" w:rsidRPr="003478AF">
        <w:rPr>
          <w:rFonts w:eastAsia="Times New Roman" w:cs="Arial"/>
          <w:szCs w:val="20"/>
          <w:lang w:eastAsia="pl-PL"/>
        </w:rPr>
        <w:t xml:space="preserve">znaczącym </w:t>
      </w:r>
      <w:r w:rsidRPr="003478AF">
        <w:rPr>
          <w:rFonts w:eastAsia="Times New Roman" w:cs="Arial"/>
          <w:szCs w:val="20"/>
          <w:lang w:eastAsia="pl-PL"/>
        </w:rPr>
        <w:t xml:space="preserve">regionem </w:t>
      </w:r>
      <w:r w:rsidR="0004514C" w:rsidRPr="003478AF">
        <w:rPr>
          <w:rFonts w:eastAsia="Times New Roman" w:cs="Arial"/>
          <w:szCs w:val="20"/>
          <w:lang w:eastAsia="pl-PL"/>
        </w:rPr>
        <w:t xml:space="preserve">zarówno </w:t>
      </w:r>
      <w:r w:rsidRPr="003478AF">
        <w:rPr>
          <w:rFonts w:eastAsia="Times New Roman" w:cs="Arial"/>
          <w:szCs w:val="20"/>
          <w:lang w:eastAsia="pl-PL"/>
        </w:rPr>
        <w:t xml:space="preserve">w zakresie produkcji rolniczej, jak i przetwórstwa spożywczego. Obszar </w:t>
      </w:r>
      <w:r w:rsidR="00560389" w:rsidRPr="003478AF">
        <w:rPr>
          <w:rFonts w:eastAsia="Times New Roman" w:cs="Arial"/>
          <w:szCs w:val="20"/>
          <w:lang w:eastAsia="pl-PL"/>
        </w:rPr>
        <w:t xml:space="preserve">tej regionalnej </w:t>
      </w:r>
      <w:r w:rsidR="00560389" w:rsidRPr="003478AF">
        <w:rPr>
          <w:rFonts w:eastAsia="Times New Roman" w:cs="Arial"/>
          <w:iCs/>
          <w:szCs w:val="20"/>
          <w:lang w:eastAsia="pl-PL"/>
        </w:rPr>
        <w:t>specjalizacji</w:t>
      </w:r>
      <w:r w:rsidRPr="003478AF">
        <w:rPr>
          <w:rFonts w:eastAsia="Times New Roman" w:cs="Arial"/>
          <w:szCs w:val="20"/>
          <w:lang w:eastAsia="pl-PL"/>
        </w:rPr>
        <w:t xml:space="preserve"> obejmuje produkcję biosurowców i żywności w ramach całego łańcucha wartości – z dobrej jakości surowców, przy zastosowaniu nowoczesnych metod i technologii oraz sprzedaży </w:t>
      </w:r>
      <w:r w:rsidR="001B0CB3" w:rsidRPr="003478AF">
        <w:rPr>
          <w:rFonts w:eastAsia="Times New Roman" w:cs="Arial"/>
          <w:szCs w:val="20"/>
          <w:lang w:eastAsia="pl-PL"/>
        </w:rPr>
        <w:br/>
      </w:r>
      <w:r w:rsidRPr="003478AF">
        <w:rPr>
          <w:rFonts w:eastAsia="Times New Roman" w:cs="Arial"/>
          <w:szCs w:val="20"/>
          <w:lang w:eastAsia="pl-PL"/>
        </w:rPr>
        <w:t xml:space="preserve">i dystrybucji, a także zagospodarowanie odpadów poprodukcyjnych. Biosurowce pochodzenia naturalnego produkowane są z dedykowanych upraw lub odpadów poprodukcyjnych. Wzmacnianie całego łańcucha wartości powinno doprowadzić do zwiększenia wytwarzanej wartości dodanej i zatrzymania jej w regionie. </w:t>
      </w:r>
    </w:p>
    <w:p w14:paraId="103134A6" w14:textId="72CCFD9E" w:rsidR="00E44697" w:rsidRPr="003478AF" w:rsidRDefault="00E44697" w:rsidP="00E44697">
      <w:pPr>
        <w:autoSpaceDE w:val="0"/>
        <w:autoSpaceDN w:val="0"/>
        <w:adjustRightInd w:val="0"/>
        <w:rPr>
          <w:rFonts w:cs="Arial"/>
          <w:szCs w:val="20"/>
        </w:rPr>
      </w:pPr>
      <w:r w:rsidRPr="003478AF">
        <w:rPr>
          <w:rFonts w:eastAsia="Times New Roman" w:cs="Arial"/>
          <w:szCs w:val="20"/>
          <w:lang w:eastAsia="pl-PL"/>
        </w:rPr>
        <w:t xml:space="preserve">Ponadto w regionie organizowane są konkursy promujące innowacyjne przedsiębiorstwa, które wpisują się w jego tematykę np. inteligentne opakowania. Przykładem jest </w:t>
      </w:r>
      <w:hyperlink r:id="rId48" w:history="1">
        <w:r w:rsidRPr="003478AF">
          <w:rPr>
            <w:rStyle w:val="Hipercze"/>
            <w:rFonts w:cs="Arial"/>
            <w:color w:val="auto"/>
            <w:szCs w:val="20"/>
            <w:u w:val="none"/>
          </w:rPr>
          <w:t>EIT Food Seedbed 2021 – program wsparcia innowatorów w branży rolno-spożywczej</w:t>
        </w:r>
      </w:hyperlink>
      <w:r w:rsidR="00562A0B" w:rsidRPr="003478AF">
        <w:rPr>
          <w:rStyle w:val="Odwoanieprzypisudolnego"/>
          <w:rFonts w:cs="Arial"/>
          <w:szCs w:val="20"/>
        </w:rPr>
        <w:footnoteReference w:id="128"/>
      </w:r>
      <w:r w:rsidRPr="003478AF">
        <w:rPr>
          <w:rFonts w:cs="Arial"/>
          <w:szCs w:val="20"/>
        </w:rPr>
        <w:t>.</w:t>
      </w:r>
    </w:p>
    <w:p w14:paraId="6518D693" w14:textId="31824876" w:rsidR="00211079" w:rsidRPr="003478AF" w:rsidRDefault="00131D31" w:rsidP="003136E2">
      <w:pPr>
        <w:spacing w:line="240" w:lineRule="auto"/>
        <w:ind w:firstLine="0"/>
        <w:jc w:val="left"/>
        <w:rPr>
          <w:rFonts w:cs="Arial"/>
          <w:szCs w:val="20"/>
        </w:rPr>
      </w:pPr>
      <w:r w:rsidRPr="003478AF">
        <w:rPr>
          <w:rFonts w:cs="Arial"/>
          <w:szCs w:val="20"/>
        </w:rPr>
        <w:br w:type="page"/>
      </w:r>
    </w:p>
    <w:p w14:paraId="6E229368" w14:textId="77777777" w:rsidR="003136E2" w:rsidRPr="003478AF" w:rsidRDefault="003136E2" w:rsidP="003136E2"/>
    <w:p w14:paraId="030EDF16" w14:textId="05925639" w:rsidR="00B7152A" w:rsidRPr="003478AF" w:rsidRDefault="00421B03">
      <w:pPr>
        <w:pStyle w:val="Nagwek1"/>
      </w:pPr>
      <w:bookmarkStart w:id="46" w:name="_Toc82159997"/>
      <w:r w:rsidRPr="003478AF">
        <w:t xml:space="preserve">Identyfikacja kluczowych łańcuchów wartości </w:t>
      </w:r>
      <w:r w:rsidR="00F1079D" w:rsidRPr="003478AF">
        <w:br/>
      </w:r>
      <w:r w:rsidRPr="003478AF">
        <w:t>w województwie wielkopolskim</w:t>
      </w:r>
      <w:bookmarkEnd w:id="46"/>
    </w:p>
    <w:p w14:paraId="76056E03" w14:textId="518F16DC" w:rsidR="00B6170F" w:rsidRPr="003478AF" w:rsidRDefault="000671A8">
      <w:pPr>
        <w:pStyle w:val="Nagwek2"/>
      </w:pPr>
      <w:bookmarkStart w:id="47" w:name="_Toc82159998"/>
      <w:r w:rsidRPr="003478AF">
        <w:t xml:space="preserve">5.1. </w:t>
      </w:r>
      <w:r w:rsidR="00B6170F" w:rsidRPr="003478AF">
        <w:t>Identyfikacja łańcuchów wartości w województwie wielkopolskim</w:t>
      </w:r>
      <w:bookmarkEnd w:id="47"/>
    </w:p>
    <w:p w14:paraId="2D9C8F25" w14:textId="77777777" w:rsidR="00B6170F" w:rsidRPr="003478AF" w:rsidRDefault="00B6170F" w:rsidP="00B6170F">
      <w:pPr>
        <w:pStyle w:val="Tekstpodstawowyzwciciem"/>
        <w:ind w:firstLine="567"/>
      </w:pPr>
    </w:p>
    <w:p w14:paraId="32295FBB" w14:textId="71CC6F47" w:rsidR="005E7F59" w:rsidRPr="003478AF" w:rsidRDefault="005E7F59" w:rsidP="005E7F59">
      <w:pPr>
        <w:pStyle w:val="Tekstpodstawowyzwciciem"/>
        <w:ind w:firstLine="567"/>
      </w:pPr>
      <w:r w:rsidRPr="003478AF">
        <w:t xml:space="preserve">Przejście na </w:t>
      </w:r>
      <w:r w:rsidR="0015495E" w:rsidRPr="003478AF">
        <w:t>GOZ</w:t>
      </w:r>
      <w:r w:rsidRPr="003478AF">
        <w:t xml:space="preserve"> wymaga zmian właściwie w każdym ogniwie łańcucha wartości. Potrzebna jest restrukturyzacja i zmiana myślenia już od fazy projektowania produktu, a także nowe modele biznesowe</w:t>
      </w:r>
      <w:r w:rsidR="00F1079D" w:rsidRPr="003478AF">
        <w:t xml:space="preserve"> oraz </w:t>
      </w:r>
      <w:r w:rsidRPr="003478AF">
        <w:t xml:space="preserve">ścisła współpraca na każdym etapie łańcucha dostaw. Takie zmiany wymagają podejścia systemowego, zastosowania innowacji, użycia nowych sposobów przekształcania </w:t>
      </w:r>
      <w:r w:rsidR="000C2230" w:rsidRPr="003478AF">
        <w:t xml:space="preserve">odpadów </w:t>
      </w:r>
      <w:r w:rsidRPr="003478AF">
        <w:t>w zasoby, a także zmiany mentalności i podejścia do użytkowania wyrobów przez konsumentów.</w:t>
      </w:r>
    </w:p>
    <w:p w14:paraId="27966EDA" w14:textId="4AD5DBB9" w:rsidR="00AA644B" w:rsidRPr="003478AF" w:rsidRDefault="00AA644B" w:rsidP="005E7F59">
      <w:pPr>
        <w:pStyle w:val="Tekstpodstawowyzwciciem"/>
        <w:ind w:firstLine="567"/>
      </w:pPr>
      <w:r w:rsidRPr="003478AF">
        <w:t>Przykładem łańcuch</w:t>
      </w:r>
      <w:r w:rsidR="0078793A" w:rsidRPr="003478AF">
        <w:t>a</w:t>
      </w:r>
      <w:r w:rsidRPr="003478AF">
        <w:t xml:space="preserve"> wartości może być produkcja komputera. </w:t>
      </w:r>
      <w:r w:rsidR="00702B23" w:rsidRPr="003478AF">
        <w:t>Jej s</w:t>
      </w:r>
      <w:r w:rsidRPr="003478AF">
        <w:t xml:space="preserve">chemat przedstawiono </w:t>
      </w:r>
      <w:r w:rsidR="00702B23" w:rsidRPr="003478AF">
        <w:t xml:space="preserve">na </w:t>
      </w:r>
      <w:r w:rsidR="00381971" w:rsidRPr="003478AF">
        <w:t>ryc.</w:t>
      </w:r>
      <w:r w:rsidR="00702B23" w:rsidRPr="003478AF">
        <w:t xml:space="preserve"> 5.1.</w:t>
      </w:r>
    </w:p>
    <w:p w14:paraId="711B2BC9" w14:textId="77777777" w:rsidR="00AA644B" w:rsidRPr="003478AF" w:rsidRDefault="00AA644B" w:rsidP="005E7F59">
      <w:pPr>
        <w:pStyle w:val="Tekstpodstawowyzwciciem"/>
        <w:ind w:firstLine="567"/>
      </w:pPr>
    </w:p>
    <w:p w14:paraId="734E8446" w14:textId="4F12FB02" w:rsidR="00AA644B" w:rsidRPr="003478AF" w:rsidRDefault="00AA644B" w:rsidP="00986D40">
      <w:pPr>
        <w:pStyle w:val="ARYCINA"/>
      </w:pPr>
      <w:r w:rsidRPr="003478AF">
        <w:t>Ry</w:t>
      </w:r>
      <w:r w:rsidR="00915A76" w:rsidRPr="003478AF">
        <w:t>c. 5.1</w:t>
      </w:r>
      <w:r w:rsidR="00E5109D" w:rsidRPr="003478AF">
        <w:t xml:space="preserve"> </w:t>
      </w:r>
      <w:r w:rsidRPr="003478AF">
        <w:t>Schemat produkcji komputera w całym łańcuchu wartości</w:t>
      </w:r>
    </w:p>
    <w:p w14:paraId="2B4413A6" w14:textId="4E3C4A40" w:rsidR="00DA1EB5" w:rsidRPr="003478AF" w:rsidRDefault="00DA1EB5" w:rsidP="00AA644B">
      <w:pPr>
        <w:pStyle w:val="Tekstpodstawowyzwciciem"/>
        <w:spacing w:line="240" w:lineRule="auto"/>
        <w:ind w:firstLine="0"/>
        <w:jc w:val="center"/>
      </w:pPr>
      <w:r w:rsidRPr="003478AF">
        <w:rPr>
          <w:noProof/>
          <w:lang w:eastAsia="pl-PL"/>
        </w:rPr>
        <w:drawing>
          <wp:inline distT="0" distB="0" distL="0" distR="0" wp14:anchorId="79F956AF" wp14:editId="4C13DBD9">
            <wp:extent cx="5255895" cy="3014345"/>
            <wp:effectExtent l="0" t="0" r="1905" b="0"/>
            <wp:docPr id="17" name="Obraz 3">
              <a:extLst xmlns:a="http://schemas.openxmlformats.org/drawingml/2006/main">
                <a:ext uri="{FF2B5EF4-FFF2-40B4-BE49-F238E27FC236}">
                  <a16:creationId xmlns:a16="http://schemas.microsoft.com/office/drawing/2014/main" id="{F1ED46D7-4080-4D56-B8D0-9826E2CD348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Obraz 3">
                      <a:extLst>
                        <a:ext uri="{FF2B5EF4-FFF2-40B4-BE49-F238E27FC236}">
                          <a16:creationId xmlns:a16="http://schemas.microsoft.com/office/drawing/2014/main" id="{F1ED46D7-4080-4D56-B8D0-9826E2CD3486}"/>
                        </a:ext>
                      </a:extLst>
                    </pic:cNvPr>
                    <pic:cNvPicPr>
                      <a:picLocks noChangeAspect="1"/>
                    </pic:cNvPicPr>
                  </pic:nvPicPr>
                  <pic:blipFill>
                    <a:blip r:embed="rId49"/>
                    <a:stretch>
                      <a:fillRect/>
                    </a:stretch>
                  </pic:blipFill>
                  <pic:spPr>
                    <a:xfrm>
                      <a:off x="0" y="0"/>
                      <a:ext cx="5255895" cy="3014345"/>
                    </a:xfrm>
                    <a:prstGeom prst="rect">
                      <a:avLst/>
                    </a:prstGeom>
                  </pic:spPr>
                </pic:pic>
              </a:graphicData>
            </a:graphic>
          </wp:inline>
        </w:drawing>
      </w:r>
    </w:p>
    <w:p w14:paraId="74CF372F" w14:textId="5EEA3D26" w:rsidR="00DA1EB5" w:rsidRPr="003478AF" w:rsidRDefault="00AA644B" w:rsidP="00986D40">
      <w:pPr>
        <w:pStyle w:val="AZRODLO"/>
      </w:pPr>
      <w:r w:rsidRPr="003478AF">
        <w:t>Źródło: Opracowanie własne</w:t>
      </w:r>
    </w:p>
    <w:p w14:paraId="6059907B" w14:textId="77777777" w:rsidR="00AA644B" w:rsidRPr="003478AF" w:rsidRDefault="00AA644B" w:rsidP="005E7F59">
      <w:pPr>
        <w:pStyle w:val="Tekstpodstawowyzwciciem"/>
        <w:ind w:firstLine="567"/>
      </w:pPr>
    </w:p>
    <w:p w14:paraId="784A459F" w14:textId="4D000391" w:rsidR="005E7F59" w:rsidRPr="003478AF" w:rsidRDefault="00AA644B" w:rsidP="00E35016">
      <w:pPr>
        <w:pStyle w:val="Tekstpodstawowyzwciciem"/>
        <w:ind w:firstLine="567"/>
      </w:pPr>
      <w:r w:rsidRPr="003478AF">
        <w:t xml:space="preserve">Przykłady łańcuchów wartości zidentyfikowano dla województwa wielkopolskiego na podstawie </w:t>
      </w:r>
      <w:r w:rsidR="00E35016" w:rsidRPr="003478AF">
        <w:t xml:space="preserve">wywiadów z ekspertami oraz z przedstawicielami </w:t>
      </w:r>
      <w:r w:rsidRPr="003478AF">
        <w:t xml:space="preserve">przedsiębiorstw działających </w:t>
      </w:r>
      <w:r w:rsidR="001B0CB3" w:rsidRPr="003478AF">
        <w:br/>
      </w:r>
      <w:r w:rsidR="00562A0B" w:rsidRPr="003478AF">
        <w:t>w</w:t>
      </w:r>
      <w:r w:rsidR="006C5342" w:rsidRPr="003478AF">
        <w:t xml:space="preserve"> </w:t>
      </w:r>
      <w:r w:rsidRPr="003478AF">
        <w:t xml:space="preserve">kluczowych obszarach gospodarczych regionu. </w:t>
      </w:r>
      <w:r w:rsidR="00E35016" w:rsidRPr="003478AF">
        <w:t>Z</w:t>
      </w:r>
      <w:r w:rsidR="005E7F59" w:rsidRPr="003478AF">
        <w:t>identyfikowano dziewięć łańcuchów wartości na podstawie trzech wybranych obszarów i</w:t>
      </w:r>
      <w:r w:rsidR="00E051EC" w:rsidRPr="003478AF">
        <w:t xml:space="preserve"> działających w nich</w:t>
      </w:r>
      <w:r w:rsidR="005E7F59" w:rsidRPr="003478AF">
        <w:t xml:space="preserve"> branż (na </w:t>
      </w:r>
      <w:r w:rsidR="00E35016" w:rsidRPr="003478AF">
        <w:t xml:space="preserve">podstawie rozdziału </w:t>
      </w:r>
      <w:r w:rsidR="00E051EC" w:rsidRPr="003478AF">
        <w:t>3</w:t>
      </w:r>
      <w:r w:rsidR="005E7F59" w:rsidRPr="003478AF">
        <w:t xml:space="preserve">). Branżami tymi są: </w:t>
      </w:r>
    </w:p>
    <w:p w14:paraId="545DE9E9" w14:textId="5D9500B0" w:rsidR="005E7F59" w:rsidRPr="003478AF" w:rsidRDefault="005E7F59" w:rsidP="00B13D49">
      <w:pPr>
        <w:pStyle w:val="Tekstpodstawowyzwciciem"/>
        <w:numPr>
          <w:ilvl w:val="0"/>
          <w:numId w:val="22"/>
        </w:numPr>
      </w:pPr>
      <w:r w:rsidRPr="003478AF">
        <w:t>rolnictwo (uprawy rolne, chów i hodowla zwierząt, produkcja żywności</w:t>
      </w:r>
      <w:r w:rsidR="00562A0B" w:rsidRPr="003478AF">
        <w:t>);</w:t>
      </w:r>
    </w:p>
    <w:p w14:paraId="31E360F1" w14:textId="38484312" w:rsidR="005E7F59" w:rsidRPr="003478AF" w:rsidRDefault="005E7F59" w:rsidP="00B13D49">
      <w:pPr>
        <w:pStyle w:val="Tekstpodstawowyzwciciem"/>
        <w:numPr>
          <w:ilvl w:val="0"/>
          <w:numId w:val="22"/>
        </w:numPr>
      </w:pPr>
      <w:r w:rsidRPr="003478AF">
        <w:t>przetwórstwo przemysłowe (produkcja mebli, produkcja maszyn i urządzeń, odpady</w:t>
      </w:r>
      <w:r w:rsidR="00562A0B" w:rsidRPr="003478AF">
        <w:t>);</w:t>
      </w:r>
    </w:p>
    <w:p w14:paraId="7B0ADA75" w14:textId="77777777" w:rsidR="005E7F59" w:rsidRPr="003478AF" w:rsidRDefault="005E7F59" w:rsidP="00B13D49">
      <w:pPr>
        <w:pStyle w:val="Tekstpodstawowyzwciciem"/>
        <w:numPr>
          <w:ilvl w:val="0"/>
          <w:numId w:val="22"/>
        </w:numPr>
      </w:pPr>
      <w:r w:rsidRPr="003478AF">
        <w:t>energetyka (OZE, biogaz, bioetanol).</w:t>
      </w:r>
    </w:p>
    <w:p w14:paraId="745148BC" w14:textId="61C42EDE" w:rsidR="005E7F59" w:rsidRPr="003478AF" w:rsidRDefault="005E7F59" w:rsidP="00A257F0">
      <w:pPr>
        <w:pStyle w:val="Tekstpodstawowyzwciciem"/>
        <w:ind w:firstLine="0"/>
        <w:rPr>
          <w:b/>
          <w:bCs/>
        </w:rPr>
      </w:pPr>
      <w:r w:rsidRPr="003478AF">
        <w:rPr>
          <w:b/>
          <w:bCs/>
        </w:rPr>
        <w:lastRenderedPageBreak/>
        <w:t>Rolnictwo</w:t>
      </w:r>
    </w:p>
    <w:p w14:paraId="3AB7CF96" w14:textId="06530DC3" w:rsidR="002C3C7E" w:rsidRPr="003478AF" w:rsidRDefault="005E7F59" w:rsidP="00175EF7">
      <w:r w:rsidRPr="003478AF">
        <w:t xml:space="preserve">W ramach branży rolnictwo zobrazowano </w:t>
      </w:r>
      <w:r w:rsidR="00E35016" w:rsidRPr="003478AF">
        <w:t>trzy</w:t>
      </w:r>
      <w:r w:rsidRPr="003478AF">
        <w:t xml:space="preserve"> łańcuchy wartości. </w:t>
      </w:r>
      <w:r w:rsidR="00641E0E" w:rsidRPr="003478AF">
        <w:t xml:space="preserve">Wybór każdego z nich podyktowany był specyfiką regionu. Wielkopolska jest bowiem regionem rolniczym. </w:t>
      </w:r>
      <w:r w:rsidR="002C3C7E" w:rsidRPr="003478AF">
        <w:t>Gospodarstwa rolne zajmują ponad 64% obszaru województwa. Zaprezentowane poniżej łańcuchy dotyczą np. ziemniaków (uprawy rolne), krów (hodowla zwierząt), żywnoś</w:t>
      </w:r>
      <w:r w:rsidR="00FA1A42" w:rsidRPr="003478AF">
        <w:t>ci</w:t>
      </w:r>
      <w:r w:rsidR="002C3C7E" w:rsidRPr="003478AF">
        <w:t xml:space="preserve"> ekologiczn</w:t>
      </w:r>
      <w:r w:rsidR="00FA1A42" w:rsidRPr="003478AF">
        <w:t>ej</w:t>
      </w:r>
      <w:r w:rsidR="002C3C7E" w:rsidRPr="003478AF">
        <w:t xml:space="preserve"> (produkcja żywności). </w:t>
      </w:r>
    </w:p>
    <w:p w14:paraId="352146B1" w14:textId="3B43A6AA" w:rsidR="002C3C7E" w:rsidRPr="003478AF" w:rsidRDefault="005E7F59" w:rsidP="002C3C7E">
      <w:pPr>
        <w:pStyle w:val="Tekstpodstawowyzwciciem"/>
        <w:ind w:firstLine="567"/>
      </w:pPr>
      <w:r w:rsidRPr="003478AF">
        <w:t xml:space="preserve">Pierwszy z </w:t>
      </w:r>
      <w:r w:rsidR="009051E3" w:rsidRPr="003478AF">
        <w:t>łańcuchów,</w:t>
      </w:r>
      <w:r w:rsidRPr="003478AF">
        <w:t xml:space="preserve"> dotyczący upraw rolnych, </w:t>
      </w:r>
      <w:r w:rsidR="006C5342" w:rsidRPr="003478AF">
        <w:t xml:space="preserve">zamieszczono </w:t>
      </w:r>
      <w:r w:rsidRPr="003478AF">
        <w:t xml:space="preserve">na </w:t>
      </w:r>
      <w:r w:rsidR="00381971" w:rsidRPr="003478AF">
        <w:t>ryc</w:t>
      </w:r>
      <w:r w:rsidRPr="003478AF">
        <w:t xml:space="preserve">. </w:t>
      </w:r>
      <w:r w:rsidR="00915A76" w:rsidRPr="003478AF">
        <w:t>5</w:t>
      </w:r>
      <w:r w:rsidRPr="003478AF">
        <w:t>.</w:t>
      </w:r>
      <w:r w:rsidR="00915A76" w:rsidRPr="003478AF">
        <w:t>2</w:t>
      </w:r>
      <w:r w:rsidRPr="003478AF">
        <w:t>.</w:t>
      </w:r>
      <w:r w:rsidR="009D144C" w:rsidRPr="003478AF">
        <w:t xml:space="preserve"> </w:t>
      </w:r>
    </w:p>
    <w:p w14:paraId="2237D407" w14:textId="77777777" w:rsidR="005E7F59" w:rsidRPr="003478AF" w:rsidRDefault="005E7F59" w:rsidP="00324DB1">
      <w:pPr>
        <w:pStyle w:val="Tekstpodstawowyzwciciem"/>
      </w:pPr>
    </w:p>
    <w:p w14:paraId="52CDCEA8" w14:textId="17BA813D" w:rsidR="005E7F59" w:rsidRPr="003478AF" w:rsidRDefault="005E7F59" w:rsidP="00986D40">
      <w:pPr>
        <w:pStyle w:val="ARYCINA"/>
      </w:pPr>
      <w:r w:rsidRPr="003478AF">
        <w:t xml:space="preserve">Ryc. </w:t>
      </w:r>
      <w:r w:rsidR="00915A76" w:rsidRPr="003478AF">
        <w:rPr>
          <w:noProof/>
        </w:rPr>
        <w:t>5</w:t>
      </w:r>
      <w:r w:rsidRPr="003478AF">
        <w:rPr>
          <w:noProof/>
        </w:rPr>
        <w:t>.</w:t>
      </w:r>
      <w:r w:rsidR="00915A76" w:rsidRPr="003478AF">
        <w:rPr>
          <w:noProof/>
        </w:rPr>
        <w:t>2</w:t>
      </w:r>
      <w:r w:rsidRPr="003478AF">
        <w:t xml:space="preserve"> Łańcuch wartości dla </w:t>
      </w:r>
      <w:bookmarkStart w:id="48" w:name="_Hlk76549510"/>
      <w:r w:rsidRPr="003478AF">
        <w:t xml:space="preserve">upraw rolnych </w:t>
      </w:r>
      <w:bookmarkEnd w:id="48"/>
      <w:r w:rsidRPr="003478AF">
        <w:t xml:space="preserve">w </w:t>
      </w:r>
      <w:r w:rsidR="00C7423C" w:rsidRPr="003478AF">
        <w:t>województwie wielkopolskim</w:t>
      </w:r>
    </w:p>
    <w:p w14:paraId="3C7DF320" w14:textId="13B03776" w:rsidR="005E7F59" w:rsidRPr="003478AF" w:rsidRDefault="005E7F59" w:rsidP="00367D7F">
      <w:pPr>
        <w:pStyle w:val="Tekstpodstawowyzwciciem"/>
        <w:ind w:firstLine="0"/>
        <w:jc w:val="center"/>
      </w:pPr>
      <w:r w:rsidRPr="003478AF">
        <w:rPr>
          <w:noProof/>
          <w:lang w:eastAsia="pl-PL"/>
        </w:rPr>
        <w:drawing>
          <wp:inline distT="0" distB="0" distL="0" distR="0" wp14:anchorId="3A0725D3" wp14:editId="6078C1D0">
            <wp:extent cx="5038725" cy="2990850"/>
            <wp:effectExtent l="0" t="0" r="9525" b="0"/>
            <wp:docPr id="91" name="Obraz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3"/>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038725" cy="2990850"/>
                    </a:xfrm>
                    <a:prstGeom prst="rect">
                      <a:avLst/>
                    </a:prstGeom>
                    <a:noFill/>
                    <a:ln>
                      <a:noFill/>
                    </a:ln>
                  </pic:spPr>
                </pic:pic>
              </a:graphicData>
            </a:graphic>
          </wp:inline>
        </w:drawing>
      </w:r>
    </w:p>
    <w:p w14:paraId="37BC8BDF" w14:textId="11CC080C" w:rsidR="00E35016" w:rsidRPr="003478AF" w:rsidRDefault="00E35016" w:rsidP="00986D40">
      <w:pPr>
        <w:pStyle w:val="AZRODLO"/>
      </w:pPr>
      <w:r w:rsidRPr="003478AF">
        <w:t>Źródło: Opracowanie własne</w:t>
      </w:r>
    </w:p>
    <w:p w14:paraId="46E4E246" w14:textId="77777777" w:rsidR="005E7F59" w:rsidRPr="003478AF" w:rsidRDefault="005E7F59" w:rsidP="005E7F59">
      <w:pPr>
        <w:pStyle w:val="Tekstpodstawowyzwciciem"/>
        <w:ind w:firstLine="567"/>
      </w:pPr>
    </w:p>
    <w:p w14:paraId="5CA7A2E7" w14:textId="07CA1BD5" w:rsidR="002B2B5F" w:rsidRPr="003478AF" w:rsidRDefault="002B2B5F" w:rsidP="002B2B5F">
      <w:pPr>
        <w:pStyle w:val="Tekstpodstawowyzwciciem"/>
        <w:ind w:firstLine="567"/>
      </w:pPr>
      <w:r w:rsidRPr="003478AF">
        <w:t>Kluczowymi elementami w ramach tego</w:t>
      </w:r>
      <w:r w:rsidR="00B56410" w:rsidRPr="003478AF">
        <w:t xml:space="preserve"> łańcucha wartości</w:t>
      </w:r>
      <w:r w:rsidRPr="003478AF">
        <w:t xml:space="preserve"> są produkty, które mogą być bezpośrednio lub pośrednio dostarczane przez sieć dystrybucyjną (hurtownie, sieci handlowe, eksporterzy z Polski, importerzy, sklepy) do klienta końcowego (głównie konsumenta). Drugim</w:t>
      </w:r>
      <w:r w:rsidR="00D20B40" w:rsidRPr="003478AF">
        <w:t>,</w:t>
      </w:r>
      <w:r w:rsidRPr="003478AF">
        <w:t xml:space="preserve"> nie mniej ważnym</w:t>
      </w:r>
      <w:r w:rsidR="00D20B40" w:rsidRPr="003478AF">
        <w:t>,</w:t>
      </w:r>
      <w:r w:rsidRPr="003478AF">
        <w:t xml:space="preserve"> przeznaczeniem produktów jest rola substratów w przetwórstwie rolno-spożywczym. Przykładem różnych przeznaczeń produktów może być uprawa pomidorów, sprzedawanych bezpośrednio lub pośrednio do konsumentów, ale także do zakładów przetwórczych na np. ketchup, przecier, koncentrat, sok, suszone pomidory.</w:t>
      </w:r>
    </w:p>
    <w:p w14:paraId="6FC6B25D" w14:textId="77777777" w:rsidR="00F1519D" w:rsidRPr="003478AF" w:rsidRDefault="00F1519D" w:rsidP="00F1519D">
      <w:pPr>
        <w:pStyle w:val="Tekstpodstawowyzwciciem"/>
        <w:ind w:firstLine="567"/>
      </w:pPr>
      <w:r w:rsidRPr="003478AF">
        <w:t>Najważniejszym procesem w tym łańcuchu jest uprawa zbóż, warzyw czy owoców. Proces ten jest realizowany przez rolników w ramach gospodarstw rolnych. Oprócz procesu głównego można wyróżnić szereg procesów pomocniczych w zakresie: finansowania, marketingu, szkoleń, a także doradztwa rolniczego, B+R, grup producenckich.</w:t>
      </w:r>
    </w:p>
    <w:p w14:paraId="4AED3659" w14:textId="3666FE72" w:rsidR="005E7F59" w:rsidRPr="003478AF" w:rsidRDefault="005E7F59" w:rsidP="005E7F59">
      <w:pPr>
        <w:pStyle w:val="Tekstpodstawowyzwciciem"/>
        <w:ind w:firstLine="567"/>
      </w:pPr>
      <w:r w:rsidRPr="003478AF">
        <w:t xml:space="preserve">Rola </w:t>
      </w:r>
      <w:r w:rsidR="00C9630D" w:rsidRPr="003478AF">
        <w:t>r</w:t>
      </w:r>
      <w:r w:rsidRPr="003478AF">
        <w:t>olników jest relatywnie szeroka i stosunkowo nieograniczona w łańcuchu wartości, gdyż mogą oni np. sami zajmować się różnymi branżami (procesami) powiązanymi</w:t>
      </w:r>
      <w:r w:rsidR="004A7B57" w:rsidRPr="003478AF">
        <w:t>, takimi jak</w:t>
      </w:r>
      <w:r w:rsidRPr="003478AF">
        <w:t xml:space="preserve"> np. opakowania, produkcja biogazu/energii, gospodarka odpadami (przyjmowanie przetworzonych osadów ściekowych), magazynowanie w chłodniach, własne przetwórstwo. Rolnictwo jest także polem do wprowadzania wielu innowacji, a także do współpracy </w:t>
      </w:r>
      <w:r w:rsidR="00075829" w:rsidRPr="003478AF">
        <w:br/>
      </w:r>
      <w:r w:rsidRPr="003478AF">
        <w:lastRenderedPageBreak/>
        <w:t>z ośrodkami, instytucjami</w:t>
      </w:r>
      <w:r w:rsidR="00E35016" w:rsidRPr="003478AF">
        <w:t xml:space="preserve"> oraz</w:t>
      </w:r>
      <w:r w:rsidRPr="003478AF">
        <w:t xml:space="preserve"> uczelniami badawczymi, nie tylko rolniczymi, ale także innych specjalizacj</w:t>
      </w:r>
      <w:r w:rsidR="00E35016" w:rsidRPr="003478AF">
        <w:t>i</w:t>
      </w:r>
      <w:r w:rsidRPr="003478AF">
        <w:t>.</w:t>
      </w:r>
    </w:p>
    <w:p w14:paraId="094AD2AC" w14:textId="686883C8" w:rsidR="005E7F59" w:rsidRPr="003478AF" w:rsidRDefault="005E7F59" w:rsidP="005E7F59">
      <w:pPr>
        <w:pStyle w:val="Tekstpodstawowyzwciciem"/>
        <w:ind w:firstLine="567"/>
      </w:pPr>
      <w:r w:rsidRPr="003478AF">
        <w:t>Odpady w ramach łańcucha wartości to: zepsute, uszkodzone, niespełniające norm jakości produkty rolne; na dalszych etapach (np. przetwórstwo) odpady to dodatkowo efekt procesów przechowywania i transportu tych produktów, a także ich przetwarzania.</w:t>
      </w:r>
    </w:p>
    <w:p w14:paraId="7D3B448A" w14:textId="2D5DA3C5" w:rsidR="00307877" w:rsidRPr="003478AF" w:rsidRDefault="00307877" w:rsidP="00307877">
      <w:pPr>
        <w:pStyle w:val="Tekstpodstawowyzwciciem"/>
        <w:ind w:firstLine="567"/>
      </w:pPr>
      <w:r w:rsidRPr="003478AF">
        <w:t>Drugi</w:t>
      </w:r>
      <w:r w:rsidR="005E7F59" w:rsidRPr="003478AF">
        <w:t xml:space="preserve"> łańcuch wartości</w:t>
      </w:r>
      <w:r w:rsidRPr="003478AF">
        <w:t xml:space="preserve"> w ramach rolnictwa </w:t>
      </w:r>
      <w:r w:rsidR="00D413F9" w:rsidRPr="003478AF">
        <w:t xml:space="preserve">dotyczy </w:t>
      </w:r>
      <w:r w:rsidR="005E7F59" w:rsidRPr="003478AF">
        <w:t>chowu i hodowli zwierząt</w:t>
      </w:r>
      <w:r w:rsidRPr="003478AF">
        <w:t xml:space="preserve"> (</w:t>
      </w:r>
      <w:r w:rsidR="00381971" w:rsidRPr="003478AF">
        <w:t>ryc</w:t>
      </w:r>
      <w:r w:rsidRPr="003478AF">
        <w:t>. 5.3)</w:t>
      </w:r>
      <w:r w:rsidR="005E7F59" w:rsidRPr="003478AF">
        <w:t>.</w:t>
      </w:r>
    </w:p>
    <w:p w14:paraId="631BBADC" w14:textId="77777777" w:rsidR="005E7F59" w:rsidRPr="003478AF" w:rsidRDefault="005E7F59" w:rsidP="005E7F59">
      <w:pPr>
        <w:pStyle w:val="Tekstpodstawowyzwciciem"/>
        <w:ind w:firstLine="567"/>
      </w:pPr>
    </w:p>
    <w:p w14:paraId="39DC6EA0" w14:textId="36300E22" w:rsidR="005E7F59" w:rsidRPr="003478AF" w:rsidRDefault="005E7F59" w:rsidP="00986D40">
      <w:pPr>
        <w:pStyle w:val="ARYCINA"/>
      </w:pPr>
      <w:r w:rsidRPr="003478AF">
        <w:t xml:space="preserve">Ryc. </w:t>
      </w:r>
      <w:r w:rsidR="00915A76" w:rsidRPr="003478AF">
        <w:rPr>
          <w:noProof/>
        </w:rPr>
        <w:t>5</w:t>
      </w:r>
      <w:r w:rsidRPr="003478AF">
        <w:rPr>
          <w:noProof/>
        </w:rPr>
        <w:t>.</w:t>
      </w:r>
      <w:r w:rsidR="00915A76" w:rsidRPr="003478AF">
        <w:rPr>
          <w:noProof/>
        </w:rPr>
        <w:t>3</w:t>
      </w:r>
      <w:r w:rsidRPr="003478AF">
        <w:t xml:space="preserve"> Łańcuch wartości dla </w:t>
      </w:r>
      <w:bookmarkStart w:id="49" w:name="_Hlk76549516"/>
      <w:r w:rsidRPr="003478AF">
        <w:t xml:space="preserve">chowu i hodowli zwierząt </w:t>
      </w:r>
      <w:bookmarkEnd w:id="49"/>
      <w:r w:rsidRPr="003478AF">
        <w:t xml:space="preserve">w </w:t>
      </w:r>
      <w:r w:rsidR="00C7423C" w:rsidRPr="003478AF">
        <w:t>województwie wielkopolskim</w:t>
      </w:r>
    </w:p>
    <w:p w14:paraId="588CCEC2" w14:textId="47A93A72" w:rsidR="005E7F59" w:rsidRPr="003478AF" w:rsidRDefault="005E7F59" w:rsidP="00367D7F">
      <w:pPr>
        <w:pStyle w:val="Tekstpodstawowyzwciciem"/>
        <w:ind w:firstLine="0"/>
      </w:pPr>
      <w:r w:rsidRPr="003478AF">
        <w:rPr>
          <w:noProof/>
          <w:lang w:eastAsia="pl-PL"/>
        </w:rPr>
        <w:drawing>
          <wp:inline distT="0" distB="0" distL="0" distR="0" wp14:anchorId="3F42EE4A" wp14:editId="153AE4C3">
            <wp:extent cx="5038725" cy="3000375"/>
            <wp:effectExtent l="0" t="0" r="9525" b="0"/>
            <wp:docPr id="90" name="Obraz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5"/>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038725" cy="3000375"/>
                    </a:xfrm>
                    <a:prstGeom prst="rect">
                      <a:avLst/>
                    </a:prstGeom>
                    <a:noFill/>
                    <a:ln>
                      <a:noFill/>
                    </a:ln>
                  </pic:spPr>
                </pic:pic>
              </a:graphicData>
            </a:graphic>
          </wp:inline>
        </w:drawing>
      </w:r>
    </w:p>
    <w:p w14:paraId="2CE4D220" w14:textId="0AD2572E" w:rsidR="005E7F59" w:rsidRPr="003478AF" w:rsidRDefault="00E35016" w:rsidP="00986D40">
      <w:pPr>
        <w:pStyle w:val="AZRODLO"/>
      </w:pPr>
      <w:r w:rsidRPr="003478AF">
        <w:t>Źródło: Opracowanie własne</w:t>
      </w:r>
    </w:p>
    <w:p w14:paraId="356359A2" w14:textId="77777777" w:rsidR="00E35016" w:rsidRPr="003478AF" w:rsidRDefault="00E35016" w:rsidP="005E7F59">
      <w:pPr>
        <w:pStyle w:val="Tekstpodstawowyzwciciem"/>
        <w:ind w:firstLine="567"/>
      </w:pPr>
    </w:p>
    <w:p w14:paraId="6224E084" w14:textId="1C01019F" w:rsidR="00B56410" w:rsidRPr="003478AF" w:rsidRDefault="00B56410" w:rsidP="00B56410">
      <w:pPr>
        <w:pStyle w:val="Tekstpodstawowyzwciciem"/>
        <w:ind w:firstLine="567"/>
      </w:pPr>
      <w:r w:rsidRPr="003478AF">
        <w:t xml:space="preserve">Kluczowymi elementami w ramach tego łańcucha wartości są produkty bezpośrednio lub pośrednio dostarczane przez sieć dystrybucyjną (hurtownie, sieci handlowe, eksporterzy </w:t>
      </w:r>
      <w:r w:rsidR="001B0CB3" w:rsidRPr="003478AF">
        <w:br/>
      </w:r>
      <w:r w:rsidRPr="003478AF">
        <w:t>z Polski, importerzy do państw zagranicznych, sklepy) do klienta końcowego (konsumenta). Produktami głównymi dostarczanymi bezpośrednio do klientów końcowych, bez przetworzenia, są głównie różne rodzaje mięs</w:t>
      </w:r>
      <w:r w:rsidR="009A398D" w:rsidRPr="003478AF">
        <w:t>,</w:t>
      </w:r>
      <w:r w:rsidRPr="003478AF">
        <w:t xml:space="preserve"> w zależności od typu zwierząt, które konsument spożywa</w:t>
      </w:r>
      <w:r w:rsidR="009A398D" w:rsidRPr="003478AF">
        <w:t>,</w:t>
      </w:r>
      <w:r w:rsidRPr="003478AF">
        <w:t xml:space="preserve"> po wcześniejszej obróbce najczęściej termicznej. Natomiast do produktów pochodnych można zaliczyć m.in. mleko</w:t>
      </w:r>
      <w:r w:rsidR="009A398D" w:rsidRPr="003478AF">
        <w:t xml:space="preserve"> i</w:t>
      </w:r>
      <w:r w:rsidRPr="003478AF">
        <w:t xml:space="preserve"> jaja. Podstawowym przeznaczeniem chowu i hodowli zwierząt jest często wykorzystanie mięsa po procesie uboju do przetwórstwa mięsnego na wędliny, półprodukty, konserwy. Proces ten jest realizowany w ramach różnej wielkości zakładów mięsnych, </w:t>
      </w:r>
      <w:r w:rsidR="009A398D" w:rsidRPr="003478AF">
        <w:t xml:space="preserve">a </w:t>
      </w:r>
      <w:r w:rsidRPr="003478AF">
        <w:t>wśród większych jednostek można spotkać także wydzielone ubojnie oraz zakłady utylizacji odpadów.</w:t>
      </w:r>
    </w:p>
    <w:p w14:paraId="6C5F3266" w14:textId="6D10757C" w:rsidR="005E7F59" w:rsidRPr="003478AF" w:rsidRDefault="005E7F59" w:rsidP="005E7F59">
      <w:pPr>
        <w:pStyle w:val="Tekstpodstawowyzwciciem"/>
        <w:ind w:firstLine="567"/>
      </w:pPr>
      <w:r w:rsidRPr="003478AF">
        <w:t>Istnieją także zakłady przetwarzające produkty pochodne</w:t>
      </w:r>
      <w:r w:rsidR="009A398D" w:rsidRPr="003478AF">
        <w:t xml:space="preserve">, </w:t>
      </w:r>
      <w:r w:rsidRPr="003478AF">
        <w:t>np. mleko – zakłady mleczarskie produkujące sery, masła, maślanki, kefiry, jogurty</w:t>
      </w:r>
      <w:r w:rsidR="009A398D" w:rsidRPr="003478AF">
        <w:t>, które c</w:t>
      </w:r>
      <w:r w:rsidRPr="003478AF">
        <w:t xml:space="preserve">zęsto wykorzystują półprodukty z różnego typu upraw rolnych. </w:t>
      </w:r>
    </w:p>
    <w:p w14:paraId="1B1D69F8" w14:textId="6718DA26" w:rsidR="005E7F59" w:rsidRPr="003478AF" w:rsidRDefault="005E7F59" w:rsidP="005E7F59">
      <w:pPr>
        <w:pStyle w:val="Tekstpodstawowyzwciciem"/>
        <w:ind w:firstLine="567"/>
      </w:pPr>
      <w:r w:rsidRPr="003478AF">
        <w:t xml:space="preserve">Najważniejszym procesem w ramach analizowanego łańcucha jest hodowla zwierząt. Proces ten jest realizowany przez rolników lub przedsiębiorstwa w ramach gospodarstw rolnych. Oprócz procesu głównego można wyróżnić szereg procesów pomocniczych </w:t>
      </w:r>
      <w:r w:rsidR="00075829" w:rsidRPr="003478AF">
        <w:br/>
      </w:r>
      <w:r w:rsidRPr="003478AF">
        <w:t>w zakresie: weterynarii (leczniczej i</w:t>
      </w:r>
      <w:r w:rsidR="000B6336" w:rsidRPr="003478AF">
        <w:t xml:space="preserve"> </w:t>
      </w:r>
      <w:r w:rsidRPr="003478AF">
        <w:t xml:space="preserve">ubojowej), finansowania, marketingu, szkoleń, a także </w:t>
      </w:r>
      <w:r w:rsidRPr="003478AF">
        <w:lastRenderedPageBreak/>
        <w:t xml:space="preserve">doradztwa rolniczego, B+R, grup producenckich. Nie bez znaczenia są </w:t>
      </w:r>
      <w:r w:rsidR="009A398D" w:rsidRPr="003478AF">
        <w:t xml:space="preserve">aspekty </w:t>
      </w:r>
      <w:r w:rsidRPr="003478AF">
        <w:t xml:space="preserve">prawne, które często </w:t>
      </w:r>
      <w:r w:rsidR="009A398D" w:rsidRPr="003478AF">
        <w:t xml:space="preserve">związane </w:t>
      </w:r>
      <w:r w:rsidRPr="003478AF">
        <w:t xml:space="preserve">są </w:t>
      </w:r>
      <w:r w:rsidR="009A398D" w:rsidRPr="003478AF">
        <w:t>z funkcjonowaniem</w:t>
      </w:r>
      <w:r w:rsidRPr="003478AF">
        <w:t xml:space="preserve"> miejscow</w:t>
      </w:r>
      <w:r w:rsidR="009A398D" w:rsidRPr="003478AF">
        <w:t>ych</w:t>
      </w:r>
      <w:r w:rsidRPr="003478AF">
        <w:t xml:space="preserve"> oddział</w:t>
      </w:r>
      <w:r w:rsidR="009A398D" w:rsidRPr="003478AF">
        <w:t>ów</w:t>
      </w:r>
      <w:r w:rsidRPr="003478AF">
        <w:t xml:space="preserve"> Sanepidu.</w:t>
      </w:r>
    </w:p>
    <w:p w14:paraId="5432BE19" w14:textId="13B04A76" w:rsidR="00324DB1" w:rsidRPr="003478AF" w:rsidRDefault="005E7F59" w:rsidP="00324DB1">
      <w:pPr>
        <w:pStyle w:val="Tekstpodstawowyzwciciem"/>
        <w:ind w:firstLine="567"/>
      </w:pPr>
      <w:r w:rsidRPr="003478AF">
        <w:t xml:space="preserve">Rola </w:t>
      </w:r>
      <w:r w:rsidR="000B6336" w:rsidRPr="003478AF">
        <w:t>r</w:t>
      </w:r>
      <w:r w:rsidRPr="003478AF">
        <w:t>olników/</w:t>
      </w:r>
      <w:r w:rsidR="000B6336" w:rsidRPr="003478AF">
        <w:t>h</w:t>
      </w:r>
      <w:r w:rsidRPr="003478AF">
        <w:t>odowców jest relatywnie szeroka i nieograniczona</w:t>
      </w:r>
      <w:r w:rsidR="009A398D" w:rsidRPr="003478AF">
        <w:t xml:space="preserve"> </w:t>
      </w:r>
      <w:r w:rsidRPr="003478AF">
        <w:t xml:space="preserve">w łańcuchu wartości, gdyż </w:t>
      </w:r>
      <w:r w:rsidR="009A398D" w:rsidRPr="003478AF">
        <w:t xml:space="preserve">np. </w:t>
      </w:r>
      <w:r w:rsidRPr="003478AF">
        <w:t xml:space="preserve">mogą </w:t>
      </w:r>
      <w:r w:rsidR="009A398D" w:rsidRPr="003478AF">
        <w:t>oni</w:t>
      </w:r>
      <w:r w:rsidRPr="003478AF">
        <w:t xml:space="preserve"> sami zajmować się różnymi </w:t>
      </w:r>
      <w:r w:rsidR="009A398D" w:rsidRPr="003478AF">
        <w:t xml:space="preserve">powiązanymi ze sobą </w:t>
      </w:r>
      <w:r w:rsidRPr="003478AF">
        <w:t>branżami jak np. opakowania, produkcja biogazu/energii, gospodarka odpadami, własne przetwórstwo. Hodowla zwierząt jest także polem do wprowadzania wielu innowacji</w:t>
      </w:r>
      <w:r w:rsidR="000B6336" w:rsidRPr="003478AF">
        <w:t xml:space="preserve"> oraz </w:t>
      </w:r>
      <w:r w:rsidRPr="003478AF">
        <w:t xml:space="preserve">do współpracy </w:t>
      </w:r>
      <w:r w:rsidR="001B0CB3" w:rsidRPr="003478AF">
        <w:br/>
      </w:r>
      <w:r w:rsidRPr="003478AF">
        <w:t>z ośrodkami, instytucjami, a</w:t>
      </w:r>
      <w:r w:rsidR="000B6336" w:rsidRPr="003478AF">
        <w:t xml:space="preserve"> </w:t>
      </w:r>
      <w:r w:rsidRPr="003478AF">
        <w:t>także uczelniami badawczymi, nie t</w:t>
      </w:r>
      <w:r w:rsidR="00324DB1" w:rsidRPr="003478AF">
        <w:t>ylko o specjalizacji rolniczej.</w:t>
      </w:r>
    </w:p>
    <w:p w14:paraId="3C315B20" w14:textId="2F7542CC" w:rsidR="005E7F59" w:rsidRPr="003478AF" w:rsidRDefault="005E7F59" w:rsidP="00324DB1">
      <w:pPr>
        <w:pStyle w:val="Tekstpodstawowyzwciciem"/>
        <w:ind w:firstLine="567"/>
      </w:pPr>
      <w:r w:rsidRPr="003478AF">
        <w:t>Odpady w ramach powyższego łańcucha wartości to: odpady z ubojni, obornik, odpady kostne, skórne itp. Na dalszym etapie (procesów) odpady powstają w procesie przetworzenia</w:t>
      </w:r>
      <w:r w:rsidR="00D32599" w:rsidRPr="003478AF">
        <w:t>. Są one t</w:t>
      </w:r>
      <w:r w:rsidR="00843D1E" w:rsidRPr="003478AF">
        <w:t>a</w:t>
      </w:r>
      <w:r w:rsidR="00D32599" w:rsidRPr="003478AF">
        <w:t>kże</w:t>
      </w:r>
      <w:r w:rsidRPr="003478AF">
        <w:t xml:space="preserve"> wynikiem strat procesów przechowywania (w tym przekroczenia terminu do spożycia) i transportu.</w:t>
      </w:r>
    </w:p>
    <w:p w14:paraId="16E3BCC0" w14:textId="253D74F9" w:rsidR="00916C16" w:rsidRPr="003478AF" w:rsidRDefault="00E845D4" w:rsidP="00916C16">
      <w:pPr>
        <w:pStyle w:val="Tekstpodstawowyzwciciem"/>
        <w:ind w:firstLine="567"/>
      </w:pPr>
      <w:r w:rsidRPr="003478AF">
        <w:t xml:space="preserve">Ostatni łańcuch wartości </w:t>
      </w:r>
      <w:r w:rsidR="009A398D" w:rsidRPr="003478AF">
        <w:t xml:space="preserve">w zakresie rolnictwa </w:t>
      </w:r>
      <w:r w:rsidR="00D413F9" w:rsidRPr="003478AF">
        <w:t>odnosi się do</w:t>
      </w:r>
      <w:r w:rsidRPr="003478AF">
        <w:t xml:space="preserve"> </w:t>
      </w:r>
      <w:r w:rsidR="005E7F59" w:rsidRPr="003478AF">
        <w:t>produkcji żywności</w:t>
      </w:r>
      <w:r w:rsidRPr="003478AF">
        <w:t xml:space="preserve"> (</w:t>
      </w:r>
      <w:r w:rsidR="00381971" w:rsidRPr="003478AF">
        <w:t>ryc.</w:t>
      </w:r>
      <w:r w:rsidRPr="003478AF">
        <w:t xml:space="preserve"> 5.4)</w:t>
      </w:r>
      <w:r w:rsidR="00904B56" w:rsidRPr="003478AF">
        <w:t xml:space="preserve">. </w:t>
      </w:r>
    </w:p>
    <w:p w14:paraId="26389014" w14:textId="77777777" w:rsidR="005E7F59" w:rsidRPr="003478AF" w:rsidRDefault="005E7F59" w:rsidP="005E7F59">
      <w:pPr>
        <w:pStyle w:val="Tekstpodstawowyzwciciem"/>
      </w:pPr>
    </w:p>
    <w:p w14:paraId="62FC1971" w14:textId="765715C7" w:rsidR="005E7F59" w:rsidRPr="003478AF" w:rsidRDefault="005E7F59" w:rsidP="00986D40">
      <w:pPr>
        <w:pStyle w:val="ARYCINA"/>
      </w:pPr>
      <w:r w:rsidRPr="003478AF">
        <w:t xml:space="preserve">Ryc. </w:t>
      </w:r>
      <w:r w:rsidR="00915A76" w:rsidRPr="003478AF">
        <w:t>5.4</w:t>
      </w:r>
      <w:r w:rsidRPr="003478AF">
        <w:t xml:space="preserve"> Łańcuch wartości </w:t>
      </w:r>
      <w:bookmarkStart w:id="50" w:name="_Hlk76549524"/>
      <w:r w:rsidRPr="003478AF">
        <w:t xml:space="preserve">dla produkcji żywności </w:t>
      </w:r>
      <w:bookmarkEnd w:id="50"/>
      <w:r w:rsidRPr="003478AF">
        <w:t xml:space="preserve">w </w:t>
      </w:r>
      <w:r w:rsidR="00C7423C" w:rsidRPr="003478AF">
        <w:t>województwie wielkopolskim</w:t>
      </w:r>
    </w:p>
    <w:p w14:paraId="7C68FD82" w14:textId="593B37C3" w:rsidR="005E7F59" w:rsidRPr="003478AF" w:rsidRDefault="005E7F59" w:rsidP="00367D7F">
      <w:pPr>
        <w:pStyle w:val="Tekstpodstawowyzwciciem"/>
        <w:ind w:firstLine="0"/>
        <w:jc w:val="center"/>
        <w:rPr>
          <w:lang w:val="en-GB"/>
        </w:rPr>
      </w:pPr>
      <w:r w:rsidRPr="003478AF">
        <w:rPr>
          <w:noProof/>
          <w:lang w:eastAsia="pl-PL"/>
        </w:rPr>
        <w:drawing>
          <wp:inline distT="0" distB="0" distL="0" distR="0" wp14:anchorId="05BC502C" wp14:editId="689C8F88">
            <wp:extent cx="5038725" cy="2971800"/>
            <wp:effectExtent l="0" t="0" r="9525" b="0"/>
            <wp:docPr id="89" name="Obraz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038725" cy="2971800"/>
                    </a:xfrm>
                    <a:prstGeom prst="rect">
                      <a:avLst/>
                    </a:prstGeom>
                    <a:noFill/>
                    <a:ln>
                      <a:noFill/>
                    </a:ln>
                  </pic:spPr>
                </pic:pic>
              </a:graphicData>
            </a:graphic>
          </wp:inline>
        </w:drawing>
      </w:r>
    </w:p>
    <w:p w14:paraId="574EBE61" w14:textId="538908BB" w:rsidR="00E35016" w:rsidRPr="003478AF" w:rsidRDefault="00E35016" w:rsidP="00986D40">
      <w:pPr>
        <w:pStyle w:val="AZRODLO"/>
      </w:pPr>
      <w:r w:rsidRPr="003478AF">
        <w:t>Źródło: Opracowanie własne</w:t>
      </w:r>
    </w:p>
    <w:p w14:paraId="62D24EEC" w14:textId="77777777" w:rsidR="005E7F59" w:rsidRPr="003478AF" w:rsidRDefault="005E7F59" w:rsidP="005E7F59">
      <w:pPr>
        <w:pStyle w:val="Tekstpodstawowyzwciciem"/>
        <w:ind w:firstLine="567"/>
      </w:pPr>
    </w:p>
    <w:p w14:paraId="0CD700C1" w14:textId="3867BA4E" w:rsidR="00B56410" w:rsidRPr="003478AF" w:rsidRDefault="00B56410" w:rsidP="00B56410">
      <w:pPr>
        <w:pStyle w:val="Tekstpodstawowyzwciciem"/>
        <w:ind w:firstLine="567"/>
      </w:pPr>
      <w:r w:rsidRPr="003478AF">
        <w:t>Głównymi elementami w ramach tego łańcucha wartości są produkty, które mogą być bezpośrednio lub pośrednio dostarczane przez sieć dystrybucyjną (hurtownie, sieci handlowe, eksporterzy z Polski, importerzy, sklepy) do klienta końcowego (konsumenta). Innym przeznaczeniem produktów może być ich rola w gastronomii, z której produkty/usługi także trafiają do konsumenta końcowego. Przykładem produktu może być produkcja chleba bazująca na produktach rolnych</w:t>
      </w:r>
      <w:r w:rsidR="007831E1" w:rsidRPr="003478AF">
        <w:t xml:space="preserve"> – produkty</w:t>
      </w:r>
      <w:r w:rsidRPr="003478AF">
        <w:t xml:space="preserve"> trafiają poprzez pośredników handlowych do konsumenta lub w ramach usług gastronomicznych. W łańcuchu wartości uwzględniono również zakłady przetwórstwa mięsnego przedstawione na </w:t>
      </w:r>
      <w:r w:rsidR="00FA1A42" w:rsidRPr="003478AF">
        <w:t>ryc. 5.4</w:t>
      </w:r>
      <w:r w:rsidRPr="003478AF">
        <w:t>.</w:t>
      </w:r>
    </w:p>
    <w:p w14:paraId="344BE69F" w14:textId="0696D23A" w:rsidR="005E7F59" w:rsidRPr="003478AF" w:rsidRDefault="005E7F59" w:rsidP="005E7F59">
      <w:pPr>
        <w:pStyle w:val="Tekstpodstawowyzwciciem"/>
        <w:ind w:firstLine="567"/>
      </w:pPr>
      <w:r w:rsidRPr="003478AF">
        <w:t>Najważniejszym procesem w ramach przedmiotowego łańcucha jest produkcja żywności. Proces ten jest realizowany przez przedsiębiorstwa przetwórczo-przemysłowe lub małe</w:t>
      </w:r>
      <w:r w:rsidR="00D32599" w:rsidRPr="003478AF">
        <w:t>j</w:t>
      </w:r>
      <w:r w:rsidRPr="003478AF">
        <w:t xml:space="preserve"> manufaktury. Oprócz procesu głównego można wyróżnić szereg procesów pomocniczych w zakresie: finansowania, marketingu, szkoleń, a także usług typu B+R.</w:t>
      </w:r>
    </w:p>
    <w:p w14:paraId="5EDB378E" w14:textId="2116C041" w:rsidR="005E7F59" w:rsidRPr="003478AF" w:rsidRDefault="005E7F59" w:rsidP="005E7F59">
      <w:pPr>
        <w:pStyle w:val="Tekstpodstawowyzwciciem"/>
        <w:ind w:firstLine="567"/>
      </w:pPr>
      <w:r w:rsidRPr="003478AF">
        <w:lastRenderedPageBreak/>
        <w:t xml:space="preserve">Rolę przedsiębiorstw można typowo ograniczyć w łańcuchu wartości do zajmowania się różnymi branżami powiązanymi, np. opakowania, magazynowanie w chłodniach. Produkcja żywności jest także polem do wprowadzania wielu innowacji, a także do współpracy </w:t>
      </w:r>
      <w:r w:rsidR="00075829" w:rsidRPr="003478AF">
        <w:br/>
      </w:r>
      <w:r w:rsidRPr="003478AF">
        <w:t>z ośrodkami, instytucjami</w:t>
      </w:r>
      <w:r w:rsidR="00916C16" w:rsidRPr="003478AF">
        <w:t xml:space="preserve"> oraz </w:t>
      </w:r>
      <w:r w:rsidRPr="003478AF">
        <w:t xml:space="preserve">uczelniami badawczymi. Liczba użytecznych nowych produktów w zakresie wytwarzania produktów spożywczych jest praktycznie nieograniczona (przykład: kilkaset produktów marki Winiary). Ponadto liczba kombinacji mieszanek składników, smaków jest </w:t>
      </w:r>
      <w:r w:rsidR="00D32599" w:rsidRPr="003478AF">
        <w:t>bardzo duża</w:t>
      </w:r>
      <w:r w:rsidRPr="003478AF">
        <w:t>.</w:t>
      </w:r>
    </w:p>
    <w:p w14:paraId="1AEF1B9A" w14:textId="77777777" w:rsidR="005E7F59" w:rsidRPr="003478AF" w:rsidRDefault="005E7F59" w:rsidP="005E7F59">
      <w:pPr>
        <w:pStyle w:val="Tekstpodstawowyzwciciem"/>
        <w:ind w:firstLine="567"/>
      </w:pPr>
      <w:r w:rsidRPr="003478AF">
        <w:t>Odpady w ramach analizowanego łańcucha wartości to: zepsuta, uszkodzona, niespełniająca norm jakości żywność. W dalszych etapach (procesach) to dodatkowo efekt procesów przechowywania (m.in. termin do spożycia) i transportu tych produktów, a także odpadów powstających przy ich przetwarzaniu. Powstaje też stosunkowo duża ilość odpadów związanych z opakowaniami.</w:t>
      </w:r>
    </w:p>
    <w:p w14:paraId="6202B4B1" w14:textId="77777777" w:rsidR="005E7F59" w:rsidRPr="003478AF" w:rsidRDefault="005E7F59" w:rsidP="005E7F59">
      <w:pPr>
        <w:pStyle w:val="Tekstpodstawowyzwciciem"/>
        <w:ind w:firstLine="567"/>
        <w:rPr>
          <w:b/>
          <w:bCs/>
        </w:rPr>
      </w:pPr>
    </w:p>
    <w:p w14:paraId="1CDACAA9" w14:textId="77777777" w:rsidR="005E7F59" w:rsidRPr="003478AF" w:rsidRDefault="005E7F59" w:rsidP="00A257F0">
      <w:pPr>
        <w:pStyle w:val="Tekstpodstawowyzwciciem"/>
        <w:ind w:firstLine="0"/>
        <w:rPr>
          <w:b/>
          <w:bCs/>
        </w:rPr>
      </w:pPr>
      <w:r w:rsidRPr="003478AF">
        <w:rPr>
          <w:b/>
          <w:bCs/>
        </w:rPr>
        <w:t>Przetwórstwo przemysłowe</w:t>
      </w:r>
    </w:p>
    <w:p w14:paraId="198D1917" w14:textId="7E632743" w:rsidR="00916C16" w:rsidRPr="003478AF" w:rsidRDefault="005E7F59" w:rsidP="00916C16">
      <w:pPr>
        <w:pStyle w:val="Tekstpodstawowyzwciciem"/>
        <w:ind w:firstLine="567"/>
      </w:pPr>
      <w:r w:rsidRPr="003478AF">
        <w:t xml:space="preserve">W ramach branży przetwórstwo przemysłowe zobrazowano </w:t>
      </w:r>
      <w:r w:rsidR="00C7423C" w:rsidRPr="003478AF">
        <w:t>trzy</w:t>
      </w:r>
      <w:r w:rsidRPr="003478AF">
        <w:t xml:space="preserve"> łańcuchy wartości. Pierwszy z nich dotyczy produkcji mebli </w:t>
      </w:r>
      <w:r w:rsidR="00916C16" w:rsidRPr="003478AF">
        <w:t>(</w:t>
      </w:r>
      <w:r w:rsidR="00381971" w:rsidRPr="003478AF">
        <w:t>ryc.</w:t>
      </w:r>
      <w:r w:rsidRPr="003478AF">
        <w:t xml:space="preserve"> </w:t>
      </w:r>
      <w:r w:rsidR="00915A76" w:rsidRPr="003478AF">
        <w:t>5</w:t>
      </w:r>
      <w:r w:rsidRPr="003478AF">
        <w:t>.</w:t>
      </w:r>
      <w:r w:rsidR="00915A76" w:rsidRPr="003478AF">
        <w:t>5</w:t>
      </w:r>
      <w:r w:rsidR="00916C16" w:rsidRPr="003478AF">
        <w:t>)</w:t>
      </w:r>
      <w:r w:rsidRPr="003478AF">
        <w:t>.</w:t>
      </w:r>
      <w:r w:rsidR="00916C16" w:rsidRPr="003478AF">
        <w:t xml:space="preserve"> </w:t>
      </w:r>
    </w:p>
    <w:p w14:paraId="05311DA2" w14:textId="539E592A" w:rsidR="005E7F59" w:rsidRPr="003478AF" w:rsidRDefault="005E7F59" w:rsidP="00267BA8"/>
    <w:p w14:paraId="484A71F2" w14:textId="0EDAB7EE" w:rsidR="005E7F59" w:rsidRPr="003478AF" w:rsidRDefault="005E7F59" w:rsidP="00986D40">
      <w:pPr>
        <w:pStyle w:val="ARYCINA"/>
      </w:pPr>
      <w:r w:rsidRPr="003478AF">
        <w:t xml:space="preserve">Ryc. </w:t>
      </w:r>
      <w:r w:rsidR="00915A76" w:rsidRPr="003478AF">
        <w:t>5</w:t>
      </w:r>
      <w:r w:rsidRPr="003478AF">
        <w:rPr>
          <w:noProof/>
        </w:rPr>
        <w:t>.</w:t>
      </w:r>
      <w:r w:rsidR="00915A76" w:rsidRPr="003478AF">
        <w:rPr>
          <w:noProof/>
        </w:rPr>
        <w:t>5</w:t>
      </w:r>
      <w:r w:rsidRPr="003478AF">
        <w:rPr>
          <w:noProof/>
        </w:rPr>
        <w:t>.</w:t>
      </w:r>
      <w:r w:rsidRPr="003478AF">
        <w:t xml:space="preserve"> Łańcuch wartości dla </w:t>
      </w:r>
      <w:bookmarkStart w:id="51" w:name="_Hlk76549530"/>
      <w:r w:rsidRPr="003478AF">
        <w:t>produkcji mebli</w:t>
      </w:r>
      <w:bookmarkEnd w:id="51"/>
      <w:r w:rsidRPr="003478AF">
        <w:t xml:space="preserve"> w </w:t>
      </w:r>
      <w:r w:rsidR="00C7423C" w:rsidRPr="003478AF">
        <w:t>województwie wielkopolskim</w:t>
      </w:r>
    </w:p>
    <w:p w14:paraId="6B021D30" w14:textId="70B23882" w:rsidR="005E7F59" w:rsidRPr="003478AF" w:rsidRDefault="005E7F59" w:rsidP="00E6136F">
      <w:pPr>
        <w:pStyle w:val="Tekstpodstawowyzwciciem"/>
        <w:ind w:firstLine="0"/>
        <w:jc w:val="center"/>
        <w:rPr>
          <w:lang w:val="en-GB"/>
        </w:rPr>
      </w:pPr>
      <w:r w:rsidRPr="003478AF">
        <w:rPr>
          <w:noProof/>
          <w:lang w:eastAsia="pl-PL"/>
        </w:rPr>
        <w:drawing>
          <wp:inline distT="0" distB="0" distL="0" distR="0" wp14:anchorId="245C5FCF" wp14:editId="797DF879">
            <wp:extent cx="5048250" cy="2886075"/>
            <wp:effectExtent l="0" t="0" r="0" b="9525"/>
            <wp:docPr id="88" name="Obraz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43"/>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048250" cy="2886075"/>
                    </a:xfrm>
                    <a:prstGeom prst="rect">
                      <a:avLst/>
                    </a:prstGeom>
                    <a:noFill/>
                    <a:ln>
                      <a:noFill/>
                    </a:ln>
                  </pic:spPr>
                </pic:pic>
              </a:graphicData>
            </a:graphic>
          </wp:inline>
        </w:drawing>
      </w:r>
    </w:p>
    <w:p w14:paraId="02EA7D50" w14:textId="511808CE" w:rsidR="00E35016" w:rsidRPr="003478AF" w:rsidRDefault="00E35016" w:rsidP="00986D40">
      <w:pPr>
        <w:pStyle w:val="AZRODLO"/>
      </w:pPr>
      <w:r w:rsidRPr="003478AF">
        <w:t>Źródło: Opracowanie własne</w:t>
      </w:r>
    </w:p>
    <w:p w14:paraId="4B26B731" w14:textId="77777777" w:rsidR="005E7F59" w:rsidRPr="003478AF" w:rsidRDefault="005E7F59" w:rsidP="005E7F59">
      <w:pPr>
        <w:pStyle w:val="Tekstpodstawowyzwciciem"/>
        <w:ind w:firstLine="567"/>
      </w:pPr>
    </w:p>
    <w:p w14:paraId="2D3281BD" w14:textId="4D2857B2" w:rsidR="00B56410" w:rsidRPr="003478AF" w:rsidRDefault="00B56410" w:rsidP="00B56410">
      <w:pPr>
        <w:pStyle w:val="Tekstpodstawowyzwciciem"/>
        <w:ind w:firstLine="567"/>
      </w:pPr>
      <w:r w:rsidRPr="003478AF">
        <w:t>Istotnymi elementami w ramach tego łańcucha wartości są produkty, które mogą być bezpośrednio lub pośrednio dostarczane np. przez sieć dystrybucyjną (hurtownie, sieci handlowe, eksporterzy z Polski, importerzy do państw zagranicznych, sklepy) do klienta końcowego (konsumenta). Produkt w postaci mebli jest typowym produktem dla gospodarstw domowych oraz wyposażenia biurowego, w tym także laboratoryjnego i przemysłowego.</w:t>
      </w:r>
    </w:p>
    <w:p w14:paraId="12C0048B" w14:textId="51B3C235" w:rsidR="005E7F59" w:rsidRPr="003478AF" w:rsidRDefault="005E7F59" w:rsidP="005E7F59">
      <w:pPr>
        <w:pStyle w:val="Tekstpodstawowyzwciciem"/>
        <w:ind w:firstLine="567"/>
      </w:pPr>
      <w:r w:rsidRPr="003478AF">
        <w:t xml:space="preserve">Najważniejszym procesem jest odpowiednia przeróbka drewna lub komponentów drewnianych na gotowy produkt. Proces ten jest realizowany zwykle przez </w:t>
      </w:r>
      <w:r w:rsidR="00D32599" w:rsidRPr="003478AF">
        <w:t>p</w:t>
      </w:r>
      <w:r w:rsidRPr="003478AF">
        <w:t>rzedsiębiorców. Maksymalne granice tego procesu są stosunkowo bardzo szerokie, np. mogą one obejmować:</w:t>
      </w:r>
    </w:p>
    <w:p w14:paraId="6B7B015D" w14:textId="6071FEA2" w:rsidR="005E7F59" w:rsidRPr="003478AF" w:rsidRDefault="005E7F59" w:rsidP="00B13D49">
      <w:pPr>
        <w:pStyle w:val="Tekstpodstawowyzwciciem"/>
        <w:numPr>
          <w:ilvl w:val="0"/>
          <w:numId w:val="23"/>
        </w:numPr>
      </w:pPr>
      <w:r w:rsidRPr="003478AF">
        <w:lastRenderedPageBreak/>
        <w:t>gotowe elementy drewniane lub drewnopochodne (do produkcji mebli na wymiar</w:t>
      </w:r>
      <w:r w:rsidR="00562A0B" w:rsidRPr="003478AF">
        <w:t>);</w:t>
      </w:r>
    </w:p>
    <w:p w14:paraId="68F047D1" w14:textId="10426FD6" w:rsidR="005E7F59" w:rsidRPr="003478AF" w:rsidRDefault="005E7F59" w:rsidP="00B13D49">
      <w:pPr>
        <w:pStyle w:val="Tekstpodstawowyzwciciem"/>
        <w:numPr>
          <w:ilvl w:val="0"/>
          <w:numId w:val="23"/>
        </w:numPr>
      </w:pPr>
      <w:r w:rsidRPr="003478AF">
        <w:t>deski lub płyty paździerzowe</w:t>
      </w:r>
      <w:r w:rsidR="00562A0B" w:rsidRPr="003478AF">
        <w:t>;</w:t>
      </w:r>
    </w:p>
    <w:p w14:paraId="650000A7" w14:textId="1FB91CA3" w:rsidR="005E7F59" w:rsidRPr="003478AF" w:rsidRDefault="005E7F59" w:rsidP="00B13D49">
      <w:pPr>
        <w:pStyle w:val="Tekstpodstawowyzwciciem"/>
        <w:numPr>
          <w:ilvl w:val="0"/>
          <w:numId w:val="23"/>
        </w:numPr>
      </w:pPr>
      <w:r w:rsidRPr="003478AF">
        <w:t>drzewo w lesie z całym procesem ścinki, transportu, cięcia, suszenia itp.</w:t>
      </w:r>
    </w:p>
    <w:p w14:paraId="4C25FDCE" w14:textId="77777777" w:rsidR="005E7F59" w:rsidRPr="003478AF" w:rsidRDefault="005E7F59" w:rsidP="005E7F59">
      <w:pPr>
        <w:pStyle w:val="Tekstpodstawowyzwciciem"/>
        <w:ind w:firstLine="567"/>
      </w:pPr>
      <w:r w:rsidRPr="003478AF">
        <w:t>Oprócz procesu głównego można wyróżnić szereg procesów pomocniczych w zakresie: finansowania, marketingu, szkoleń, projektowania mebli, zagospodarowania odpadów.</w:t>
      </w:r>
    </w:p>
    <w:p w14:paraId="68869A54" w14:textId="2FFA8205" w:rsidR="005E7F59" w:rsidRPr="003478AF" w:rsidRDefault="005E7F59" w:rsidP="005E7F59">
      <w:pPr>
        <w:pStyle w:val="Tekstpodstawowyzwciciem"/>
        <w:ind w:firstLine="567"/>
      </w:pPr>
      <w:r w:rsidRPr="003478AF">
        <w:t xml:space="preserve">Rola przedsiębiorców jest zwykle stosunkowo wąska pomimo tego, że mogą się oni skupiać na ww. szerokich aspektach produkcji mebli. Niemniej jednak są oni zaangażowani </w:t>
      </w:r>
      <w:r w:rsidRPr="003478AF">
        <w:br/>
        <w:t xml:space="preserve">w procesy suszenia półproduktów, transportu, magazynowania, czy nawet produkcji brykietu </w:t>
      </w:r>
      <w:r w:rsidRPr="003478AF">
        <w:br/>
        <w:t xml:space="preserve">z odpadów drzewnych. </w:t>
      </w:r>
    </w:p>
    <w:p w14:paraId="0EDB8832" w14:textId="77777777" w:rsidR="005E7F59" w:rsidRPr="003478AF" w:rsidRDefault="005E7F59" w:rsidP="005E7F59">
      <w:pPr>
        <w:pStyle w:val="Tekstpodstawowyzwciciem"/>
        <w:ind w:firstLine="567"/>
      </w:pPr>
      <w:r w:rsidRPr="003478AF">
        <w:t>Odpady powstające w ramach łańcucha wartości to głównie odpady drzewne, stosunkowo łatwe do przeróbki. Drugim pobocznym odpadem są materiały opakowaniowe (głównie kartony), także stosunkowo proste do przetworzenia.</w:t>
      </w:r>
    </w:p>
    <w:p w14:paraId="146AB161" w14:textId="3CE628E1" w:rsidR="00916C16" w:rsidRPr="003478AF" w:rsidRDefault="00916C16" w:rsidP="00916C16">
      <w:pPr>
        <w:pStyle w:val="Tekstpodstawowyzwciciem"/>
        <w:ind w:firstLine="567"/>
      </w:pPr>
      <w:r w:rsidRPr="003478AF">
        <w:t>Drugim łańcuchem w obszarze przetwórstwa przemysłowego jest</w:t>
      </w:r>
      <w:r w:rsidR="005E7F59" w:rsidRPr="003478AF">
        <w:t xml:space="preserve"> łańcuch wartości dla produkcji maszyn i urządzeń</w:t>
      </w:r>
      <w:r w:rsidRPr="003478AF">
        <w:t xml:space="preserve"> (</w:t>
      </w:r>
      <w:r w:rsidR="00381971" w:rsidRPr="003478AF">
        <w:t>ryc.</w:t>
      </w:r>
      <w:r w:rsidRPr="003478AF">
        <w:t xml:space="preserve"> 5.6)</w:t>
      </w:r>
      <w:r w:rsidR="005E7F59" w:rsidRPr="003478AF">
        <w:t>.</w:t>
      </w:r>
      <w:r w:rsidRPr="003478AF">
        <w:t xml:space="preserve"> </w:t>
      </w:r>
    </w:p>
    <w:p w14:paraId="5BD875C6" w14:textId="77777777" w:rsidR="005E7F59" w:rsidRPr="003478AF" w:rsidRDefault="005E7F59" w:rsidP="005E7F59">
      <w:pPr>
        <w:pStyle w:val="Tekstpodstawowyzwciciem"/>
        <w:ind w:firstLine="567"/>
      </w:pPr>
    </w:p>
    <w:p w14:paraId="1A2B1156" w14:textId="49F93001" w:rsidR="005E7F59" w:rsidRPr="003478AF" w:rsidRDefault="005E7F59" w:rsidP="00986D40">
      <w:pPr>
        <w:pStyle w:val="ARYCINA"/>
      </w:pPr>
      <w:r w:rsidRPr="003478AF">
        <w:t xml:space="preserve">Ryc. </w:t>
      </w:r>
      <w:r w:rsidRPr="003478AF">
        <w:rPr>
          <w:noProof/>
        </w:rPr>
        <w:t>5.</w:t>
      </w:r>
      <w:r w:rsidR="00915A76" w:rsidRPr="003478AF">
        <w:rPr>
          <w:noProof/>
        </w:rPr>
        <w:t>6</w:t>
      </w:r>
      <w:r w:rsidRPr="003478AF">
        <w:t xml:space="preserve"> Łańcuch wartości dla produkcji </w:t>
      </w:r>
      <w:bookmarkStart w:id="52" w:name="_Hlk76549537"/>
      <w:r w:rsidRPr="003478AF">
        <w:t xml:space="preserve">maszyn i urządzeń </w:t>
      </w:r>
      <w:bookmarkEnd w:id="52"/>
      <w:r w:rsidRPr="003478AF">
        <w:t xml:space="preserve">w </w:t>
      </w:r>
      <w:r w:rsidR="00C7423C" w:rsidRPr="003478AF">
        <w:t>województwie wielkopolskim</w:t>
      </w:r>
    </w:p>
    <w:p w14:paraId="0144D302" w14:textId="6911E983" w:rsidR="005E7F59" w:rsidRPr="003478AF" w:rsidRDefault="005E7F59" w:rsidP="00E35016">
      <w:pPr>
        <w:pStyle w:val="Tekstpodstawowyzwciciem"/>
        <w:ind w:firstLine="0"/>
        <w:jc w:val="center"/>
        <w:rPr>
          <w:lang w:val="en-GB"/>
        </w:rPr>
      </w:pPr>
      <w:r w:rsidRPr="003478AF">
        <w:rPr>
          <w:noProof/>
          <w:lang w:eastAsia="pl-PL"/>
        </w:rPr>
        <w:drawing>
          <wp:inline distT="0" distB="0" distL="0" distR="0" wp14:anchorId="06D4480B" wp14:editId="2B229745">
            <wp:extent cx="5255895" cy="2967990"/>
            <wp:effectExtent l="0" t="0" r="1905" b="3810"/>
            <wp:docPr id="87" name="Obraz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44"/>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255895" cy="2967990"/>
                    </a:xfrm>
                    <a:prstGeom prst="rect">
                      <a:avLst/>
                    </a:prstGeom>
                    <a:noFill/>
                    <a:ln>
                      <a:noFill/>
                    </a:ln>
                  </pic:spPr>
                </pic:pic>
              </a:graphicData>
            </a:graphic>
          </wp:inline>
        </w:drawing>
      </w:r>
    </w:p>
    <w:p w14:paraId="78D61304" w14:textId="31A12D11" w:rsidR="00E35016" w:rsidRPr="003478AF" w:rsidRDefault="00E35016" w:rsidP="00986D40">
      <w:pPr>
        <w:pStyle w:val="AZRODLO"/>
      </w:pPr>
      <w:r w:rsidRPr="003478AF">
        <w:t>Źródło: Opracowanie własne</w:t>
      </w:r>
    </w:p>
    <w:p w14:paraId="485FA122" w14:textId="77777777" w:rsidR="005E7F59" w:rsidRPr="003478AF" w:rsidRDefault="005E7F59" w:rsidP="005E7F59">
      <w:pPr>
        <w:pStyle w:val="Tekstpodstawowyzwciciem"/>
        <w:ind w:firstLine="567"/>
      </w:pPr>
    </w:p>
    <w:p w14:paraId="29109210" w14:textId="15AA912F" w:rsidR="00B56410" w:rsidRPr="003478AF" w:rsidRDefault="00B56410" w:rsidP="00B56410">
      <w:pPr>
        <w:pStyle w:val="Tekstpodstawowyzwciciem"/>
        <w:ind w:firstLine="567"/>
      </w:pPr>
      <w:r w:rsidRPr="003478AF">
        <w:t xml:space="preserve">Kluczowymi elementami w ramach </w:t>
      </w:r>
      <w:r w:rsidR="00D413F9" w:rsidRPr="003478AF">
        <w:t xml:space="preserve">tego </w:t>
      </w:r>
      <w:r w:rsidRPr="003478AF">
        <w:t>łańcucha wartości są produkty, które mogą być bezpośrednio lub pośrednio przez sieć dystrybucyjną (hurtownie, sieci handlowe, eksporterzy z Polski, importerzy do państw zagranicznych, sklepy) dostarczane do klienta końcowego (konsumenta). Przykładem takich produktów może być oferta AGD firmy Amica. Innym, nie mniej ważnym, typem produktów są maszyny powstające w celu zaspokojenia potrzeb innych przedsiębiorstw, a także produkcja komponentów (np. elementy składowe) do tworzenia innych końcowych produktów.</w:t>
      </w:r>
    </w:p>
    <w:p w14:paraId="26E4C306" w14:textId="49E7300E" w:rsidR="005E7F59" w:rsidRPr="003478AF" w:rsidRDefault="005E7F59" w:rsidP="005E7F59">
      <w:pPr>
        <w:pStyle w:val="Tekstpodstawowyzwciciem"/>
        <w:ind w:firstLine="567"/>
      </w:pPr>
      <w:r w:rsidRPr="003478AF">
        <w:t>Najważniejszym procesem są typowe zagadnienia produkcyjne</w:t>
      </w:r>
      <w:r w:rsidR="00B73FEA" w:rsidRPr="003478AF">
        <w:t>,</w:t>
      </w:r>
      <w:r w:rsidRPr="003478AF">
        <w:t xml:space="preserve"> t</w:t>
      </w:r>
      <w:r w:rsidR="00DA5AED" w:rsidRPr="003478AF">
        <w:t>j.</w:t>
      </w:r>
      <w:r w:rsidRPr="003478AF">
        <w:t xml:space="preserve"> przeróbka, łączenie elementów jedno</w:t>
      </w:r>
      <w:r w:rsidR="00B73FEA" w:rsidRPr="003478AF">
        <w:t>-</w:t>
      </w:r>
      <w:r w:rsidRPr="003478AF">
        <w:t xml:space="preserve"> lub wielomateriałowych. Procesy te mogą być realizowane automatycznie, </w:t>
      </w:r>
      <w:r w:rsidRPr="003478AF">
        <w:lastRenderedPageBreak/>
        <w:t xml:space="preserve">półautomatycznie lub ręcznie, inny podział procesów obejmuje te realizowane w ramach linii produkcyjnej lub poza nią. </w:t>
      </w:r>
      <w:r w:rsidR="00A11A81" w:rsidRPr="003478AF">
        <w:t>Ww. przykłady stanowią</w:t>
      </w:r>
      <w:r w:rsidRPr="003478AF">
        <w:t xml:space="preserve"> ogromny potencjał do </w:t>
      </w:r>
      <w:r w:rsidR="00A11A81" w:rsidRPr="003478AF">
        <w:t xml:space="preserve">wdrażania </w:t>
      </w:r>
      <w:r w:rsidRPr="003478AF">
        <w:t xml:space="preserve">innowacji oraz </w:t>
      </w:r>
      <w:r w:rsidR="00A11A81" w:rsidRPr="003478AF">
        <w:t>rozwijania</w:t>
      </w:r>
      <w:r w:rsidRPr="003478AF">
        <w:t xml:space="preserve"> Przemysłu 4.0.</w:t>
      </w:r>
    </w:p>
    <w:p w14:paraId="311A8B68" w14:textId="77777777" w:rsidR="005E7F59" w:rsidRPr="003478AF" w:rsidRDefault="005E7F59" w:rsidP="005E7F59">
      <w:pPr>
        <w:pStyle w:val="Tekstpodstawowyzwciciem"/>
        <w:ind w:firstLine="567"/>
      </w:pPr>
      <w:r w:rsidRPr="003478AF">
        <w:t>Oprócz procesu głównego można wyróżnić szereg procesów pomocniczych w zakresie: finansowania, marketingu, szkoleń, projektowania, zagospodarowania czy przetworzenia odpadów.</w:t>
      </w:r>
    </w:p>
    <w:p w14:paraId="6262E088" w14:textId="4B907990" w:rsidR="005E7F59" w:rsidRPr="003478AF" w:rsidRDefault="005E7F59" w:rsidP="005E7F59">
      <w:pPr>
        <w:pStyle w:val="Tekstpodstawowyzwciciem"/>
        <w:ind w:firstLine="567"/>
      </w:pPr>
      <w:r w:rsidRPr="003478AF">
        <w:t xml:space="preserve">Rola </w:t>
      </w:r>
      <w:r w:rsidR="00971192" w:rsidRPr="003478AF">
        <w:t>p</w:t>
      </w:r>
      <w:r w:rsidRPr="003478AF">
        <w:t>rzedsiębiorców jest zwykle stosunkowo wąska</w:t>
      </w:r>
      <w:r w:rsidR="00971192" w:rsidRPr="003478AF">
        <w:t>,</w:t>
      </w:r>
      <w:r w:rsidRPr="003478AF">
        <w:t xml:space="preserve"> ograniczona do jednego zakładu z wieloma dostawcami komponentów. Zdarzają się jednak zakłady z dość złożonym procesem produkcji.</w:t>
      </w:r>
    </w:p>
    <w:p w14:paraId="064CB3C0" w14:textId="43093AEB" w:rsidR="005E7F59" w:rsidRPr="003478AF" w:rsidRDefault="005E7F59" w:rsidP="005E7F59">
      <w:pPr>
        <w:pStyle w:val="Tekstpodstawowyzwciciem"/>
        <w:ind w:firstLine="567"/>
      </w:pPr>
      <w:r w:rsidRPr="003478AF">
        <w:t>Odpady w ramach łańcucha wartości są stosunkowo trudne do jednoznacznego zidentyfikowania i zależą od złożoności procesu produkcji. Mogą dotyczyć materiałów jednosurowcowych łatwych do przeróbki, ale także wielokompozytowych, znacznie trudniejszych do przetworzenia.</w:t>
      </w:r>
    </w:p>
    <w:p w14:paraId="13C723BF" w14:textId="795B0E3A" w:rsidR="00971192" w:rsidRPr="003478AF" w:rsidRDefault="005E7F59" w:rsidP="00D413F9">
      <w:pPr>
        <w:pStyle w:val="Tekstpodstawowyzwciciem"/>
        <w:ind w:firstLine="567"/>
      </w:pPr>
      <w:r w:rsidRPr="003478AF">
        <w:t xml:space="preserve">Na </w:t>
      </w:r>
      <w:r w:rsidR="00381971" w:rsidRPr="003478AF">
        <w:t>ryc.</w:t>
      </w:r>
      <w:r w:rsidRPr="003478AF">
        <w:t xml:space="preserve"> </w:t>
      </w:r>
      <w:r w:rsidR="00915A76" w:rsidRPr="003478AF">
        <w:t>5</w:t>
      </w:r>
      <w:r w:rsidRPr="003478AF">
        <w:t>.</w:t>
      </w:r>
      <w:r w:rsidR="00915A76" w:rsidRPr="003478AF">
        <w:t>7</w:t>
      </w:r>
      <w:r w:rsidRPr="003478AF">
        <w:t xml:space="preserve"> przedstawiono łańcuch wartości dla jednej z możliwości dalszego ciągu łańcucha wartości wybranych maszyn i urządzeń</w:t>
      </w:r>
      <w:r w:rsidR="00971192" w:rsidRPr="003478AF">
        <w:t>,</w:t>
      </w:r>
      <w:r w:rsidRPr="003478AF">
        <w:t xml:space="preserve"> tj. RTV i AGD.</w:t>
      </w:r>
      <w:r w:rsidR="00971192" w:rsidRPr="003478AF">
        <w:t xml:space="preserve"> </w:t>
      </w:r>
    </w:p>
    <w:p w14:paraId="6E5CEE22" w14:textId="77777777" w:rsidR="005E7F59" w:rsidRPr="003478AF" w:rsidRDefault="005E7F59" w:rsidP="005E7F59">
      <w:pPr>
        <w:pStyle w:val="Tekstpodstawowyzwciciem"/>
        <w:ind w:firstLine="567"/>
      </w:pPr>
    </w:p>
    <w:p w14:paraId="7E287FCA" w14:textId="423D9B48" w:rsidR="005E7F59" w:rsidRPr="003478AF" w:rsidRDefault="005E7F59" w:rsidP="00986D40">
      <w:pPr>
        <w:pStyle w:val="ARYCINA"/>
      </w:pPr>
      <w:r w:rsidRPr="003478AF">
        <w:t xml:space="preserve">Ryc. </w:t>
      </w:r>
      <w:r w:rsidR="00915A76" w:rsidRPr="003478AF">
        <w:t>5</w:t>
      </w:r>
      <w:r w:rsidRPr="003478AF">
        <w:rPr>
          <w:noProof/>
        </w:rPr>
        <w:t>.</w:t>
      </w:r>
      <w:r w:rsidR="00915A76" w:rsidRPr="003478AF">
        <w:rPr>
          <w:noProof/>
        </w:rPr>
        <w:t>7</w:t>
      </w:r>
      <w:r w:rsidRPr="003478AF">
        <w:t xml:space="preserve"> Łańcuch wartości </w:t>
      </w:r>
      <w:bookmarkStart w:id="53" w:name="_Hlk76549545"/>
      <w:r w:rsidRPr="003478AF">
        <w:t xml:space="preserve">dla odpadów z branży AGD i RTV </w:t>
      </w:r>
      <w:bookmarkEnd w:id="53"/>
      <w:r w:rsidRPr="003478AF">
        <w:t xml:space="preserve">w </w:t>
      </w:r>
      <w:r w:rsidR="00C7423C" w:rsidRPr="003478AF">
        <w:t>województwie wielkopolskim</w:t>
      </w:r>
    </w:p>
    <w:p w14:paraId="72BB68E2" w14:textId="7D735E8F" w:rsidR="005E7F59" w:rsidRPr="003478AF" w:rsidRDefault="005E7F59" w:rsidP="00E35016">
      <w:pPr>
        <w:pStyle w:val="Tekstpodstawowyzwciciem"/>
        <w:ind w:firstLine="0"/>
        <w:jc w:val="center"/>
        <w:rPr>
          <w:lang w:val="en-GB"/>
        </w:rPr>
      </w:pPr>
      <w:r w:rsidRPr="003478AF">
        <w:rPr>
          <w:noProof/>
          <w:lang w:eastAsia="pl-PL"/>
        </w:rPr>
        <w:drawing>
          <wp:inline distT="0" distB="0" distL="0" distR="0" wp14:anchorId="18DC782F" wp14:editId="161AAB9A">
            <wp:extent cx="4937765" cy="2552700"/>
            <wp:effectExtent l="0" t="0" r="0" b="0"/>
            <wp:docPr id="86" name="Obraz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4"/>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4938253" cy="2552952"/>
                    </a:xfrm>
                    <a:prstGeom prst="rect">
                      <a:avLst/>
                    </a:prstGeom>
                    <a:noFill/>
                    <a:ln>
                      <a:noFill/>
                    </a:ln>
                  </pic:spPr>
                </pic:pic>
              </a:graphicData>
            </a:graphic>
          </wp:inline>
        </w:drawing>
      </w:r>
    </w:p>
    <w:p w14:paraId="5F90C1F3" w14:textId="57FBAD52" w:rsidR="00E35016" w:rsidRPr="003478AF" w:rsidRDefault="00E35016" w:rsidP="00986D40">
      <w:pPr>
        <w:pStyle w:val="AZRODLO"/>
      </w:pPr>
      <w:r w:rsidRPr="003478AF">
        <w:t>Źródło: Opracowanie własne</w:t>
      </w:r>
    </w:p>
    <w:p w14:paraId="59156DE9" w14:textId="77777777" w:rsidR="00971192" w:rsidRPr="003478AF" w:rsidRDefault="00971192" w:rsidP="00E35016">
      <w:pPr>
        <w:pStyle w:val="Tekstpodstawowyzwciciem"/>
        <w:ind w:firstLine="0"/>
      </w:pPr>
    </w:p>
    <w:p w14:paraId="0643291B" w14:textId="353DC0D4" w:rsidR="00D413F9" w:rsidRPr="003478AF" w:rsidRDefault="00D413F9" w:rsidP="00D413F9">
      <w:pPr>
        <w:pStyle w:val="Tekstpodstawowyzwciciem"/>
        <w:ind w:firstLine="567"/>
      </w:pPr>
      <w:r w:rsidRPr="003478AF">
        <w:t xml:space="preserve">Kluczowym elementem w ramach tego łańcucha wartości jest użytkownik sprzętu </w:t>
      </w:r>
      <w:r w:rsidR="00686FF6" w:rsidRPr="003478AF">
        <w:t xml:space="preserve">RTV </w:t>
      </w:r>
      <w:r w:rsidR="001B0CB3" w:rsidRPr="003478AF">
        <w:br/>
      </w:r>
      <w:r w:rsidR="00686FF6" w:rsidRPr="003478AF">
        <w:t>i AGD</w:t>
      </w:r>
      <w:r w:rsidRPr="003478AF">
        <w:t>, gdyż od jego decyzji zależy obieg w zakresie:</w:t>
      </w:r>
    </w:p>
    <w:p w14:paraId="598C9DFD" w14:textId="3F09FE1C" w:rsidR="00D413F9" w:rsidRPr="003478AF" w:rsidRDefault="00D413F9" w:rsidP="00B13D49">
      <w:pPr>
        <w:pStyle w:val="Tekstpodstawowyzwciciem"/>
        <w:numPr>
          <w:ilvl w:val="0"/>
          <w:numId w:val="35"/>
        </w:numPr>
      </w:pPr>
      <w:r w:rsidRPr="003478AF">
        <w:t xml:space="preserve">długości korzystania ze sprzętu, w tym dbanie o sprzęt, jego obciążenie, </w:t>
      </w:r>
      <w:r w:rsidR="00686FF6" w:rsidRPr="003478AF">
        <w:t xml:space="preserve">uwzględnienie </w:t>
      </w:r>
      <w:r w:rsidRPr="003478AF">
        <w:t>warunk</w:t>
      </w:r>
      <w:r w:rsidR="00686FF6" w:rsidRPr="003478AF">
        <w:t>ów, w jakich</w:t>
      </w:r>
      <w:r w:rsidRPr="003478AF">
        <w:t xml:space="preserve"> pracuje; z wyłączeniem wad fabrycznych, zdarzeń losowych (np. przepięcia elektryczne);</w:t>
      </w:r>
    </w:p>
    <w:p w14:paraId="0295E10F" w14:textId="5D7328DD" w:rsidR="00D413F9" w:rsidRPr="003478AF" w:rsidRDefault="00D413F9" w:rsidP="00B13D49">
      <w:pPr>
        <w:pStyle w:val="Tekstpodstawowyzwciciem"/>
        <w:numPr>
          <w:ilvl w:val="0"/>
          <w:numId w:val="35"/>
        </w:numPr>
      </w:pPr>
      <w:r w:rsidRPr="003478AF">
        <w:t xml:space="preserve">korzystania z napraw </w:t>
      </w:r>
      <w:r w:rsidR="00A85042" w:rsidRPr="003478AF">
        <w:t>lub</w:t>
      </w:r>
      <w:r w:rsidRPr="003478AF">
        <w:t xml:space="preserve"> konserwacji urządzeń;</w:t>
      </w:r>
    </w:p>
    <w:p w14:paraId="250E1CDE" w14:textId="57F51F50" w:rsidR="00FB31B1" w:rsidRPr="003478AF" w:rsidRDefault="00D413F9" w:rsidP="00B13D49">
      <w:pPr>
        <w:pStyle w:val="Tekstpodstawowyzwciciem"/>
        <w:numPr>
          <w:ilvl w:val="0"/>
          <w:numId w:val="35"/>
        </w:numPr>
      </w:pPr>
      <w:r w:rsidRPr="003478AF">
        <w:t xml:space="preserve">przeznaczenia zepsutego/niepotrzebnego urządzenia – najpopularniejsze możliwości to oddanie przez pośredników do recyklingu. Jeśli sprzęt jest sprawny lub wymaga drobnych popraw to jest możliwość przekazania go do ponownego użycia. Ostatecznością, niezalecaną, jest </w:t>
      </w:r>
      <w:r w:rsidR="00686FF6" w:rsidRPr="003478AF">
        <w:t xml:space="preserve">potraktowanie go </w:t>
      </w:r>
    </w:p>
    <w:p w14:paraId="4AE7B060" w14:textId="71BF365F" w:rsidR="00D413F9" w:rsidRPr="003478AF" w:rsidRDefault="00686FF6" w:rsidP="00B13D49">
      <w:pPr>
        <w:pStyle w:val="Tekstpodstawowyzwciciem"/>
        <w:numPr>
          <w:ilvl w:val="0"/>
          <w:numId w:val="35"/>
        </w:numPr>
      </w:pPr>
      <w:r w:rsidRPr="003478AF">
        <w:t>jako odpad i umieszczenie</w:t>
      </w:r>
      <w:r w:rsidR="00D413F9" w:rsidRPr="003478AF">
        <w:t xml:space="preserve"> na składowisk</w:t>
      </w:r>
      <w:r w:rsidRPr="003478AF">
        <w:t>u</w:t>
      </w:r>
      <w:r w:rsidR="00D413F9" w:rsidRPr="003478AF">
        <w:t xml:space="preserve">. </w:t>
      </w:r>
    </w:p>
    <w:p w14:paraId="1AB393B9" w14:textId="4EB1C892" w:rsidR="005E7F59" w:rsidRPr="003478AF" w:rsidRDefault="00971192" w:rsidP="00971192">
      <w:pPr>
        <w:pStyle w:val="Tekstpodstawowyzwciciem"/>
        <w:ind w:firstLine="567"/>
      </w:pPr>
      <w:r w:rsidRPr="003478AF">
        <w:lastRenderedPageBreak/>
        <w:t xml:space="preserve">Najważniejszym procesem </w:t>
      </w:r>
      <w:r w:rsidR="0084639E" w:rsidRPr="003478AF">
        <w:t xml:space="preserve">w ramach tego łańcucha wartości </w:t>
      </w:r>
      <w:r w:rsidRPr="003478AF">
        <w:t>jest recykling (szczegóły w studium przypadku).</w:t>
      </w:r>
    </w:p>
    <w:p w14:paraId="5FE862DE" w14:textId="0A5BD3BB" w:rsidR="005E7F59" w:rsidRPr="003478AF" w:rsidRDefault="005E7F59" w:rsidP="005E7F59">
      <w:pPr>
        <w:pStyle w:val="Tekstpodstawowyzwciciem"/>
        <w:ind w:firstLine="567"/>
      </w:pPr>
      <w:r w:rsidRPr="003478AF">
        <w:t xml:space="preserve">Oprócz procesu głównego można wyróżnić szereg procesów pomocniczych, ale najbardziej charakterystyczny dla tego łańcucha jest transport, wpływający na ekonomikę </w:t>
      </w:r>
      <w:r w:rsidR="00075829" w:rsidRPr="003478AF">
        <w:br/>
      </w:r>
      <w:r w:rsidRPr="003478AF">
        <w:t>(z uwzględnieniem wymogów prawnych transportu odpadów</w:t>
      </w:r>
      <w:r w:rsidR="00D32599" w:rsidRPr="003478AF">
        <w:t>)</w:t>
      </w:r>
      <w:r w:rsidRPr="003478AF">
        <w:t xml:space="preserve"> oraz wykonalność/wdrożenie GOZ.</w:t>
      </w:r>
    </w:p>
    <w:p w14:paraId="7125CDC4" w14:textId="77777777" w:rsidR="005E7F59" w:rsidRPr="003478AF" w:rsidRDefault="005E7F59" w:rsidP="005E7F59">
      <w:pPr>
        <w:pStyle w:val="Tekstpodstawowyzwciciem"/>
        <w:ind w:firstLine="567"/>
      </w:pPr>
    </w:p>
    <w:p w14:paraId="5253C05A" w14:textId="77777777" w:rsidR="005E7F59" w:rsidRPr="003478AF" w:rsidRDefault="005E7F59" w:rsidP="00A257F0">
      <w:pPr>
        <w:pStyle w:val="Tekstpodstawowyzwciciem"/>
        <w:ind w:firstLine="0"/>
        <w:rPr>
          <w:b/>
          <w:bCs/>
        </w:rPr>
      </w:pPr>
      <w:r w:rsidRPr="003478AF">
        <w:rPr>
          <w:b/>
          <w:bCs/>
        </w:rPr>
        <w:t>Energetyka</w:t>
      </w:r>
    </w:p>
    <w:p w14:paraId="1D5283C3" w14:textId="4F95D372" w:rsidR="00F963A2" w:rsidRPr="003478AF" w:rsidRDefault="005E7F59" w:rsidP="00F963A2">
      <w:pPr>
        <w:pStyle w:val="Tekstpodstawowyzwciciem"/>
        <w:ind w:firstLine="567"/>
      </w:pPr>
      <w:r w:rsidRPr="003478AF">
        <w:t xml:space="preserve">W ramach branży energetycznej zobrazowano </w:t>
      </w:r>
      <w:r w:rsidR="00C7423C" w:rsidRPr="003478AF">
        <w:t>trzy</w:t>
      </w:r>
      <w:r w:rsidRPr="003478AF">
        <w:t xml:space="preserve"> łańcuchy wartości. Pierwszy z nich dotyczy OZE, w tym technologii wodorowych (</w:t>
      </w:r>
      <w:r w:rsidR="00381971" w:rsidRPr="003478AF">
        <w:t>ryc.</w:t>
      </w:r>
      <w:r w:rsidRPr="003478AF">
        <w:t xml:space="preserve"> </w:t>
      </w:r>
      <w:r w:rsidR="00915A76" w:rsidRPr="003478AF">
        <w:t>5.8</w:t>
      </w:r>
      <w:r w:rsidRPr="003478AF">
        <w:t>).</w:t>
      </w:r>
      <w:r w:rsidR="00F963A2" w:rsidRPr="003478AF">
        <w:t xml:space="preserve"> </w:t>
      </w:r>
    </w:p>
    <w:p w14:paraId="17C1375F" w14:textId="77777777" w:rsidR="005E7F59" w:rsidRPr="003478AF" w:rsidRDefault="005E7F59" w:rsidP="005E7F59">
      <w:pPr>
        <w:pStyle w:val="Tekstpodstawowyzwciciem"/>
      </w:pPr>
    </w:p>
    <w:p w14:paraId="6A75F879" w14:textId="094E98F2" w:rsidR="005E7F59" w:rsidRPr="003478AF" w:rsidRDefault="005E7F59" w:rsidP="00986D40">
      <w:pPr>
        <w:pStyle w:val="ARYCINA"/>
      </w:pPr>
      <w:r w:rsidRPr="003478AF">
        <w:t xml:space="preserve">Ryc. </w:t>
      </w:r>
      <w:r w:rsidR="00915A76" w:rsidRPr="003478AF">
        <w:t>5</w:t>
      </w:r>
      <w:r w:rsidRPr="003478AF">
        <w:rPr>
          <w:noProof/>
        </w:rPr>
        <w:t>.</w:t>
      </w:r>
      <w:r w:rsidR="00915A76" w:rsidRPr="003478AF">
        <w:rPr>
          <w:noProof/>
        </w:rPr>
        <w:t>8</w:t>
      </w:r>
      <w:r w:rsidRPr="003478AF">
        <w:t xml:space="preserve"> </w:t>
      </w:r>
      <w:bookmarkStart w:id="54" w:name="_Hlk76549558"/>
      <w:r w:rsidRPr="003478AF">
        <w:t>Łańcuch wartości dla branży OZE, w tym technologie wodorowe</w:t>
      </w:r>
      <w:r w:rsidR="00B74873" w:rsidRPr="003478AF">
        <w:t>,</w:t>
      </w:r>
      <w:r w:rsidRPr="003478AF">
        <w:t xml:space="preserve"> </w:t>
      </w:r>
      <w:bookmarkEnd w:id="54"/>
      <w:r w:rsidRPr="003478AF">
        <w:t>w woj</w:t>
      </w:r>
      <w:r w:rsidR="00C7423C" w:rsidRPr="003478AF">
        <w:t xml:space="preserve">ewództwie </w:t>
      </w:r>
      <w:r w:rsidRPr="003478AF">
        <w:t>wielkopolskim</w:t>
      </w:r>
    </w:p>
    <w:p w14:paraId="4ACA264E" w14:textId="1A577E80" w:rsidR="005E7F59" w:rsidRPr="003478AF" w:rsidRDefault="005E7F59" w:rsidP="00367D7F">
      <w:pPr>
        <w:pStyle w:val="Tekstpodstawowyzwciciem"/>
        <w:ind w:firstLine="0"/>
        <w:jc w:val="center"/>
        <w:rPr>
          <w:lang w:val="en-GB"/>
        </w:rPr>
      </w:pPr>
      <w:r w:rsidRPr="003478AF">
        <w:rPr>
          <w:noProof/>
          <w:lang w:eastAsia="pl-PL"/>
        </w:rPr>
        <w:drawing>
          <wp:inline distT="0" distB="0" distL="0" distR="0" wp14:anchorId="5CFB60AA" wp14:editId="3B006CB7">
            <wp:extent cx="5038725" cy="2781300"/>
            <wp:effectExtent l="0" t="0" r="9525" b="0"/>
            <wp:docPr id="85" name="Obraz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85"/>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038725" cy="2781300"/>
                    </a:xfrm>
                    <a:prstGeom prst="rect">
                      <a:avLst/>
                    </a:prstGeom>
                    <a:noFill/>
                    <a:ln>
                      <a:noFill/>
                    </a:ln>
                  </pic:spPr>
                </pic:pic>
              </a:graphicData>
            </a:graphic>
          </wp:inline>
        </w:drawing>
      </w:r>
    </w:p>
    <w:p w14:paraId="4F6D79B1" w14:textId="7FD661E8" w:rsidR="00E35016" w:rsidRPr="003478AF" w:rsidRDefault="00E35016" w:rsidP="00986D40">
      <w:pPr>
        <w:pStyle w:val="AZRODLO"/>
      </w:pPr>
      <w:r w:rsidRPr="003478AF">
        <w:t>Źródło: Opracowanie własne</w:t>
      </w:r>
    </w:p>
    <w:p w14:paraId="482C4AD6" w14:textId="77777777" w:rsidR="005E7F59" w:rsidRPr="003478AF" w:rsidRDefault="005E7F59" w:rsidP="005E7F59">
      <w:pPr>
        <w:pStyle w:val="Tekstpodstawowyzwciciem"/>
        <w:ind w:firstLine="567"/>
      </w:pPr>
    </w:p>
    <w:p w14:paraId="4ACEF75E" w14:textId="41DD9CD9" w:rsidR="00D413F9" w:rsidRPr="003478AF" w:rsidRDefault="00D413F9" w:rsidP="00D413F9">
      <w:pPr>
        <w:pStyle w:val="Tekstpodstawowyzwciciem"/>
        <w:ind w:firstLine="567"/>
      </w:pPr>
      <w:r w:rsidRPr="003478AF">
        <w:t xml:space="preserve">Ważnymi elementami w ramach tego łańcucha wartości są głównie usługi montażowe powiązane z produktami (urządzeniami). Usługi te wykonywane są </w:t>
      </w:r>
      <w:r w:rsidR="00347EB1" w:rsidRPr="003478AF">
        <w:t>przeważnie</w:t>
      </w:r>
      <w:r w:rsidRPr="003478AF">
        <w:t xml:space="preserve"> przez firmy lokalne (lub mające lokalne przedstawicielstwo), głównie ze względu na kwestie transportowe i sprzętowe. Produkty są najczęściej pochodzenia zagranicznego</w:t>
      </w:r>
      <w:r w:rsidRPr="003478AF">
        <w:rPr>
          <w:rStyle w:val="Odwoanieprzypisudolnego"/>
        </w:rPr>
        <w:footnoteReference w:id="129"/>
      </w:r>
      <w:r w:rsidRPr="003478AF">
        <w:t>, a z terenu Polski pochodzą gównie okablowania lub systemy montażowe.</w:t>
      </w:r>
    </w:p>
    <w:p w14:paraId="3B5C60AB" w14:textId="38F2EB5C" w:rsidR="005E7F59" w:rsidRPr="003478AF" w:rsidRDefault="005E7F59" w:rsidP="005E7F59">
      <w:pPr>
        <w:pStyle w:val="Tekstpodstawowyzwciciem"/>
        <w:ind w:firstLine="567"/>
      </w:pPr>
      <w:r w:rsidRPr="003478AF">
        <w:t xml:space="preserve">Rola </w:t>
      </w:r>
      <w:r w:rsidR="00C7423C" w:rsidRPr="003478AF">
        <w:t>p</w:t>
      </w:r>
      <w:r w:rsidRPr="003478AF">
        <w:t>rzedsiębiorców jest zwykle stosunkowo wąska</w:t>
      </w:r>
      <w:r w:rsidR="00C7423C" w:rsidRPr="003478AF">
        <w:t>,</w:t>
      </w:r>
      <w:r w:rsidRPr="003478AF">
        <w:t xml:space="preserve"> sprowadza się do sektora usług. Procesy pomocnicze to finansowanie, marketing oraz szkolenia. </w:t>
      </w:r>
    </w:p>
    <w:p w14:paraId="61F55863" w14:textId="3CFA45D6" w:rsidR="005E7F59" w:rsidRPr="003478AF" w:rsidRDefault="005E7F59" w:rsidP="005E7F59">
      <w:pPr>
        <w:pStyle w:val="Tekstpodstawowyzwciciem"/>
        <w:ind w:firstLine="567"/>
      </w:pPr>
      <w:r w:rsidRPr="003478AF">
        <w:t>Odpady powstające w ramach łańcucha wartości to najczęściej opakowania, zepsute/uszkodzone elementy oraz pozostałości kabli i elementów</w:t>
      </w:r>
      <w:r w:rsidR="00D413F9" w:rsidRPr="003478AF">
        <w:t xml:space="preserve"> połączeniowych.</w:t>
      </w:r>
    </w:p>
    <w:p w14:paraId="6855FE3A" w14:textId="77777777" w:rsidR="00D413F9" w:rsidRPr="003478AF" w:rsidRDefault="00D413F9" w:rsidP="005E7F59">
      <w:pPr>
        <w:pStyle w:val="Tekstpodstawowyzwciciem"/>
        <w:ind w:firstLine="567"/>
      </w:pPr>
    </w:p>
    <w:p w14:paraId="03971D54" w14:textId="6DD701E7" w:rsidR="00A5328D" w:rsidRPr="003478AF" w:rsidRDefault="00F963A2" w:rsidP="00A5328D">
      <w:pPr>
        <w:pStyle w:val="Tekstpodstawowyzwciciem"/>
        <w:ind w:firstLine="567"/>
      </w:pPr>
      <w:r w:rsidRPr="003478AF">
        <w:lastRenderedPageBreak/>
        <w:t xml:space="preserve">Kolejny łańcuch wartości w obszarze energetyki dotyczy </w:t>
      </w:r>
      <w:r w:rsidR="005E7F59" w:rsidRPr="003478AF">
        <w:t>produkcji biogazu i produkcji energii</w:t>
      </w:r>
      <w:r w:rsidR="006B4D89" w:rsidRPr="003478AF">
        <w:t xml:space="preserve"> (</w:t>
      </w:r>
      <w:r w:rsidR="00381971" w:rsidRPr="003478AF">
        <w:t>ryc.</w:t>
      </w:r>
      <w:r w:rsidR="006B4D89" w:rsidRPr="003478AF">
        <w:t xml:space="preserve"> 5.9)</w:t>
      </w:r>
      <w:r w:rsidR="005E7F59" w:rsidRPr="003478AF">
        <w:t>.</w:t>
      </w:r>
      <w:r w:rsidR="00A5328D" w:rsidRPr="003478AF">
        <w:t xml:space="preserve"> </w:t>
      </w:r>
    </w:p>
    <w:p w14:paraId="5D27D542" w14:textId="77777777" w:rsidR="00D413F9" w:rsidRPr="003478AF" w:rsidRDefault="00D413F9" w:rsidP="00A5328D">
      <w:pPr>
        <w:pStyle w:val="Tekstpodstawowyzwciciem"/>
        <w:ind w:firstLine="567"/>
      </w:pPr>
    </w:p>
    <w:p w14:paraId="0F630FCA" w14:textId="3AFA621C" w:rsidR="005E7F59" w:rsidRPr="003478AF" w:rsidRDefault="005E7F59" w:rsidP="00986D40">
      <w:pPr>
        <w:pStyle w:val="ARYCINA"/>
      </w:pPr>
      <w:r w:rsidRPr="003478AF">
        <w:t xml:space="preserve">Ryc. </w:t>
      </w:r>
      <w:r w:rsidR="00915A76" w:rsidRPr="003478AF">
        <w:t>5.9</w:t>
      </w:r>
      <w:r w:rsidRPr="003478AF">
        <w:t xml:space="preserve"> Łańcuch wartości dla </w:t>
      </w:r>
      <w:bookmarkStart w:id="55" w:name="_Hlk76549567"/>
      <w:r w:rsidRPr="003478AF">
        <w:t xml:space="preserve">produkcji biogazu i produkcji energii </w:t>
      </w:r>
      <w:bookmarkEnd w:id="55"/>
      <w:r w:rsidRPr="003478AF">
        <w:t>w woj</w:t>
      </w:r>
      <w:r w:rsidR="00C7423C" w:rsidRPr="003478AF">
        <w:t>ewództwie</w:t>
      </w:r>
      <w:r w:rsidRPr="003478AF">
        <w:t xml:space="preserve"> wielkopolskim</w:t>
      </w:r>
      <w:r w:rsidRPr="003478AF">
        <w:rPr>
          <w:noProof/>
          <w:lang w:eastAsia="pl-PL"/>
        </w:rPr>
        <w:drawing>
          <wp:inline distT="0" distB="0" distL="0" distR="0" wp14:anchorId="32B83F70" wp14:editId="2483E821">
            <wp:extent cx="5038725" cy="2266950"/>
            <wp:effectExtent l="0" t="0" r="9525" b="0"/>
            <wp:docPr id="84" name="Obraz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15"/>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038725" cy="2266950"/>
                    </a:xfrm>
                    <a:prstGeom prst="rect">
                      <a:avLst/>
                    </a:prstGeom>
                    <a:noFill/>
                    <a:ln>
                      <a:noFill/>
                    </a:ln>
                  </pic:spPr>
                </pic:pic>
              </a:graphicData>
            </a:graphic>
          </wp:inline>
        </w:drawing>
      </w:r>
    </w:p>
    <w:p w14:paraId="35E26327" w14:textId="2138EAAC" w:rsidR="00E35016" w:rsidRPr="003478AF" w:rsidRDefault="00E35016" w:rsidP="00986D40">
      <w:pPr>
        <w:pStyle w:val="AZRODLO"/>
      </w:pPr>
      <w:r w:rsidRPr="003478AF">
        <w:t>Źródło: Opracowanie własne</w:t>
      </w:r>
    </w:p>
    <w:p w14:paraId="666168B6" w14:textId="77777777" w:rsidR="005E7F59" w:rsidRPr="003478AF" w:rsidRDefault="005E7F59" w:rsidP="00986D40">
      <w:pPr>
        <w:pStyle w:val="ARYCINA"/>
      </w:pPr>
    </w:p>
    <w:p w14:paraId="7AC50E8A" w14:textId="283C02F4" w:rsidR="00D413F9" w:rsidRPr="003478AF" w:rsidRDefault="00D413F9" w:rsidP="00D413F9">
      <w:pPr>
        <w:pStyle w:val="Tekstpodstawowyzwciciem"/>
        <w:ind w:firstLine="567"/>
      </w:pPr>
      <w:r w:rsidRPr="003478AF">
        <w:t xml:space="preserve">Kluczowym elementem w ramach tego łańcucha wartości jest wytwarzanie biogazu </w:t>
      </w:r>
      <w:r w:rsidR="001B0CB3" w:rsidRPr="003478AF">
        <w:br/>
      </w:r>
      <w:r w:rsidRPr="003478AF">
        <w:t>z substratów z własnych procesów rolniczych lub sprowadzonych substratów. Z biogazu wytwarzana jest energia elektryczna i cieplna w tzw. skojarzeniu. Dużym wyzwaniem procesu często jest efektywne zagospodarowanie energii cieplnej, w tym też względzie trwają różne działania innowacyjne lub doradcze.</w:t>
      </w:r>
    </w:p>
    <w:p w14:paraId="67CAAAC0" w14:textId="13096065" w:rsidR="00C35FEF" w:rsidRPr="003478AF" w:rsidRDefault="00C35FEF" w:rsidP="00C35FEF">
      <w:pPr>
        <w:pStyle w:val="Tekstpodstawowyzwciciem"/>
        <w:ind w:firstLine="567"/>
      </w:pPr>
      <w:r w:rsidRPr="003478AF">
        <w:t>Odpady w ramach tego łańcucha wartości mogą być wykorzystywane jako nawozy lub inne substraty w produkcji rolnej.</w:t>
      </w:r>
    </w:p>
    <w:p w14:paraId="3796E827" w14:textId="6C70E949" w:rsidR="00C35FEF" w:rsidRPr="003478AF" w:rsidRDefault="00C35FEF" w:rsidP="00D413F9">
      <w:pPr>
        <w:pStyle w:val="Tekstpodstawowyzwciciem"/>
        <w:ind w:firstLine="567"/>
      </w:pPr>
      <w:r w:rsidRPr="003478AF">
        <w:t>Innym</w:t>
      </w:r>
      <w:r w:rsidR="005E7F59" w:rsidRPr="003478AF">
        <w:t xml:space="preserve"> łańcuch</w:t>
      </w:r>
      <w:r w:rsidRPr="003478AF">
        <w:t>em</w:t>
      </w:r>
      <w:r w:rsidR="005E7F59" w:rsidRPr="003478AF">
        <w:t xml:space="preserve"> wartości </w:t>
      </w:r>
      <w:r w:rsidRPr="003478AF">
        <w:t xml:space="preserve">w tej sferze jest łańcuch </w:t>
      </w:r>
      <w:r w:rsidR="005E7F59" w:rsidRPr="003478AF">
        <w:t>dla produkcji bioetanolu</w:t>
      </w:r>
      <w:r w:rsidRPr="003478AF">
        <w:t xml:space="preserve"> (</w:t>
      </w:r>
      <w:r w:rsidR="00381971" w:rsidRPr="003478AF">
        <w:t>ryc.</w:t>
      </w:r>
      <w:r w:rsidRPr="003478AF">
        <w:t xml:space="preserve"> 5.10)</w:t>
      </w:r>
      <w:r w:rsidR="005E7F59" w:rsidRPr="003478AF">
        <w:t xml:space="preserve">, który jest powiązany </w:t>
      </w:r>
      <w:r w:rsidRPr="003478AF">
        <w:t xml:space="preserve">z </w:t>
      </w:r>
      <w:r w:rsidR="005E7F59" w:rsidRPr="003478AF">
        <w:t>wcześniej wykazanymi uprawami rolnymi i produkcją biogazu.</w:t>
      </w:r>
      <w:r w:rsidRPr="003478AF">
        <w:t xml:space="preserve"> </w:t>
      </w:r>
    </w:p>
    <w:p w14:paraId="420A9B91" w14:textId="0828A5B6" w:rsidR="00F73846" w:rsidRPr="003478AF" w:rsidRDefault="00F73846" w:rsidP="00F73846">
      <w:pPr>
        <w:pStyle w:val="Tekstpodstawowyzwciciem"/>
        <w:ind w:firstLine="567"/>
      </w:pPr>
      <w:r w:rsidRPr="003478AF">
        <w:t xml:space="preserve">Kluczowym elementem w ramach tego łańcucha wartości jest wytwarzanie bioetanolu </w:t>
      </w:r>
      <w:r w:rsidR="001B0CB3" w:rsidRPr="003478AF">
        <w:br/>
      </w:r>
      <w:r w:rsidRPr="003478AF">
        <w:t xml:space="preserve">z substratów z własnych procesów rolniczych (element wyjściowy z procesu upraw rolnych) lub sprowadzonych substratów (np. enzymy). Produkt bioetanol służy jako komponent </w:t>
      </w:r>
      <w:r w:rsidR="001B0CB3" w:rsidRPr="003478AF">
        <w:br/>
      </w:r>
      <w:r w:rsidRPr="003478AF">
        <w:t>w wytwarzaniu paliw dla pojazdów lub maszyn spalinowych.</w:t>
      </w:r>
    </w:p>
    <w:p w14:paraId="2BFEDB6D" w14:textId="77777777" w:rsidR="00F73846" w:rsidRPr="003478AF" w:rsidRDefault="00F73846" w:rsidP="00F73846">
      <w:pPr>
        <w:pStyle w:val="Tekstpodstawowyzwciciem"/>
        <w:ind w:firstLine="567"/>
      </w:pPr>
      <w:r w:rsidRPr="003478AF">
        <w:t>Odpady w ramach tego łańcucha wartości mogą być wykorzystywane jako nawozy lub inne substraty w produkcji rolnej.</w:t>
      </w:r>
    </w:p>
    <w:p w14:paraId="34FA1134" w14:textId="77777777" w:rsidR="00347EB1" w:rsidRPr="003478AF" w:rsidRDefault="00347EB1" w:rsidP="00D413F9">
      <w:pPr>
        <w:pStyle w:val="Tekstpodstawowyzwciciem"/>
        <w:ind w:firstLine="567"/>
      </w:pPr>
    </w:p>
    <w:p w14:paraId="30A496C5" w14:textId="77777777" w:rsidR="00F73846" w:rsidRPr="003478AF" w:rsidRDefault="00F73846">
      <w:pPr>
        <w:spacing w:line="240" w:lineRule="auto"/>
        <w:ind w:firstLine="0"/>
        <w:jc w:val="left"/>
        <w:rPr>
          <w:rFonts w:eastAsia="Arial" w:cs="Arial"/>
          <w:b/>
          <w:bCs/>
          <w:sz w:val="16"/>
          <w:szCs w:val="16"/>
        </w:rPr>
      </w:pPr>
      <w:r w:rsidRPr="003478AF">
        <w:br w:type="page"/>
      </w:r>
    </w:p>
    <w:p w14:paraId="0C7A3058" w14:textId="778B28AE" w:rsidR="00824E64" w:rsidRPr="003478AF" w:rsidRDefault="005E7F59" w:rsidP="00986D40">
      <w:pPr>
        <w:pStyle w:val="ARYCINA"/>
      </w:pPr>
      <w:r w:rsidRPr="003478AF">
        <w:lastRenderedPageBreak/>
        <w:t xml:space="preserve">Ryc. </w:t>
      </w:r>
      <w:r w:rsidR="00915A76" w:rsidRPr="003478AF">
        <w:t xml:space="preserve">5.10 </w:t>
      </w:r>
      <w:r w:rsidRPr="003478AF">
        <w:t xml:space="preserve">Łańcuch wartości dla </w:t>
      </w:r>
      <w:bookmarkStart w:id="56" w:name="_Hlk76549576"/>
      <w:r w:rsidRPr="003478AF">
        <w:t xml:space="preserve">produkcji bioetanolu </w:t>
      </w:r>
      <w:bookmarkEnd w:id="56"/>
      <w:r w:rsidRPr="003478AF">
        <w:t>w woj</w:t>
      </w:r>
      <w:r w:rsidR="00C7423C" w:rsidRPr="003478AF">
        <w:t>ewództwie</w:t>
      </w:r>
      <w:r w:rsidRPr="003478AF">
        <w:t xml:space="preserve"> wielkopolskim</w:t>
      </w:r>
    </w:p>
    <w:p w14:paraId="7B879B38" w14:textId="088BBFBF" w:rsidR="00E35016" w:rsidRPr="003478AF" w:rsidRDefault="005E7F59" w:rsidP="00986D40">
      <w:pPr>
        <w:pStyle w:val="ARYCINA"/>
      </w:pPr>
      <w:r w:rsidRPr="003478AF">
        <w:rPr>
          <w:noProof/>
          <w:lang w:eastAsia="pl-PL"/>
        </w:rPr>
        <w:drawing>
          <wp:inline distT="0" distB="0" distL="0" distR="0" wp14:anchorId="616671D2" wp14:editId="63DC630D">
            <wp:extent cx="4860000" cy="2891807"/>
            <wp:effectExtent l="0" t="0" r="0" b="3810"/>
            <wp:docPr id="83" name="Obraz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1"/>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4860000" cy="2891807"/>
                    </a:xfrm>
                    <a:prstGeom prst="rect">
                      <a:avLst/>
                    </a:prstGeom>
                    <a:noFill/>
                    <a:ln>
                      <a:noFill/>
                    </a:ln>
                  </pic:spPr>
                </pic:pic>
              </a:graphicData>
            </a:graphic>
          </wp:inline>
        </w:drawing>
      </w:r>
    </w:p>
    <w:p w14:paraId="2A3AC75E" w14:textId="77777777" w:rsidR="00D413F9" w:rsidRPr="003478AF" w:rsidRDefault="00915A76" w:rsidP="00986D40">
      <w:pPr>
        <w:pStyle w:val="AZRODLO"/>
      </w:pPr>
      <w:r w:rsidRPr="003478AF">
        <w:t>Źródło: Opracowanie własne</w:t>
      </w:r>
    </w:p>
    <w:p w14:paraId="7ED4C1DE" w14:textId="77777777" w:rsidR="00D413F9" w:rsidRPr="003478AF" w:rsidRDefault="00D413F9" w:rsidP="00D413F9">
      <w:pPr>
        <w:pStyle w:val="Tekstpodstawowyzwciciem"/>
        <w:ind w:firstLine="567"/>
      </w:pPr>
    </w:p>
    <w:p w14:paraId="2065EBAA" w14:textId="77777777" w:rsidR="00D413F9" w:rsidRPr="003478AF" w:rsidRDefault="00D413F9" w:rsidP="00D413F9">
      <w:pPr>
        <w:pStyle w:val="Tekstpodstawowyzwciciem"/>
        <w:ind w:firstLine="567"/>
      </w:pPr>
    </w:p>
    <w:p w14:paraId="358CEF5C" w14:textId="5DD5A45C" w:rsidR="00B6170F" w:rsidRPr="003478AF" w:rsidRDefault="000671A8">
      <w:pPr>
        <w:pStyle w:val="Nagwek2"/>
      </w:pPr>
      <w:bookmarkStart w:id="57" w:name="_Toc82159999"/>
      <w:r w:rsidRPr="003478AF">
        <w:t xml:space="preserve">5.2. </w:t>
      </w:r>
      <w:r w:rsidR="00B6170F" w:rsidRPr="003478AF">
        <w:t>Studium przypadku dla łańcuchów wartości</w:t>
      </w:r>
      <w:r w:rsidR="00F1079D" w:rsidRPr="003478AF">
        <w:t xml:space="preserve"> </w:t>
      </w:r>
      <w:r w:rsidR="00F1079D" w:rsidRPr="003478AF">
        <w:br/>
        <w:t>w województwie wielkopolskim</w:t>
      </w:r>
      <w:bookmarkEnd w:id="57"/>
    </w:p>
    <w:p w14:paraId="1E94B718" w14:textId="77777777" w:rsidR="000244F6" w:rsidRPr="003478AF" w:rsidRDefault="000244F6" w:rsidP="000244F6"/>
    <w:p w14:paraId="4EAC758F" w14:textId="047614B6" w:rsidR="00B6170F" w:rsidRPr="003478AF" w:rsidRDefault="00B6170F" w:rsidP="00B6170F">
      <w:pPr>
        <w:pStyle w:val="Tekstpodstawowyzwciciem"/>
      </w:pPr>
      <w:r w:rsidRPr="003478AF">
        <w:t>W ramach studium przypadku przeanalizowano szczegółowo dwie firmy z terenu województwa wielkopolskiego.</w:t>
      </w:r>
      <w:r w:rsidR="008C5B9F" w:rsidRPr="003478AF">
        <w:t xml:space="preserve"> </w:t>
      </w:r>
      <w:r w:rsidRPr="003478AF">
        <w:t xml:space="preserve">Pierwsza z nich to przedsiębiorstwo produkujące maszyny </w:t>
      </w:r>
      <w:r w:rsidR="001B0CB3" w:rsidRPr="003478AF">
        <w:br/>
      </w:r>
      <w:r w:rsidRPr="003478AF">
        <w:t xml:space="preserve">w branży energetycznej związanej z wodorem. Łańcuch wartości dla tej firmy przedstawiono na </w:t>
      </w:r>
      <w:r w:rsidR="00381971" w:rsidRPr="003478AF">
        <w:t>ryc.</w:t>
      </w:r>
      <w:r w:rsidRPr="003478AF">
        <w:t xml:space="preserve"> </w:t>
      </w:r>
      <w:r w:rsidR="00915A76" w:rsidRPr="003478AF">
        <w:t>5.11</w:t>
      </w:r>
      <w:r w:rsidRPr="003478AF">
        <w:t>.</w:t>
      </w:r>
    </w:p>
    <w:p w14:paraId="3271C2EF" w14:textId="41054C47" w:rsidR="00F73846" w:rsidRPr="003478AF" w:rsidRDefault="00F73846" w:rsidP="00F73846">
      <w:pPr>
        <w:pStyle w:val="Tekstpodstawowyzwciciem"/>
      </w:pPr>
      <w:r w:rsidRPr="003478AF">
        <w:t xml:space="preserve">Własnością intelektualną analizowanej firmy są głównie koncepcje i projekty. Na ich podstawie przedsiębiorstwo dokonuje zamówień gotowych komponentów urządzeń. Komponenty te to wycinane precyzyjne elementy lub odlewy. Procesy wykonywane są przez dostawców z rejonu województwa wielkopolskiego. W procesach tych (realizowanych </w:t>
      </w:r>
      <w:r w:rsidRPr="003478AF">
        <w:br/>
        <w:t xml:space="preserve">u dostawców) powstają też odpady, które podlegają recyklingowi. Dostawcy korzystają </w:t>
      </w:r>
      <w:r w:rsidRPr="003478AF">
        <w:br/>
        <w:t xml:space="preserve">z materiałów dostarczanych przez zagraniczne przedsiębiorstwa, głównie z terenu UE, </w:t>
      </w:r>
      <w:r w:rsidRPr="003478AF">
        <w:br/>
        <w:t>a zwłaszcza z Włoch.</w:t>
      </w:r>
    </w:p>
    <w:p w14:paraId="5150238A" w14:textId="5DE4B60D" w:rsidR="00F73846" w:rsidRPr="003478AF" w:rsidRDefault="00F73846" w:rsidP="00F73846">
      <w:pPr>
        <w:pStyle w:val="Tekstpodstawowyzwciciem"/>
      </w:pPr>
      <w:r w:rsidRPr="003478AF">
        <w:t>W przypadku analizowanej firmy wśród materiałów produkcyjnych na wejściu można wyróżnić dwa główne składniki: stal chirurgiczna przetworzona u dostawcy (w ilości 2 tony/rok) oraz uformowany polietylen (w ilości około 0,5 tony/rok). Wraz z przepływem materiałów następuje także przepływ materiałów pakujących (głównie kartonów), w ilości około 0,1 tony/rok. Materiał ten poddawany jest recyklingowi lokalnie na terenie województwa.</w:t>
      </w:r>
    </w:p>
    <w:p w14:paraId="0A704160" w14:textId="2A28F7AD" w:rsidR="00F73846" w:rsidRPr="003478AF" w:rsidRDefault="00F73846" w:rsidP="00F73846">
      <w:pPr>
        <w:pStyle w:val="Tekstpodstawowyzwciciem"/>
      </w:pPr>
      <w:r w:rsidRPr="003478AF">
        <w:t>Proces wytwarzania produktu końcowego skupia się na łączeniu elementów otrzymywanych od dostawców, przez co praktycznie nie powstają odpady. Ponadto, jak podkreśla firma, maszyny i urządzenia u dostawców są bardziej efektywnie wykorzystane niż w przypadku posiadania własnego parku maszynowego.</w:t>
      </w:r>
    </w:p>
    <w:p w14:paraId="0F88A3FE" w14:textId="77777777" w:rsidR="00F73846" w:rsidRPr="003478AF" w:rsidRDefault="00F73846" w:rsidP="00F73846">
      <w:pPr>
        <w:pStyle w:val="Tekstpodstawowyzwciciem"/>
      </w:pPr>
      <w:r w:rsidRPr="003478AF">
        <w:lastRenderedPageBreak/>
        <w:t>Podmiot gospodarczy większość urządzeń swojej produkcji sprzedaje on-line, poza terenem województwa wielkopolskiego (wagowo 1,75 ton /rok), a na terenie regionu 0,75 ton/rok.</w:t>
      </w:r>
    </w:p>
    <w:p w14:paraId="22D12716" w14:textId="77777777" w:rsidR="00F73846" w:rsidRPr="003478AF" w:rsidRDefault="00F73846" w:rsidP="00F73846">
      <w:pPr>
        <w:pStyle w:val="Tekstpodstawowyzwciciem"/>
      </w:pPr>
      <w:r w:rsidRPr="003478AF">
        <w:t xml:space="preserve">Przedsiębiorstwo poszukuje wsparcia doradczego w zakresie GOZ oraz w formie niskobudżetowych grantów na opracowanie innowacyjnych projektów. </w:t>
      </w:r>
    </w:p>
    <w:p w14:paraId="337585D7" w14:textId="77777777" w:rsidR="008C5B9F" w:rsidRPr="003478AF" w:rsidRDefault="008C5B9F" w:rsidP="00B6170F">
      <w:pPr>
        <w:pStyle w:val="Tekstpodstawowyzwciciem"/>
      </w:pPr>
    </w:p>
    <w:p w14:paraId="67C1848F" w14:textId="1D0042C0" w:rsidR="003F79B6" w:rsidRPr="003478AF" w:rsidRDefault="00B6170F" w:rsidP="00986D40">
      <w:pPr>
        <w:pStyle w:val="ARYCINA"/>
      </w:pPr>
      <w:r w:rsidRPr="003478AF">
        <w:t xml:space="preserve">Ryc. </w:t>
      </w:r>
      <w:r w:rsidR="00915A76" w:rsidRPr="003478AF">
        <w:t xml:space="preserve">5.11 </w:t>
      </w:r>
      <w:r w:rsidRPr="003478AF">
        <w:t xml:space="preserve">Łańcuch wartości dla firmy z branży energetycznej – maszyny </w:t>
      </w:r>
      <w:r w:rsidR="00363517" w:rsidRPr="003478AF">
        <w:t>zasilane wodorem</w:t>
      </w:r>
      <w:r w:rsidR="00C7423C" w:rsidRPr="003478AF">
        <w:t xml:space="preserve"> </w:t>
      </w:r>
      <w:r w:rsidR="000020A2" w:rsidRPr="003478AF">
        <w:br/>
      </w:r>
      <w:r w:rsidR="00C7423C" w:rsidRPr="003478AF">
        <w:t>w województwie wielkopolskim</w:t>
      </w:r>
    </w:p>
    <w:p w14:paraId="31F306A8" w14:textId="320A0414" w:rsidR="00A91D26" w:rsidRPr="003478AF" w:rsidRDefault="00A91D26" w:rsidP="00986D40">
      <w:pPr>
        <w:pStyle w:val="ARYCINA"/>
      </w:pPr>
      <w:r w:rsidRPr="003478AF">
        <w:rPr>
          <w:noProof/>
          <w:lang w:eastAsia="pl-PL"/>
        </w:rPr>
        <w:drawing>
          <wp:inline distT="0" distB="0" distL="0" distR="0" wp14:anchorId="454B32BB" wp14:editId="789E99B7">
            <wp:extent cx="5255895" cy="3280382"/>
            <wp:effectExtent l="0" t="0" r="0" b="0"/>
            <wp:docPr id="29" name="Obraz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5255895" cy="3280382"/>
                    </a:xfrm>
                    <a:prstGeom prst="rect">
                      <a:avLst/>
                    </a:prstGeom>
                    <a:noFill/>
                  </pic:spPr>
                </pic:pic>
              </a:graphicData>
            </a:graphic>
          </wp:inline>
        </w:drawing>
      </w:r>
    </w:p>
    <w:p w14:paraId="24C769C3" w14:textId="570BF3B7" w:rsidR="00E35016" w:rsidRPr="003478AF" w:rsidRDefault="00E35016" w:rsidP="00986D40">
      <w:pPr>
        <w:pStyle w:val="AZRODLO"/>
      </w:pPr>
      <w:r w:rsidRPr="003478AF">
        <w:t>Źródło: Opracowanie własne</w:t>
      </w:r>
    </w:p>
    <w:p w14:paraId="27FCB563" w14:textId="77777777" w:rsidR="00E35016" w:rsidRPr="003478AF" w:rsidRDefault="00E35016" w:rsidP="00B6170F">
      <w:pPr>
        <w:pStyle w:val="Tekstpodstawowyzwciciem"/>
      </w:pPr>
    </w:p>
    <w:p w14:paraId="7BE61E47" w14:textId="761523E5" w:rsidR="00B6170F" w:rsidRPr="003478AF" w:rsidRDefault="00B6170F" w:rsidP="00B6170F">
      <w:pPr>
        <w:pStyle w:val="Tekstpodstawowyzwciciem"/>
      </w:pPr>
      <w:r w:rsidRPr="003478AF">
        <w:t xml:space="preserve">Drugim przykładem jest firma z branży przetwórstwa odpadów. Na podstawie informacji udzielonej przez </w:t>
      </w:r>
      <w:r w:rsidR="008C5B9F" w:rsidRPr="003478AF">
        <w:t xml:space="preserve">jej przedstawicieli </w:t>
      </w:r>
      <w:r w:rsidRPr="003478AF">
        <w:t>sporządzono łańcuch przepływów materiałowo</w:t>
      </w:r>
      <w:r w:rsidR="00324DB1" w:rsidRPr="003478AF">
        <w:t>-</w:t>
      </w:r>
      <w:r w:rsidRPr="003478AF">
        <w:t xml:space="preserve">surowcowych. Wyniki zamieszczono na </w:t>
      </w:r>
      <w:r w:rsidR="00381971" w:rsidRPr="003478AF">
        <w:t>ryc.</w:t>
      </w:r>
      <w:r w:rsidRPr="003478AF">
        <w:t xml:space="preserve"> </w:t>
      </w:r>
      <w:r w:rsidR="003474E1" w:rsidRPr="003478AF">
        <w:t>5</w:t>
      </w:r>
      <w:r w:rsidRPr="003478AF">
        <w:t>.</w:t>
      </w:r>
      <w:r w:rsidR="003474E1" w:rsidRPr="003478AF">
        <w:t>12</w:t>
      </w:r>
      <w:r w:rsidRPr="003478AF">
        <w:t xml:space="preserve">. </w:t>
      </w:r>
    </w:p>
    <w:p w14:paraId="14AD1C5E" w14:textId="240F034D" w:rsidR="00F73846" w:rsidRPr="003478AF" w:rsidRDefault="00F73846" w:rsidP="00F73846">
      <w:pPr>
        <w:pStyle w:val="Tekstpodstawowyzwciciem"/>
      </w:pPr>
      <w:r w:rsidRPr="003478AF">
        <w:t xml:space="preserve">Analizowana firma przetwarza zużyte lub przeznaczone jako odpad tworzywa sztuczne. Do procesu przetwórczego tworzywa są transportowane głównie spoza terenu województwa wielkopolskiego (4,8 tys. tony/rok). Z tego regionu pochodzi około 1,2 tys. tony/rok tworzyw sztucznych. W procesie przetworzenia z sumy 6 tys. ton/rok substratów wyprodukowanych zostaje 5,88 tys. ton/rok przetworzonych tworzyw sztucznych (efektywność procesu około 98%). Tworzywa te stanowią substrat produkcyjny dla wielu przedsiębiorstw, jednak </w:t>
      </w:r>
      <w:r w:rsidR="001B0CB3" w:rsidRPr="003478AF">
        <w:br/>
      </w:r>
      <w:r w:rsidRPr="003478AF">
        <w:t>w większości zlokalizowanych poza terenem Wielkopolski (wagowo 5 tys. ton/rok). Na teren regionu trafia około 15% liczonej wagowo produkcji oraz całość odpadów z produkcji przetworzonych tworzyw sztucznych, tj. 120 ton/rok.</w:t>
      </w:r>
    </w:p>
    <w:p w14:paraId="1300148D" w14:textId="77777777" w:rsidR="000244F6" w:rsidRPr="003478AF" w:rsidRDefault="000244F6" w:rsidP="00B6170F">
      <w:pPr>
        <w:pStyle w:val="Tekstpodstawowyzwciciem"/>
      </w:pPr>
    </w:p>
    <w:p w14:paraId="0E5EE02A" w14:textId="77777777" w:rsidR="00F73846" w:rsidRPr="003478AF" w:rsidRDefault="00F73846">
      <w:pPr>
        <w:spacing w:line="240" w:lineRule="auto"/>
        <w:ind w:firstLine="0"/>
        <w:jc w:val="left"/>
        <w:rPr>
          <w:rFonts w:eastAsia="Arial" w:cs="Arial"/>
          <w:b/>
          <w:bCs/>
          <w:sz w:val="16"/>
          <w:szCs w:val="16"/>
        </w:rPr>
      </w:pPr>
      <w:r w:rsidRPr="003478AF">
        <w:br w:type="page"/>
      </w:r>
    </w:p>
    <w:p w14:paraId="4DFD0126" w14:textId="6E214B9E" w:rsidR="00C7423C" w:rsidRPr="003478AF" w:rsidRDefault="00B6170F" w:rsidP="00986D40">
      <w:pPr>
        <w:pStyle w:val="ARYCINA"/>
      </w:pPr>
      <w:r w:rsidRPr="003478AF">
        <w:lastRenderedPageBreak/>
        <w:t xml:space="preserve">Ryc. </w:t>
      </w:r>
      <w:r w:rsidR="003474E1" w:rsidRPr="003478AF">
        <w:rPr>
          <w:noProof/>
        </w:rPr>
        <w:t>5</w:t>
      </w:r>
      <w:r w:rsidR="00006E72" w:rsidRPr="003478AF">
        <w:t>.</w:t>
      </w:r>
      <w:r w:rsidR="003474E1" w:rsidRPr="003478AF">
        <w:rPr>
          <w:noProof/>
        </w:rPr>
        <w:t>12</w:t>
      </w:r>
      <w:r w:rsidR="000B76DA" w:rsidRPr="003478AF">
        <w:t xml:space="preserve"> Łańcuch wartości dla firmy prowadzącej działalność w zakresie </w:t>
      </w:r>
      <w:r w:rsidRPr="003478AF">
        <w:t>przetwórstwa odpadów</w:t>
      </w:r>
      <w:r w:rsidR="00C7423C" w:rsidRPr="003478AF">
        <w:t xml:space="preserve"> </w:t>
      </w:r>
      <w:r w:rsidR="000B76DA" w:rsidRPr="003478AF">
        <w:br/>
      </w:r>
      <w:r w:rsidR="00C7423C" w:rsidRPr="003478AF">
        <w:t>w województwie wielkopolskim</w:t>
      </w:r>
    </w:p>
    <w:p w14:paraId="0219B576" w14:textId="28F0C4FE" w:rsidR="00B6170F" w:rsidRPr="003478AF" w:rsidRDefault="00A91D26" w:rsidP="001B0CB3">
      <w:pPr>
        <w:pStyle w:val="Tekstpodstawowyzwciciem"/>
        <w:ind w:firstLine="0"/>
        <w:jc w:val="center"/>
      </w:pPr>
      <w:r w:rsidRPr="003478AF">
        <w:rPr>
          <w:noProof/>
          <w:lang w:eastAsia="pl-PL"/>
        </w:rPr>
        <w:drawing>
          <wp:inline distT="0" distB="0" distL="0" distR="0" wp14:anchorId="5CCAAAF8" wp14:editId="36DDEE51">
            <wp:extent cx="5255895" cy="3169882"/>
            <wp:effectExtent l="0" t="0" r="0" b="0"/>
            <wp:docPr id="47" name="Obraz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5255895" cy="3169882"/>
                    </a:xfrm>
                    <a:prstGeom prst="rect">
                      <a:avLst/>
                    </a:prstGeom>
                    <a:noFill/>
                  </pic:spPr>
                </pic:pic>
              </a:graphicData>
            </a:graphic>
          </wp:inline>
        </w:drawing>
      </w:r>
    </w:p>
    <w:p w14:paraId="49F7EC90" w14:textId="2FBEF634" w:rsidR="00E35016" w:rsidRPr="003478AF" w:rsidRDefault="00E35016" w:rsidP="00986D40">
      <w:pPr>
        <w:pStyle w:val="AZRODLO"/>
      </w:pPr>
      <w:r w:rsidRPr="003478AF">
        <w:t>Źródło: Opracowanie własne</w:t>
      </w:r>
    </w:p>
    <w:p w14:paraId="268B52E5" w14:textId="77777777" w:rsidR="00E35016" w:rsidRPr="003478AF" w:rsidRDefault="00E35016" w:rsidP="00B6170F">
      <w:pPr>
        <w:pStyle w:val="Tekstpodstawowyzwciciem"/>
      </w:pPr>
      <w:bookmarkStart w:id="58" w:name="_Hlk76554904"/>
    </w:p>
    <w:p w14:paraId="72CD6BCE" w14:textId="7B5F807D" w:rsidR="00C977E8" w:rsidRPr="003478AF" w:rsidRDefault="00131D31" w:rsidP="003136E2">
      <w:pPr>
        <w:spacing w:line="240" w:lineRule="auto"/>
        <w:ind w:firstLine="0"/>
        <w:jc w:val="left"/>
      </w:pPr>
      <w:r w:rsidRPr="003478AF">
        <w:br w:type="page"/>
      </w:r>
      <w:bookmarkEnd w:id="58"/>
    </w:p>
    <w:p w14:paraId="19D14581" w14:textId="77777777" w:rsidR="003136E2" w:rsidRPr="003478AF" w:rsidRDefault="003136E2" w:rsidP="003136E2"/>
    <w:p w14:paraId="1B6E0DDF" w14:textId="5432DE79" w:rsidR="00421B03" w:rsidRPr="003478AF" w:rsidRDefault="00421B03">
      <w:pPr>
        <w:pStyle w:val="Nagwek1"/>
      </w:pPr>
      <w:bookmarkStart w:id="59" w:name="_Toc82160000"/>
      <w:r w:rsidRPr="003478AF">
        <w:t xml:space="preserve">Dobre praktyki realizacji GOZ przez przedsiębiorstwa </w:t>
      </w:r>
      <w:r w:rsidR="00131D31" w:rsidRPr="003478AF">
        <w:br/>
      </w:r>
      <w:r w:rsidRPr="003478AF">
        <w:t>funkcjonujące na terenie województwa wielkopolskiego</w:t>
      </w:r>
      <w:bookmarkEnd w:id="59"/>
    </w:p>
    <w:p w14:paraId="29C63E5A" w14:textId="77777777" w:rsidR="00B6170F" w:rsidRPr="003478AF" w:rsidRDefault="00B6170F" w:rsidP="00B6170F"/>
    <w:p w14:paraId="3552CBC0" w14:textId="3AED14CF" w:rsidR="00B6170F" w:rsidRPr="003478AF" w:rsidRDefault="00B6170F" w:rsidP="00B6170F">
      <w:r w:rsidRPr="003478AF">
        <w:t>W celu przygotowania dobrych praktyk realizacji GOZ</w:t>
      </w:r>
      <w:r w:rsidR="00054E6A" w:rsidRPr="003478AF">
        <w:rPr>
          <w:bCs/>
        </w:rPr>
        <w:t xml:space="preserve"> w województwie wielkopolskim </w:t>
      </w:r>
      <w:r w:rsidRPr="003478AF">
        <w:t>zidentyfikowano piętnaście przedsiębiorstw zróżnicowanych przestrzennie (</w:t>
      </w:r>
      <w:r w:rsidR="00381971" w:rsidRPr="003478AF">
        <w:t>ryc.</w:t>
      </w:r>
      <w:r w:rsidR="000244F6" w:rsidRPr="003478AF">
        <w:t xml:space="preserve"> </w:t>
      </w:r>
      <w:r w:rsidR="003474E1" w:rsidRPr="003478AF">
        <w:t>6</w:t>
      </w:r>
      <w:r w:rsidR="000244F6" w:rsidRPr="003478AF">
        <w:t>.1</w:t>
      </w:r>
      <w:r w:rsidRPr="003478AF">
        <w:t xml:space="preserve">) </w:t>
      </w:r>
      <w:r w:rsidR="001B0CB3" w:rsidRPr="003478AF">
        <w:br/>
      </w:r>
      <w:r w:rsidRPr="003478AF">
        <w:t>i branżowo (</w:t>
      </w:r>
      <w:r w:rsidR="00381971" w:rsidRPr="003478AF">
        <w:t>ryc.</w:t>
      </w:r>
      <w:r w:rsidR="000244F6" w:rsidRPr="003478AF">
        <w:t xml:space="preserve"> </w:t>
      </w:r>
      <w:r w:rsidR="003474E1" w:rsidRPr="003478AF">
        <w:t>6</w:t>
      </w:r>
      <w:r w:rsidR="000244F6" w:rsidRPr="003478AF">
        <w:t xml:space="preserve">.2 i </w:t>
      </w:r>
      <w:r w:rsidR="003474E1" w:rsidRPr="003478AF">
        <w:t>6</w:t>
      </w:r>
      <w:r w:rsidR="000244F6" w:rsidRPr="003478AF">
        <w:t>.3)</w:t>
      </w:r>
      <w:r w:rsidRPr="003478AF">
        <w:t>. W ponad 50% były to małe firmy, kolejne to: mikro</w:t>
      </w:r>
      <w:r w:rsidR="00C259AE" w:rsidRPr="003478AF">
        <w:t>-</w:t>
      </w:r>
      <w:r w:rsidRPr="003478AF">
        <w:t xml:space="preserve"> (23,1%), średnie (15,4%) i duże przedsiębiorstwa (7,7%). Wszystkie z nich prowadzą swoją działalność powyżej </w:t>
      </w:r>
      <w:r w:rsidR="00C259AE" w:rsidRPr="003478AF">
        <w:t>pięciu</w:t>
      </w:r>
      <w:r w:rsidRPr="003478AF">
        <w:t xml:space="preserve"> lat.</w:t>
      </w:r>
      <w:r w:rsidR="00541421" w:rsidRPr="003478AF">
        <w:t xml:space="preserve"> Działają one w branżach: przemysł spożywczy, przetwórstwo przemysłowe, rolnictwo, produkcja mebli, produkcja instalacji wodorowych, energetyka/ciepłownictwo, gospodarka komunalna, recykling, produkcja, tworzywa sztuczne i ekomobilność.</w:t>
      </w:r>
    </w:p>
    <w:p w14:paraId="2A582036" w14:textId="77777777" w:rsidR="00B6170F" w:rsidRPr="003478AF" w:rsidRDefault="00B6170F" w:rsidP="00B6170F"/>
    <w:p w14:paraId="0E7831A3" w14:textId="2DFDC301" w:rsidR="000244F6" w:rsidRPr="003478AF" w:rsidRDefault="000244F6" w:rsidP="00986D40">
      <w:pPr>
        <w:pStyle w:val="ARYCINA"/>
      </w:pPr>
      <w:r w:rsidRPr="003478AF">
        <w:t xml:space="preserve">Ryc. </w:t>
      </w:r>
      <w:r w:rsidR="003474E1" w:rsidRPr="003478AF">
        <w:rPr>
          <w:noProof/>
        </w:rPr>
        <w:t>6</w:t>
      </w:r>
      <w:r w:rsidR="00006E72" w:rsidRPr="003478AF">
        <w:t>.</w:t>
      </w:r>
      <w:r w:rsidR="00A233A0" w:rsidRPr="003478AF">
        <w:rPr>
          <w:noProof/>
        </w:rPr>
        <w:fldChar w:fldCharType="begin"/>
      </w:r>
      <w:r w:rsidR="00A233A0" w:rsidRPr="003478AF">
        <w:rPr>
          <w:noProof/>
        </w:rPr>
        <w:instrText xml:space="preserve"> SEQ Ryc. \* ARABIC \s 1 </w:instrText>
      </w:r>
      <w:r w:rsidR="00A233A0" w:rsidRPr="003478AF">
        <w:rPr>
          <w:noProof/>
        </w:rPr>
        <w:fldChar w:fldCharType="separate"/>
      </w:r>
      <w:r w:rsidR="007B1066">
        <w:rPr>
          <w:noProof/>
        </w:rPr>
        <w:t>1</w:t>
      </w:r>
      <w:r w:rsidR="00A233A0" w:rsidRPr="003478AF">
        <w:rPr>
          <w:noProof/>
        </w:rPr>
        <w:fldChar w:fldCharType="end"/>
      </w:r>
      <w:r w:rsidRPr="003478AF">
        <w:t xml:space="preserve"> Lokalizacja ankietowanych</w:t>
      </w:r>
      <w:r w:rsidR="00570700" w:rsidRPr="003478AF">
        <w:t xml:space="preserve"> </w:t>
      </w:r>
      <w:r w:rsidR="000B76DA" w:rsidRPr="003478AF">
        <w:t xml:space="preserve">przedsiębiorstw na terenie </w:t>
      </w:r>
      <w:r w:rsidR="00570700" w:rsidRPr="003478AF">
        <w:t>województw</w:t>
      </w:r>
      <w:r w:rsidR="000B76DA" w:rsidRPr="003478AF">
        <w:t>a wielkopolskiego</w:t>
      </w:r>
    </w:p>
    <w:p w14:paraId="445F6269" w14:textId="4E53A210" w:rsidR="00B6170F" w:rsidRPr="003478AF" w:rsidRDefault="001D3CAF" w:rsidP="000244F6">
      <w:pPr>
        <w:ind w:firstLine="0"/>
        <w:jc w:val="center"/>
      </w:pPr>
      <w:r w:rsidRPr="003478AF">
        <w:rPr>
          <w:noProof/>
          <w:lang w:eastAsia="pl-PL"/>
        </w:rPr>
        <w:drawing>
          <wp:inline distT="0" distB="0" distL="0" distR="0" wp14:anchorId="797D221E" wp14:editId="36C16BE5">
            <wp:extent cx="3613708" cy="3958884"/>
            <wp:effectExtent l="0" t="0" r="6350" b="3810"/>
            <wp:docPr id="112" name="Obraz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1"/>
                    <a:srcRect l="6821" t="9506" r="2712" b="2591"/>
                    <a:stretch/>
                  </pic:blipFill>
                  <pic:spPr bwMode="auto">
                    <a:xfrm>
                      <a:off x="0" y="0"/>
                      <a:ext cx="3617534" cy="3963075"/>
                    </a:xfrm>
                    <a:prstGeom prst="rect">
                      <a:avLst/>
                    </a:prstGeom>
                    <a:ln>
                      <a:noFill/>
                    </a:ln>
                    <a:extLst>
                      <a:ext uri="{53640926-AAD7-44D8-BBD7-CCE9431645EC}">
                        <a14:shadowObscured xmlns:a14="http://schemas.microsoft.com/office/drawing/2010/main"/>
                      </a:ext>
                    </a:extLst>
                  </pic:spPr>
                </pic:pic>
              </a:graphicData>
            </a:graphic>
          </wp:inline>
        </w:drawing>
      </w:r>
    </w:p>
    <w:p w14:paraId="1A4F31EF" w14:textId="2DE3D655" w:rsidR="00B6170F" w:rsidRPr="003478AF" w:rsidRDefault="00B6170F" w:rsidP="00986D40">
      <w:pPr>
        <w:pStyle w:val="AZRODLO"/>
      </w:pPr>
      <w:r w:rsidRPr="003478AF">
        <w:t>Źródło: Opracowanie własne</w:t>
      </w:r>
    </w:p>
    <w:p w14:paraId="6B3B64DB" w14:textId="77777777" w:rsidR="00B6170F" w:rsidRPr="003478AF" w:rsidRDefault="00B6170F" w:rsidP="00B6170F"/>
    <w:p w14:paraId="54624DEB" w14:textId="77777777" w:rsidR="00B518C8" w:rsidRPr="003478AF" w:rsidRDefault="00B518C8">
      <w:pPr>
        <w:spacing w:line="240" w:lineRule="auto"/>
        <w:ind w:firstLine="0"/>
        <w:jc w:val="left"/>
        <w:rPr>
          <w:rFonts w:eastAsia="Arial" w:cs="Arial"/>
          <w:b/>
          <w:bCs/>
          <w:sz w:val="16"/>
          <w:szCs w:val="16"/>
        </w:rPr>
      </w:pPr>
      <w:r w:rsidRPr="003478AF">
        <w:br w:type="page"/>
      </w:r>
    </w:p>
    <w:p w14:paraId="0FB9FBC0" w14:textId="5998A30B" w:rsidR="003F79B6" w:rsidRPr="003478AF" w:rsidRDefault="000244F6" w:rsidP="00986D40">
      <w:pPr>
        <w:pStyle w:val="ARYCINA"/>
      </w:pPr>
      <w:r w:rsidRPr="003478AF">
        <w:lastRenderedPageBreak/>
        <w:t xml:space="preserve">Ryc. </w:t>
      </w:r>
      <w:r w:rsidR="003474E1" w:rsidRPr="003478AF">
        <w:rPr>
          <w:noProof/>
        </w:rPr>
        <w:t>6</w:t>
      </w:r>
      <w:r w:rsidR="00006E72" w:rsidRPr="003478AF">
        <w:t>.</w:t>
      </w:r>
      <w:r w:rsidR="00A233A0" w:rsidRPr="003478AF">
        <w:rPr>
          <w:noProof/>
        </w:rPr>
        <w:fldChar w:fldCharType="begin"/>
      </w:r>
      <w:r w:rsidR="00A233A0" w:rsidRPr="003478AF">
        <w:rPr>
          <w:noProof/>
        </w:rPr>
        <w:instrText xml:space="preserve"> SEQ Ryc. \* ARABIC \s 1 </w:instrText>
      </w:r>
      <w:r w:rsidR="00A233A0" w:rsidRPr="003478AF">
        <w:rPr>
          <w:noProof/>
        </w:rPr>
        <w:fldChar w:fldCharType="separate"/>
      </w:r>
      <w:r w:rsidR="007B1066">
        <w:rPr>
          <w:noProof/>
        </w:rPr>
        <w:t>2</w:t>
      </w:r>
      <w:r w:rsidR="00A233A0" w:rsidRPr="003478AF">
        <w:rPr>
          <w:noProof/>
        </w:rPr>
        <w:fldChar w:fldCharType="end"/>
      </w:r>
      <w:r w:rsidRPr="003478AF">
        <w:t xml:space="preserve"> Wielkość </w:t>
      </w:r>
      <w:r w:rsidR="0053348D" w:rsidRPr="003478AF">
        <w:t xml:space="preserve">ankietowanych </w:t>
      </w:r>
      <w:r w:rsidR="000B76DA" w:rsidRPr="003478AF">
        <w:t>przedsiębiorstw</w:t>
      </w:r>
      <w:r w:rsidR="00570700" w:rsidRPr="003478AF">
        <w:t xml:space="preserve"> w województwie wielkopolskim</w:t>
      </w:r>
    </w:p>
    <w:p w14:paraId="609906E4" w14:textId="43295FB4" w:rsidR="00B6170F" w:rsidRPr="003478AF" w:rsidRDefault="00C84A5E" w:rsidP="00986D40">
      <w:pPr>
        <w:pStyle w:val="ARYCINA"/>
      </w:pPr>
      <w:r w:rsidRPr="003478AF">
        <w:rPr>
          <w:noProof/>
          <w:lang w:eastAsia="pl-PL"/>
        </w:rPr>
        <w:drawing>
          <wp:inline distT="0" distB="0" distL="0" distR="0" wp14:anchorId="56E5FE57" wp14:editId="62EB3E6C">
            <wp:extent cx="3555392" cy="2772000"/>
            <wp:effectExtent l="0" t="0" r="6985" b="9525"/>
            <wp:docPr id="32" name="Obraz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3555392" cy="2772000"/>
                    </a:xfrm>
                    <a:prstGeom prst="rect">
                      <a:avLst/>
                    </a:prstGeom>
                    <a:noFill/>
                  </pic:spPr>
                </pic:pic>
              </a:graphicData>
            </a:graphic>
          </wp:inline>
        </w:drawing>
      </w:r>
    </w:p>
    <w:p w14:paraId="69AA30DE" w14:textId="2625EDB1" w:rsidR="00B6170F" w:rsidRPr="003478AF" w:rsidRDefault="00B6170F" w:rsidP="00986D40">
      <w:pPr>
        <w:pStyle w:val="AZRODLO"/>
      </w:pPr>
      <w:r w:rsidRPr="003478AF">
        <w:t>Źródło: Opracowanie własne</w:t>
      </w:r>
    </w:p>
    <w:p w14:paraId="3EC62B8F" w14:textId="77777777" w:rsidR="00B6170F" w:rsidRPr="003478AF" w:rsidRDefault="00B6170F" w:rsidP="00B6170F"/>
    <w:p w14:paraId="5381E763" w14:textId="24203711" w:rsidR="00B6170F" w:rsidRPr="003478AF" w:rsidRDefault="00B6170F" w:rsidP="00B6170F">
      <w:r w:rsidRPr="003478AF">
        <w:t xml:space="preserve">Większość badanych podmiotów prowadzi swoją działalność zgodnie z GOZ (61,5%). Kolejna grupa posiada już strategię lub inny dokument, w którym wpisano elementy </w:t>
      </w:r>
      <w:r w:rsidR="00C1112C" w:rsidRPr="003478AF">
        <w:t xml:space="preserve">gospodarki </w:t>
      </w:r>
      <w:r w:rsidRPr="003478AF">
        <w:t>o obiegu zamkniętym.</w:t>
      </w:r>
    </w:p>
    <w:p w14:paraId="3996A405" w14:textId="77777777" w:rsidR="00B6170F" w:rsidRPr="003478AF" w:rsidRDefault="00B6170F" w:rsidP="00B6170F"/>
    <w:p w14:paraId="40DEEABA" w14:textId="5105277E" w:rsidR="0053348D" w:rsidRPr="003478AF" w:rsidRDefault="000244F6" w:rsidP="00986D40">
      <w:pPr>
        <w:pStyle w:val="ARYCINA"/>
      </w:pPr>
      <w:r w:rsidRPr="003478AF">
        <w:t xml:space="preserve">Ryc. </w:t>
      </w:r>
      <w:r w:rsidR="003474E1" w:rsidRPr="003478AF">
        <w:rPr>
          <w:noProof/>
        </w:rPr>
        <w:t>6</w:t>
      </w:r>
      <w:r w:rsidR="00006E72" w:rsidRPr="003478AF">
        <w:t>.</w:t>
      </w:r>
      <w:r w:rsidR="003474E1" w:rsidRPr="003478AF">
        <w:rPr>
          <w:noProof/>
        </w:rPr>
        <w:t>3</w:t>
      </w:r>
      <w:r w:rsidRPr="003478AF">
        <w:t xml:space="preserve"> </w:t>
      </w:r>
      <w:r w:rsidR="000B76DA" w:rsidRPr="003478AF">
        <w:t>Odsetek</w:t>
      </w:r>
      <w:r w:rsidRPr="003478AF">
        <w:t xml:space="preserve"> </w:t>
      </w:r>
      <w:r w:rsidR="000B76DA" w:rsidRPr="003478AF">
        <w:t>przedsiębiorstw</w:t>
      </w:r>
      <w:r w:rsidRPr="003478AF">
        <w:t xml:space="preserve"> posiadających strategię działań w zakresie GOZ</w:t>
      </w:r>
      <w:r w:rsidR="00570700" w:rsidRPr="003478AF">
        <w:t xml:space="preserve"> </w:t>
      </w:r>
      <w:r w:rsidR="000B76DA" w:rsidRPr="003478AF">
        <w:br/>
      </w:r>
      <w:r w:rsidR="00570700" w:rsidRPr="003478AF">
        <w:t>w województwie wielkopolskim</w:t>
      </w:r>
    </w:p>
    <w:p w14:paraId="631F3299" w14:textId="435DAC48" w:rsidR="00B6170F" w:rsidRPr="003478AF" w:rsidRDefault="00C84A5E" w:rsidP="00986D40">
      <w:pPr>
        <w:pStyle w:val="ARYCINA"/>
      </w:pPr>
      <w:r w:rsidRPr="003478AF">
        <w:rPr>
          <w:noProof/>
          <w:lang w:eastAsia="pl-PL"/>
        </w:rPr>
        <w:drawing>
          <wp:inline distT="0" distB="0" distL="0" distR="0" wp14:anchorId="03B3435D" wp14:editId="3C520BB3">
            <wp:extent cx="3002464" cy="2592000"/>
            <wp:effectExtent l="19050" t="19050" r="26670" b="18415"/>
            <wp:docPr id="31" name="Obraz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3002464" cy="2592000"/>
                    </a:xfrm>
                    <a:prstGeom prst="rect">
                      <a:avLst/>
                    </a:prstGeom>
                    <a:noFill/>
                    <a:ln>
                      <a:solidFill>
                        <a:schemeClr val="bg2"/>
                      </a:solidFill>
                    </a:ln>
                  </pic:spPr>
                </pic:pic>
              </a:graphicData>
            </a:graphic>
          </wp:inline>
        </w:drawing>
      </w:r>
    </w:p>
    <w:p w14:paraId="2C760FE2" w14:textId="77777777" w:rsidR="00ED3EC3" w:rsidRPr="003478AF" w:rsidRDefault="00ED3EC3" w:rsidP="00986D40">
      <w:pPr>
        <w:pStyle w:val="AZRODLO"/>
      </w:pPr>
    </w:p>
    <w:p w14:paraId="3EE50F2B" w14:textId="13441B16" w:rsidR="00B6170F" w:rsidRPr="003478AF" w:rsidRDefault="00B6170F" w:rsidP="00986D40">
      <w:pPr>
        <w:pStyle w:val="AZRODLO"/>
      </w:pPr>
      <w:r w:rsidRPr="003478AF">
        <w:t>Źródło: Opracowanie własne</w:t>
      </w:r>
    </w:p>
    <w:p w14:paraId="382C1568" w14:textId="77777777" w:rsidR="0053348D" w:rsidRPr="003478AF" w:rsidRDefault="0053348D" w:rsidP="00B6170F"/>
    <w:p w14:paraId="044C2D5B" w14:textId="77777777" w:rsidR="006637B6" w:rsidRPr="003478AF" w:rsidRDefault="006637B6">
      <w:pPr>
        <w:spacing w:line="240" w:lineRule="auto"/>
        <w:ind w:firstLine="0"/>
        <w:jc w:val="left"/>
        <w:rPr>
          <w:rFonts w:cs="Arial"/>
          <w:szCs w:val="20"/>
        </w:rPr>
      </w:pPr>
      <w:bookmarkStart w:id="60" w:name="_Hlk75910576"/>
      <w:r w:rsidRPr="003478AF">
        <w:rPr>
          <w:rFonts w:cs="Arial"/>
          <w:szCs w:val="20"/>
        </w:rPr>
        <w:br w:type="page"/>
      </w:r>
    </w:p>
    <w:p w14:paraId="6F50CAE6" w14:textId="438FF238" w:rsidR="00CA2861" w:rsidRPr="003478AF" w:rsidRDefault="00B6170F" w:rsidP="00FB0263">
      <w:pPr>
        <w:pStyle w:val="NormalnyWeb"/>
        <w:rPr>
          <w:rFonts w:ascii="Arial" w:hAnsi="Arial" w:cs="Arial"/>
          <w:sz w:val="20"/>
          <w:szCs w:val="20"/>
        </w:rPr>
      </w:pPr>
      <w:r w:rsidRPr="003478AF">
        <w:rPr>
          <w:rFonts w:ascii="Arial" w:hAnsi="Arial" w:cs="Arial"/>
          <w:sz w:val="20"/>
          <w:szCs w:val="20"/>
        </w:rPr>
        <w:lastRenderedPageBreak/>
        <w:t xml:space="preserve">Transformacja firm w kierunku GOZ wymagała od </w:t>
      </w:r>
      <w:r w:rsidR="00CA2861" w:rsidRPr="003478AF">
        <w:rPr>
          <w:rFonts w:ascii="Arial" w:hAnsi="Arial" w:cs="Arial"/>
          <w:sz w:val="20"/>
          <w:szCs w:val="20"/>
        </w:rPr>
        <w:t>przedsiębiorstw</w:t>
      </w:r>
      <w:r w:rsidRPr="003478AF">
        <w:rPr>
          <w:rFonts w:ascii="Arial" w:hAnsi="Arial" w:cs="Arial"/>
          <w:sz w:val="20"/>
          <w:szCs w:val="20"/>
        </w:rPr>
        <w:t xml:space="preserve"> przede wszystkim innowacyjnych działań (34,6%) lub innowacyjnych usług (26,9%) i produktów (19,2%), a także nakładów na działalność B+R (15,4%, </w:t>
      </w:r>
      <w:r w:rsidR="00381971" w:rsidRPr="003478AF">
        <w:rPr>
          <w:rFonts w:ascii="Arial" w:hAnsi="Arial" w:cs="Arial"/>
          <w:sz w:val="20"/>
          <w:szCs w:val="20"/>
        </w:rPr>
        <w:t>ryc.</w:t>
      </w:r>
      <w:r w:rsidR="00772D3A" w:rsidRPr="003478AF">
        <w:rPr>
          <w:rFonts w:ascii="Arial" w:hAnsi="Arial" w:cs="Arial"/>
          <w:sz w:val="20"/>
          <w:szCs w:val="20"/>
        </w:rPr>
        <w:t xml:space="preserve"> </w:t>
      </w:r>
      <w:r w:rsidR="003474E1" w:rsidRPr="003478AF">
        <w:rPr>
          <w:rFonts w:ascii="Arial" w:hAnsi="Arial" w:cs="Arial"/>
          <w:sz w:val="20"/>
          <w:szCs w:val="20"/>
        </w:rPr>
        <w:t>6</w:t>
      </w:r>
      <w:r w:rsidR="00772D3A" w:rsidRPr="003478AF">
        <w:rPr>
          <w:rFonts w:ascii="Arial" w:hAnsi="Arial" w:cs="Arial"/>
          <w:sz w:val="20"/>
          <w:szCs w:val="20"/>
        </w:rPr>
        <w:t>.</w:t>
      </w:r>
      <w:r w:rsidR="003474E1" w:rsidRPr="003478AF">
        <w:rPr>
          <w:rFonts w:ascii="Arial" w:hAnsi="Arial" w:cs="Arial"/>
          <w:sz w:val="20"/>
          <w:szCs w:val="20"/>
        </w:rPr>
        <w:t>4</w:t>
      </w:r>
      <w:r w:rsidRPr="003478AF">
        <w:rPr>
          <w:rFonts w:ascii="Arial" w:hAnsi="Arial" w:cs="Arial"/>
          <w:sz w:val="20"/>
          <w:szCs w:val="20"/>
        </w:rPr>
        <w:t xml:space="preserve">). </w:t>
      </w:r>
      <w:bookmarkEnd w:id="60"/>
      <w:r w:rsidRPr="003478AF">
        <w:rPr>
          <w:rFonts w:ascii="Arial" w:hAnsi="Arial" w:cs="Arial"/>
          <w:sz w:val="20"/>
          <w:szCs w:val="20"/>
        </w:rPr>
        <w:t xml:space="preserve">Dokonywały one różnych zmian w okresie ostatnich pięciu lat. Były to przede wszystkim: wprowadzenie nowego lub usprawnienie obecnego procesu technologicznego </w:t>
      </w:r>
      <w:r w:rsidR="00A85042" w:rsidRPr="003478AF">
        <w:rPr>
          <w:rFonts w:ascii="Arial" w:hAnsi="Arial" w:cs="Arial"/>
          <w:sz w:val="20"/>
          <w:szCs w:val="20"/>
        </w:rPr>
        <w:t>lub</w:t>
      </w:r>
      <w:r w:rsidRPr="003478AF">
        <w:rPr>
          <w:rFonts w:ascii="Arial" w:hAnsi="Arial" w:cs="Arial"/>
          <w:sz w:val="20"/>
          <w:szCs w:val="20"/>
        </w:rPr>
        <w:t xml:space="preserve"> procesu produkcyjnego (28,6</w:t>
      </w:r>
      <w:bookmarkStart w:id="61" w:name="_Hlk75910597"/>
      <w:r w:rsidRPr="003478AF">
        <w:rPr>
          <w:rFonts w:ascii="Arial" w:hAnsi="Arial" w:cs="Arial"/>
          <w:sz w:val="20"/>
          <w:szCs w:val="20"/>
        </w:rPr>
        <w:t xml:space="preserve">%). W uzyskiwaniu przewagi konkurencyjnej pomocne było także stopniowe wprowadzanie nowych usług/produktów, zatrudnienie czy też zaangażowanie wysoko wyspecjalizowanej kadry </w:t>
      </w:r>
      <w:r w:rsidR="00CA2861" w:rsidRPr="003478AF">
        <w:rPr>
          <w:rFonts w:ascii="Arial" w:hAnsi="Arial" w:cs="Arial"/>
          <w:sz w:val="20"/>
          <w:szCs w:val="20"/>
        </w:rPr>
        <w:br/>
      </w:r>
      <w:r w:rsidRPr="003478AF">
        <w:rPr>
          <w:rFonts w:ascii="Arial" w:hAnsi="Arial" w:cs="Arial"/>
          <w:sz w:val="20"/>
          <w:szCs w:val="20"/>
        </w:rPr>
        <w:t>i automatyzacja procesu produkcyjnego (</w:t>
      </w:r>
      <w:r w:rsidR="00381971" w:rsidRPr="003478AF">
        <w:rPr>
          <w:rFonts w:ascii="Arial" w:hAnsi="Arial" w:cs="Arial"/>
          <w:sz w:val="20"/>
          <w:szCs w:val="20"/>
        </w:rPr>
        <w:t>ryc.</w:t>
      </w:r>
      <w:r w:rsidR="00772D3A" w:rsidRPr="003478AF">
        <w:rPr>
          <w:rFonts w:ascii="Arial" w:hAnsi="Arial" w:cs="Arial"/>
          <w:sz w:val="20"/>
          <w:szCs w:val="20"/>
        </w:rPr>
        <w:t xml:space="preserve"> </w:t>
      </w:r>
      <w:r w:rsidR="003474E1" w:rsidRPr="003478AF">
        <w:rPr>
          <w:rFonts w:ascii="Arial" w:hAnsi="Arial" w:cs="Arial"/>
          <w:sz w:val="20"/>
          <w:szCs w:val="20"/>
        </w:rPr>
        <w:t>6</w:t>
      </w:r>
      <w:r w:rsidR="00772D3A" w:rsidRPr="003478AF">
        <w:rPr>
          <w:rFonts w:ascii="Arial" w:hAnsi="Arial" w:cs="Arial"/>
          <w:sz w:val="20"/>
          <w:szCs w:val="20"/>
        </w:rPr>
        <w:t>.</w:t>
      </w:r>
      <w:r w:rsidR="003474E1" w:rsidRPr="003478AF">
        <w:rPr>
          <w:rFonts w:ascii="Arial" w:hAnsi="Arial" w:cs="Arial"/>
          <w:sz w:val="20"/>
          <w:szCs w:val="20"/>
        </w:rPr>
        <w:t>5</w:t>
      </w:r>
      <w:bookmarkEnd w:id="61"/>
      <w:r w:rsidRPr="003478AF">
        <w:rPr>
          <w:rFonts w:ascii="Arial" w:hAnsi="Arial" w:cs="Arial"/>
          <w:sz w:val="20"/>
          <w:szCs w:val="20"/>
        </w:rPr>
        <w:t>).</w:t>
      </w:r>
      <w:r w:rsidR="00FB0263" w:rsidRPr="003478AF">
        <w:rPr>
          <w:rFonts w:ascii="Arial" w:hAnsi="Arial" w:cs="Arial"/>
          <w:sz w:val="20"/>
          <w:szCs w:val="20"/>
        </w:rPr>
        <w:t xml:space="preserve"> </w:t>
      </w:r>
    </w:p>
    <w:p w14:paraId="4CBF7FB8" w14:textId="445641F1" w:rsidR="00FB0263" w:rsidRPr="003478AF" w:rsidRDefault="00FB0263" w:rsidP="00FB0263">
      <w:pPr>
        <w:pStyle w:val="NormalnyWeb"/>
        <w:rPr>
          <w:rFonts w:ascii="Arial" w:hAnsi="Arial" w:cs="Arial"/>
          <w:sz w:val="20"/>
          <w:szCs w:val="20"/>
        </w:rPr>
      </w:pPr>
      <w:r w:rsidRPr="003478AF">
        <w:rPr>
          <w:rFonts w:ascii="Arial" w:hAnsi="Arial" w:cs="Arial"/>
          <w:sz w:val="20"/>
          <w:szCs w:val="20"/>
        </w:rPr>
        <w:t>Tworzone nowe miejsca pracy często będą wymagały przeszkolenia pracowników lub zatrudnieni</w:t>
      </w:r>
      <w:r w:rsidR="00F97D7C" w:rsidRPr="003478AF">
        <w:rPr>
          <w:rFonts w:ascii="Arial" w:hAnsi="Arial" w:cs="Arial"/>
          <w:sz w:val="20"/>
          <w:szCs w:val="20"/>
        </w:rPr>
        <w:t>a</w:t>
      </w:r>
      <w:r w:rsidRPr="003478AF">
        <w:rPr>
          <w:rFonts w:ascii="Arial" w:hAnsi="Arial" w:cs="Arial"/>
          <w:sz w:val="20"/>
          <w:szCs w:val="20"/>
        </w:rPr>
        <w:t xml:space="preserve"> wyspecjalizowanej kadry. Według wyliczeń Ellen MacArthur Foundation </w:t>
      </w:r>
      <w:r w:rsidR="00CA2861" w:rsidRPr="003478AF">
        <w:rPr>
          <w:rFonts w:ascii="Arial" w:hAnsi="Arial" w:cs="Arial"/>
          <w:sz w:val="20"/>
          <w:szCs w:val="20"/>
        </w:rPr>
        <w:t>w</w:t>
      </w:r>
      <w:r w:rsidRPr="003478AF">
        <w:rPr>
          <w:rFonts w:ascii="Arial" w:hAnsi="Arial" w:cs="Arial"/>
          <w:sz w:val="20"/>
          <w:szCs w:val="20"/>
        </w:rPr>
        <w:t xml:space="preserve">prowadzenie </w:t>
      </w:r>
      <w:r w:rsidR="00F97D7C" w:rsidRPr="003478AF">
        <w:rPr>
          <w:rFonts w:ascii="Arial" w:hAnsi="Arial" w:cs="Arial"/>
          <w:sz w:val="20"/>
          <w:szCs w:val="20"/>
        </w:rPr>
        <w:t>GOZ</w:t>
      </w:r>
      <w:r w:rsidRPr="003478AF">
        <w:rPr>
          <w:rFonts w:ascii="Arial" w:hAnsi="Arial" w:cs="Arial"/>
          <w:sz w:val="20"/>
          <w:szCs w:val="20"/>
        </w:rPr>
        <w:t xml:space="preserve"> oznacza dla UE powstanie </w:t>
      </w:r>
      <w:r w:rsidR="00B00360" w:rsidRPr="003478AF">
        <w:rPr>
          <w:rFonts w:ascii="Arial" w:hAnsi="Arial" w:cs="Arial"/>
          <w:sz w:val="20"/>
          <w:szCs w:val="20"/>
        </w:rPr>
        <w:t>około</w:t>
      </w:r>
      <w:r w:rsidRPr="003478AF">
        <w:rPr>
          <w:rFonts w:ascii="Arial" w:hAnsi="Arial" w:cs="Arial"/>
          <w:sz w:val="20"/>
          <w:szCs w:val="20"/>
        </w:rPr>
        <w:t xml:space="preserve"> 580 tys. miejsc pracy. </w:t>
      </w:r>
      <w:r w:rsidR="00CA2861" w:rsidRPr="003478AF">
        <w:rPr>
          <w:rFonts w:ascii="Arial" w:hAnsi="Arial" w:cs="Arial"/>
          <w:sz w:val="20"/>
          <w:szCs w:val="20"/>
        </w:rPr>
        <w:t xml:space="preserve">Szacuje się, że </w:t>
      </w:r>
      <w:r w:rsidR="00342E5C" w:rsidRPr="003478AF">
        <w:rPr>
          <w:rFonts w:ascii="Arial" w:hAnsi="Arial" w:cs="Arial"/>
          <w:sz w:val="20"/>
          <w:szCs w:val="20"/>
        </w:rPr>
        <w:br/>
      </w:r>
      <w:r w:rsidR="00CA2861" w:rsidRPr="003478AF">
        <w:rPr>
          <w:rFonts w:ascii="Arial" w:hAnsi="Arial" w:cs="Arial"/>
          <w:sz w:val="20"/>
          <w:szCs w:val="20"/>
        </w:rPr>
        <w:t>w</w:t>
      </w:r>
      <w:r w:rsidRPr="003478AF">
        <w:rPr>
          <w:rFonts w:ascii="Arial" w:hAnsi="Arial" w:cs="Arial"/>
          <w:sz w:val="20"/>
          <w:szCs w:val="20"/>
        </w:rPr>
        <w:t xml:space="preserve"> Pols</w:t>
      </w:r>
      <w:r w:rsidR="00874507" w:rsidRPr="003478AF">
        <w:rPr>
          <w:rFonts w:ascii="Arial" w:hAnsi="Arial" w:cs="Arial"/>
          <w:sz w:val="20"/>
          <w:szCs w:val="20"/>
        </w:rPr>
        <w:t>ce</w:t>
      </w:r>
      <w:r w:rsidRPr="003478AF">
        <w:rPr>
          <w:rFonts w:ascii="Arial" w:hAnsi="Arial" w:cs="Arial"/>
          <w:sz w:val="20"/>
          <w:szCs w:val="20"/>
        </w:rPr>
        <w:t xml:space="preserve"> </w:t>
      </w:r>
      <w:r w:rsidR="00CA2861" w:rsidRPr="003478AF">
        <w:rPr>
          <w:rFonts w:ascii="Arial" w:hAnsi="Arial" w:cs="Arial"/>
          <w:sz w:val="20"/>
          <w:szCs w:val="20"/>
        </w:rPr>
        <w:t xml:space="preserve">powstanie ich </w:t>
      </w:r>
      <w:r w:rsidRPr="003478AF">
        <w:rPr>
          <w:rFonts w:ascii="Arial" w:hAnsi="Arial" w:cs="Arial"/>
          <w:sz w:val="20"/>
          <w:szCs w:val="20"/>
        </w:rPr>
        <w:t>74 tys.</w:t>
      </w:r>
      <w:r w:rsidR="00CA2861" w:rsidRPr="003478AF">
        <w:rPr>
          <w:rFonts w:ascii="Arial" w:hAnsi="Arial" w:cs="Arial"/>
          <w:sz w:val="20"/>
          <w:szCs w:val="20"/>
        </w:rPr>
        <w:t>, ale</w:t>
      </w:r>
      <w:r w:rsidRPr="003478AF">
        <w:rPr>
          <w:rFonts w:ascii="Arial" w:hAnsi="Arial" w:cs="Arial"/>
          <w:sz w:val="20"/>
          <w:szCs w:val="20"/>
        </w:rPr>
        <w:t xml:space="preserve"> należy </w:t>
      </w:r>
      <w:r w:rsidR="00CA2861" w:rsidRPr="003478AF">
        <w:rPr>
          <w:rFonts w:ascii="Arial" w:hAnsi="Arial" w:cs="Arial"/>
          <w:sz w:val="20"/>
          <w:szCs w:val="20"/>
        </w:rPr>
        <w:t xml:space="preserve">jeszcze </w:t>
      </w:r>
      <w:r w:rsidRPr="003478AF">
        <w:rPr>
          <w:rFonts w:ascii="Arial" w:hAnsi="Arial" w:cs="Arial"/>
          <w:sz w:val="20"/>
          <w:szCs w:val="20"/>
        </w:rPr>
        <w:t xml:space="preserve">dodać </w:t>
      </w:r>
      <w:r w:rsidR="00CA2861" w:rsidRPr="003478AF">
        <w:rPr>
          <w:rFonts w:ascii="Arial" w:hAnsi="Arial" w:cs="Arial"/>
          <w:sz w:val="20"/>
          <w:szCs w:val="20"/>
        </w:rPr>
        <w:t>miejsca pracy związane z</w:t>
      </w:r>
      <w:r w:rsidRPr="003478AF">
        <w:rPr>
          <w:rFonts w:ascii="Arial" w:hAnsi="Arial" w:cs="Arial"/>
          <w:sz w:val="20"/>
          <w:szCs w:val="20"/>
        </w:rPr>
        <w:t xml:space="preserve"> ochron</w:t>
      </w:r>
      <w:r w:rsidR="00CA2861" w:rsidRPr="003478AF">
        <w:rPr>
          <w:rFonts w:ascii="Arial" w:hAnsi="Arial" w:cs="Arial"/>
          <w:sz w:val="20"/>
          <w:szCs w:val="20"/>
        </w:rPr>
        <w:t>ą</w:t>
      </w:r>
      <w:r w:rsidRPr="003478AF">
        <w:rPr>
          <w:rFonts w:ascii="Arial" w:hAnsi="Arial" w:cs="Arial"/>
          <w:sz w:val="20"/>
          <w:szCs w:val="20"/>
        </w:rPr>
        <w:t xml:space="preserve"> środowiska czy energetyk</w:t>
      </w:r>
      <w:r w:rsidR="00CA2861" w:rsidRPr="003478AF">
        <w:rPr>
          <w:rFonts w:ascii="Arial" w:hAnsi="Arial" w:cs="Arial"/>
          <w:sz w:val="20"/>
          <w:szCs w:val="20"/>
        </w:rPr>
        <w:t>ą</w:t>
      </w:r>
      <w:r w:rsidRPr="003478AF">
        <w:rPr>
          <w:rFonts w:ascii="Arial" w:hAnsi="Arial" w:cs="Arial"/>
          <w:sz w:val="20"/>
          <w:szCs w:val="20"/>
        </w:rPr>
        <w:t xml:space="preserve"> </w:t>
      </w:r>
      <w:r w:rsidR="00CA2861" w:rsidRPr="003478AF">
        <w:rPr>
          <w:rFonts w:ascii="Arial" w:hAnsi="Arial" w:cs="Arial"/>
          <w:sz w:val="20"/>
          <w:szCs w:val="20"/>
        </w:rPr>
        <w:t xml:space="preserve">opartą na źródłach </w:t>
      </w:r>
      <w:r w:rsidRPr="003478AF">
        <w:rPr>
          <w:rFonts w:ascii="Arial" w:hAnsi="Arial" w:cs="Arial"/>
          <w:sz w:val="20"/>
          <w:szCs w:val="20"/>
        </w:rPr>
        <w:t>odnawialn</w:t>
      </w:r>
      <w:r w:rsidR="00CA2861" w:rsidRPr="003478AF">
        <w:rPr>
          <w:rFonts w:ascii="Arial" w:hAnsi="Arial" w:cs="Arial"/>
          <w:sz w:val="20"/>
          <w:szCs w:val="20"/>
        </w:rPr>
        <w:t>ych</w:t>
      </w:r>
      <w:r w:rsidR="00EE2E4C" w:rsidRPr="003478AF">
        <w:rPr>
          <w:rStyle w:val="Odwoanieprzypisudolnego"/>
          <w:rFonts w:ascii="Arial" w:hAnsi="Arial" w:cs="Arial"/>
          <w:sz w:val="20"/>
          <w:szCs w:val="20"/>
        </w:rPr>
        <w:footnoteReference w:id="130"/>
      </w:r>
      <w:r w:rsidRPr="003478AF">
        <w:rPr>
          <w:rFonts w:ascii="Arial" w:hAnsi="Arial" w:cs="Arial"/>
          <w:sz w:val="20"/>
          <w:szCs w:val="20"/>
        </w:rPr>
        <w:t>.</w:t>
      </w:r>
      <w:r w:rsidR="00874507" w:rsidRPr="003478AF">
        <w:rPr>
          <w:rFonts w:ascii="Arial" w:hAnsi="Arial" w:cs="Arial"/>
          <w:sz w:val="20"/>
          <w:szCs w:val="20"/>
        </w:rPr>
        <w:t xml:space="preserve"> Jest to duża szansa także dla Wielkopolski, zważywszy, iż badane firmy zgłaszały zatrudnienie jak czynnik decydujący </w:t>
      </w:r>
      <w:r w:rsidR="00342E5C" w:rsidRPr="003478AF">
        <w:rPr>
          <w:rFonts w:ascii="Arial" w:hAnsi="Arial" w:cs="Arial"/>
          <w:sz w:val="20"/>
          <w:szCs w:val="20"/>
        </w:rPr>
        <w:br/>
      </w:r>
      <w:r w:rsidR="00EE2E4C" w:rsidRPr="003478AF">
        <w:rPr>
          <w:rFonts w:ascii="Arial" w:hAnsi="Arial" w:cs="Arial"/>
          <w:sz w:val="20"/>
          <w:szCs w:val="20"/>
        </w:rPr>
        <w:t>o</w:t>
      </w:r>
      <w:r w:rsidR="00F97D7C" w:rsidRPr="003478AF">
        <w:rPr>
          <w:rFonts w:ascii="Arial" w:hAnsi="Arial" w:cs="Arial"/>
          <w:sz w:val="20"/>
          <w:szCs w:val="20"/>
        </w:rPr>
        <w:t xml:space="preserve"> </w:t>
      </w:r>
      <w:r w:rsidR="00874507" w:rsidRPr="003478AF">
        <w:rPr>
          <w:rFonts w:ascii="Arial" w:hAnsi="Arial" w:cs="Arial"/>
          <w:sz w:val="20"/>
          <w:szCs w:val="20"/>
        </w:rPr>
        <w:t>wprowadzaniu zmian w celu rozwoju GOZ. Barierą może się jednak okazać brak wykwalifikowanej kadry, a zatrudnienie specjalistów będzie się wiązało z wysokimi kosztami</w:t>
      </w:r>
      <w:r w:rsidR="00F97D7C" w:rsidRPr="003478AF">
        <w:rPr>
          <w:rFonts w:ascii="Arial" w:hAnsi="Arial" w:cs="Arial"/>
          <w:sz w:val="20"/>
          <w:szCs w:val="20"/>
        </w:rPr>
        <w:t>,</w:t>
      </w:r>
      <w:r w:rsidR="00874507" w:rsidRPr="003478AF">
        <w:rPr>
          <w:rFonts w:ascii="Arial" w:hAnsi="Arial" w:cs="Arial"/>
          <w:sz w:val="20"/>
          <w:szCs w:val="20"/>
        </w:rPr>
        <w:t xml:space="preserve"> </w:t>
      </w:r>
      <w:r w:rsidR="00EE2E4C" w:rsidRPr="003478AF">
        <w:rPr>
          <w:rFonts w:ascii="Arial" w:hAnsi="Arial" w:cs="Arial"/>
          <w:sz w:val="20"/>
          <w:szCs w:val="20"/>
        </w:rPr>
        <w:t>w</w:t>
      </w:r>
      <w:r w:rsidR="00F97D7C" w:rsidRPr="003478AF">
        <w:rPr>
          <w:rFonts w:ascii="Arial" w:hAnsi="Arial" w:cs="Arial"/>
          <w:sz w:val="20"/>
          <w:szCs w:val="20"/>
        </w:rPr>
        <w:t xml:space="preserve"> </w:t>
      </w:r>
      <w:r w:rsidR="00874507" w:rsidRPr="003478AF">
        <w:rPr>
          <w:rFonts w:ascii="Arial" w:hAnsi="Arial" w:cs="Arial"/>
          <w:sz w:val="20"/>
          <w:szCs w:val="20"/>
        </w:rPr>
        <w:t>szczególności dla mikro</w:t>
      </w:r>
      <w:r w:rsidR="00F97D7C" w:rsidRPr="003478AF">
        <w:rPr>
          <w:rFonts w:ascii="Arial" w:hAnsi="Arial" w:cs="Arial"/>
          <w:sz w:val="20"/>
          <w:szCs w:val="20"/>
        </w:rPr>
        <w:t>-</w:t>
      </w:r>
      <w:r w:rsidR="00874507" w:rsidRPr="003478AF">
        <w:rPr>
          <w:rFonts w:ascii="Arial" w:hAnsi="Arial" w:cs="Arial"/>
          <w:sz w:val="20"/>
          <w:szCs w:val="20"/>
        </w:rPr>
        <w:t xml:space="preserve"> i małych przedsiębiorstw.</w:t>
      </w:r>
      <w:r w:rsidR="00E5109D" w:rsidRPr="003478AF">
        <w:rPr>
          <w:rFonts w:ascii="Arial" w:hAnsi="Arial" w:cs="Arial"/>
          <w:sz w:val="20"/>
          <w:szCs w:val="20"/>
        </w:rPr>
        <w:t xml:space="preserve"> </w:t>
      </w:r>
    </w:p>
    <w:p w14:paraId="7C990D43" w14:textId="32340B00" w:rsidR="00B6170F" w:rsidRPr="003478AF" w:rsidRDefault="00874507" w:rsidP="00B6170F">
      <w:bookmarkStart w:id="62" w:name="_Hlk75910621"/>
      <w:r w:rsidRPr="003478AF">
        <w:t xml:space="preserve">W </w:t>
      </w:r>
      <w:r w:rsidR="00B6170F" w:rsidRPr="003478AF">
        <w:t xml:space="preserve">przyszłości (w okresie następnych 10 lat) inwestycje powinny dotyczyć: infrastruktury technologii produkcji oraz działalności badawczo-rozwojowej </w:t>
      </w:r>
      <w:r w:rsidR="00A85042" w:rsidRPr="003478AF">
        <w:t>lub</w:t>
      </w:r>
      <w:r w:rsidR="00B6170F" w:rsidRPr="003478AF">
        <w:t xml:space="preserve"> o charakterze innowacyjnym (</w:t>
      </w:r>
      <w:r w:rsidR="00381971" w:rsidRPr="003478AF">
        <w:t>ryc.</w:t>
      </w:r>
      <w:r w:rsidR="00772D3A" w:rsidRPr="003478AF">
        <w:t xml:space="preserve"> </w:t>
      </w:r>
      <w:r w:rsidR="003474E1" w:rsidRPr="003478AF">
        <w:t>6</w:t>
      </w:r>
      <w:r w:rsidR="00772D3A" w:rsidRPr="003478AF">
        <w:t>.</w:t>
      </w:r>
      <w:r w:rsidR="003474E1" w:rsidRPr="003478AF">
        <w:t>6</w:t>
      </w:r>
      <w:r w:rsidR="00B6170F" w:rsidRPr="003478AF">
        <w:t xml:space="preserve">). W okresie tym przewiduje się </w:t>
      </w:r>
      <w:r w:rsidR="00CA2861" w:rsidRPr="003478AF">
        <w:t xml:space="preserve">także </w:t>
      </w:r>
      <w:r w:rsidR="00B6170F" w:rsidRPr="003478AF">
        <w:t>inwestycje na działalność B+R (21,2%), które zwiększą stopień rozwoju gospodarki cyrkularnej</w:t>
      </w:r>
      <w:r w:rsidR="00F97D7C" w:rsidRPr="003478AF">
        <w:t>,</w:t>
      </w:r>
      <w:r w:rsidR="00B6170F" w:rsidRPr="003478AF">
        <w:t xml:space="preserve"> np. nowoczesne techniki recyclingu.</w:t>
      </w:r>
    </w:p>
    <w:bookmarkEnd w:id="62"/>
    <w:p w14:paraId="33BF3E18" w14:textId="77777777" w:rsidR="008D54C3" w:rsidRPr="003478AF" w:rsidRDefault="008D54C3" w:rsidP="00B6170F"/>
    <w:p w14:paraId="757991AB" w14:textId="3AF45B50" w:rsidR="008D54C3" w:rsidRPr="003478AF" w:rsidRDefault="004C3D96" w:rsidP="00986D40">
      <w:pPr>
        <w:pStyle w:val="ARYCINA"/>
      </w:pPr>
      <w:r w:rsidRPr="003478AF">
        <w:t xml:space="preserve">Ryc. </w:t>
      </w:r>
      <w:r w:rsidR="003474E1" w:rsidRPr="003478AF">
        <w:t xml:space="preserve">6.4 </w:t>
      </w:r>
      <w:r w:rsidRPr="003478AF">
        <w:t>Działan</w:t>
      </w:r>
      <w:r w:rsidR="000B76DA" w:rsidRPr="003478AF">
        <w:t xml:space="preserve">ia podejmowane w transformacji przedsiębiorstwa </w:t>
      </w:r>
      <w:r w:rsidRPr="003478AF">
        <w:t>w kierunku GOZ</w:t>
      </w:r>
      <w:r w:rsidR="00570700" w:rsidRPr="003478AF">
        <w:t xml:space="preserve"> </w:t>
      </w:r>
      <w:r w:rsidR="000B76DA" w:rsidRPr="003478AF">
        <w:br/>
      </w:r>
      <w:r w:rsidR="00570700" w:rsidRPr="003478AF">
        <w:t xml:space="preserve">w województwie wielkopolskim </w:t>
      </w:r>
    </w:p>
    <w:p w14:paraId="0F2220A6" w14:textId="77777777" w:rsidR="00B6170F" w:rsidRPr="003478AF" w:rsidRDefault="00B6170F" w:rsidP="00986D40">
      <w:pPr>
        <w:pStyle w:val="ARYCINA"/>
      </w:pPr>
      <w:r w:rsidRPr="003478AF">
        <w:rPr>
          <w:noProof/>
          <w:lang w:eastAsia="pl-PL"/>
        </w:rPr>
        <w:drawing>
          <wp:inline distT="0" distB="0" distL="0" distR="0" wp14:anchorId="2B4B3834" wp14:editId="13551DAC">
            <wp:extent cx="4864100" cy="1590675"/>
            <wp:effectExtent l="0" t="0" r="12700" b="9525"/>
            <wp:docPr id="8" name="Wykres 8"/>
            <wp:cNvGraphicFramePr/>
            <a:graphic xmlns:a="http://schemas.openxmlformats.org/drawingml/2006/main">
              <a:graphicData uri="http://schemas.openxmlformats.org/drawingml/2006/chart">
                <c:chart xmlns:c="http://schemas.openxmlformats.org/drawingml/2006/chart" xmlns:r="http://schemas.openxmlformats.org/officeDocument/2006/relationships" r:id="rId64"/>
              </a:graphicData>
            </a:graphic>
          </wp:inline>
        </w:drawing>
      </w:r>
    </w:p>
    <w:p w14:paraId="6153992D" w14:textId="796F5827" w:rsidR="00B6170F" w:rsidRPr="003478AF" w:rsidRDefault="00B6170F" w:rsidP="00986D40">
      <w:pPr>
        <w:pStyle w:val="AZRODLO"/>
      </w:pPr>
      <w:r w:rsidRPr="003478AF">
        <w:t>Źródło: Opracowanie własne</w:t>
      </w:r>
    </w:p>
    <w:p w14:paraId="77D0D7BC" w14:textId="77777777" w:rsidR="00D8027D" w:rsidRPr="003478AF" w:rsidRDefault="00D8027D" w:rsidP="00986D40">
      <w:pPr>
        <w:pStyle w:val="AZRODLO"/>
      </w:pPr>
    </w:p>
    <w:p w14:paraId="27C25440" w14:textId="77777777" w:rsidR="00B518C8" w:rsidRPr="003478AF" w:rsidRDefault="00B518C8">
      <w:pPr>
        <w:spacing w:line="240" w:lineRule="auto"/>
        <w:ind w:firstLine="0"/>
        <w:jc w:val="left"/>
        <w:rPr>
          <w:rFonts w:eastAsia="Arial" w:cs="Arial"/>
          <w:b/>
          <w:bCs/>
          <w:sz w:val="16"/>
          <w:szCs w:val="16"/>
        </w:rPr>
      </w:pPr>
      <w:r w:rsidRPr="003478AF">
        <w:br w:type="page"/>
      </w:r>
    </w:p>
    <w:p w14:paraId="2D61C8B0" w14:textId="0A411E0F" w:rsidR="006126D9" w:rsidRPr="003478AF" w:rsidRDefault="004C3D96" w:rsidP="00986D40">
      <w:pPr>
        <w:pStyle w:val="ARYCINA"/>
      </w:pPr>
      <w:r w:rsidRPr="003478AF">
        <w:lastRenderedPageBreak/>
        <w:t>Ryc</w:t>
      </w:r>
      <w:r w:rsidR="003474E1" w:rsidRPr="003478AF">
        <w:t>. 6.5</w:t>
      </w:r>
      <w:r w:rsidRPr="003478AF">
        <w:t xml:space="preserve"> </w:t>
      </w:r>
      <w:r w:rsidR="000B76DA" w:rsidRPr="003478AF">
        <w:t>Rodzaj zmian mających na celu rozwój GOZ w</w:t>
      </w:r>
      <w:r w:rsidRPr="003478AF">
        <w:t>prowadzan</w:t>
      </w:r>
      <w:r w:rsidR="000B76DA" w:rsidRPr="003478AF">
        <w:t>ych</w:t>
      </w:r>
      <w:r w:rsidRPr="003478AF">
        <w:t xml:space="preserve"> przez </w:t>
      </w:r>
      <w:r w:rsidR="000B76DA" w:rsidRPr="003478AF">
        <w:t>przedsiębiorstwa</w:t>
      </w:r>
      <w:r w:rsidRPr="003478AF">
        <w:t xml:space="preserve"> </w:t>
      </w:r>
      <w:r w:rsidR="000B76DA" w:rsidRPr="003478AF">
        <w:br/>
        <w:t xml:space="preserve">(w okresie ostatnich 5 lat) w województwie wielkopolskim </w:t>
      </w:r>
    </w:p>
    <w:p w14:paraId="257F6369" w14:textId="4CB3EB96" w:rsidR="00B6170F" w:rsidRPr="003478AF" w:rsidRDefault="00B6170F" w:rsidP="00986D40">
      <w:pPr>
        <w:pStyle w:val="ARYCINA"/>
      </w:pPr>
      <w:r w:rsidRPr="003478AF">
        <w:rPr>
          <w:noProof/>
          <w:lang w:eastAsia="pl-PL"/>
        </w:rPr>
        <w:drawing>
          <wp:inline distT="0" distB="0" distL="0" distR="0" wp14:anchorId="49E76F51" wp14:editId="4F5FD6EA">
            <wp:extent cx="5166360" cy="3169920"/>
            <wp:effectExtent l="0" t="0" r="15240" b="11430"/>
            <wp:docPr id="23" name="Wykres 23"/>
            <wp:cNvGraphicFramePr/>
            <a:graphic xmlns:a="http://schemas.openxmlformats.org/drawingml/2006/main">
              <a:graphicData uri="http://schemas.openxmlformats.org/drawingml/2006/chart">
                <c:chart xmlns:c="http://schemas.openxmlformats.org/drawingml/2006/chart" xmlns:r="http://schemas.openxmlformats.org/officeDocument/2006/relationships" r:id="rId65"/>
              </a:graphicData>
            </a:graphic>
          </wp:inline>
        </w:drawing>
      </w:r>
    </w:p>
    <w:p w14:paraId="231578AE" w14:textId="3F95C26F" w:rsidR="00B6170F" w:rsidRPr="003478AF" w:rsidRDefault="00B6170F" w:rsidP="00986D40">
      <w:pPr>
        <w:pStyle w:val="AZRODLO"/>
      </w:pPr>
      <w:r w:rsidRPr="003478AF">
        <w:t>Źródło: Opracowanie własne</w:t>
      </w:r>
    </w:p>
    <w:p w14:paraId="09C37445" w14:textId="40403465" w:rsidR="00B6170F" w:rsidRPr="003478AF" w:rsidRDefault="00B6170F" w:rsidP="00B6170F"/>
    <w:p w14:paraId="2A50325D" w14:textId="159C256F" w:rsidR="00B6170F" w:rsidRPr="003478AF" w:rsidRDefault="004C3D96" w:rsidP="00986D40">
      <w:pPr>
        <w:pStyle w:val="ARYCINA"/>
      </w:pPr>
      <w:r w:rsidRPr="003478AF">
        <w:t>Ryc</w:t>
      </w:r>
      <w:r w:rsidR="003474E1" w:rsidRPr="003478AF">
        <w:t xml:space="preserve">. 6.6 </w:t>
      </w:r>
      <w:r w:rsidRPr="003478AF">
        <w:t xml:space="preserve">Planowane przez </w:t>
      </w:r>
      <w:r w:rsidR="000B76DA" w:rsidRPr="003478AF">
        <w:t>przedsiębiorstw</w:t>
      </w:r>
      <w:r w:rsidR="0075734A" w:rsidRPr="003478AF">
        <w:t>a</w:t>
      </w:r>
      <w:r w:rsidRPr="003478AF">
        <w:t xml:space="preserve"> inwestycje (w okresie następnych 10 lat), które zwiększą stopień rozwoju GOZ</w:t>
      </w:r>
      <w:r w:rsidR="0075734A" w:rsidRPr="003478AF">
        <w:t>,</w:t>
      </w:r>
      <w:r w:rsidR="008D54C3" w:rsidRPr="003478AF">
        <w:t xml:space="preserve"> </w:t>
      </w:r>
      <w:r w:rsidR="00570700" w:rsidRPr="003478AF">
        <w:t>w województwie wielkopolskim</w:t>
      </w:r>
      <w:r w:rsidR="00570700" w:rsidRPr="003478AF" w:rsidDel="008D54C3">
        <w:rPr>
          <w:noProof/>
          <w:lang w:eastAsia="pl-PL"/>
        </w:rPr>
        <w:t xml:space="preserve"> </w:t>
      </w:r>
    </w:p>
    <w:p w14:paraId="7737ED1C" w14:textId="37903A5E" w:rsidR="008D54C3" w:rsidRPr="003478AF" w:rsidRDefault="008D54C3" w:rsidP="00986D40">
      <w:pPr>
        <w:pStyle w:val="ARYCINA"/>
      </w:pPr>
      <w:r w:rsidRPr="003478AF">
        <w:rPr>
          <w:noProof/>
          <w:lang w:eastAsia="pl-PL"/>
        </w:rPr>
        <w:drawing>
          <wp:inline distT="0" distB="0" distL="0" distR="0" wp14:anchorId="331BF0E8" wp14:editId="4541F987">
            <wp:extent cx="5153025" cy="1933575"/>
            <wp:effectExtent l="0" t="0" r="9525" b="9525"/>
            <wp:docPr id="98" name="Wykres 98"/>
            <wp:cNvGraphicFramePr/>
            <a:graphic xmlns:a="http://schemas.openxmlformats.org/drawingml/2006/main">
              <a:graphicData uri="http://schemas.openxmlformats.org/drawingml/2006/chart">
                <c:chart xmlns:c="http://schemas.openxmlformats.org/drawingml/2006/chart" xmlns:r="http://schemas.openxmlformats.org/officeDocument/2006/relationships" r:id="rId66"/>
              </a:graphicData>
            </a:graphic>
          </wp:inline>
        </w:drawing>
      </w:r>
    </w:p>
    <w:p w14:paraId="61A8F592" w14:textId="6F50F64F" w:rsidR="00B6170F" w:rsidRPr="003478AF" w:rsidRDefault="00B6170F" w:rsidP="00986D40">
      <w:pPr>
        <w:pStyle w:val="AZRODLO"/>
      </w:pPr>
      <w:r w:rsidRPr="003478AF">
        <w:t>Źródło: Opracowanie własne</w:t>
      </w:r>
    </w:p>
    <w:p w14:paraId="29E1CF70" w14:textId="77777777" w:rsidR="00B6170F" w:rsidRPr="003478AF" w:rsidRDefault="00B6170F" w:rsidP="00B6170F"/>
    <w:p w14:paraId="56DFB6A8" w14:textId="10063AAD" w:rsidR="00B6170F" w:rsidRPr="003478AF" w:rsidRDefault="00B6170F" w:rsidP="00B6170F">
      <w:r w:rsidRPr="003478AF">
        <w:t>Każda z firm</w:t>
      </w:r>
      <w:r w:rsidRPr="003478AF">
        <w:rPr>
          <w:i/>
          <w:iCs/>
        </w:rPr>
        <w:t xml:space="preserve"> </w:t>
      </w:r>
      <w:r w:rsidRPr="003478AF">
        <w:t>ma swój wewnętrzny łańcuch wartości</w:t>
      </w:r>
      <w:r w:rsidRPr="003478AF">
        <w:rPr>
          <w:i/>
          <w:iCs/>
        </w:rPr>
        <w:t xml:space="preserve">, </w:t>
      </w:r>
      <w:r w:rsidRPr="003478AF">
        <w:t xml:space="preserve">który jest niezwykle pomocny </w:t>
      </w:r>
      <w:r w:rsidR="00655961" w:rsidRPr="003478AF">
        <w:br/>
      </w:r>
      <w:r w:rsidRPr="003478AF">
        <w:t xml:space="preserve">w podejmowaniu decyzji o współpracy z innymi podmiotami, a także </w:t>
      </w:r>
      <w:r w:rsidR="009E0C5A" w:rsidRPr="003478AF">
        <w:t xml:space="preserve">w </w:t>
      </w:r>
      <w:r w:rsidRPr="003478AF">
        <w:t>opracowywaniu nowych strategii wobec dostawców i odbiorców. W dłuższej perspektywie przekłada się to na pozycję konkurencyjną. Szczegółowa analiza łańcucha wartości pozwala określić także strategiczne działania, jakie powinny być podjęte pod kątem doskonalenia – obniżania kosztów bądź różnicowania poszczególnych elementów łańcucha wartości.</w:t>
      </w:r>
    </w:p>
    <w:p w14:paraId="5F6F22FF" w14:textId="3755C356" w:rsidR="00B6170F" w:rsidRPr="003478AF" w:rsidRDefault="00B6170F" w:rsidP="00B6170F">
      <w:r w:rsidRPr="003478AF">
        <w:lastRenderedPageBreak/>
        <w:t xml:space="preserve">Nie bez znaczenia dla pozycji konkurencyjnej podmiotów jest także skala kooperacji. Przeważająca </w:t>
      </w:r>
      <w:r w:rsidR="00B311B7" w:rsidRPr="003478AF">
        <w:t xml:space="preserve">jej </w:t>
      </w:r>
      <w:r w:rsidRPr="003478AF">
        <w:t>część jest realizowana w ramach wspólnych działań promocyjnych (2</w:t>
      </w:r>
      <w:r w:rsidR="00570700" w:rsidRPr="003478AF">
        <w:t>6,1</w:t>
      </w:r>
      <w:r w:rsidRPr="003478AF">
        <w:t xml:space="preserve">%) </w:t>
      </w:r>
      <w:r w:rsidR="00655961" w:rsidRPr="003478AF">
        <w:br/>
      </w:r>
      <w:r w:rsidRPr="003478AF">
        <w:t>i logistyki (</w:t>
      </w:r>
      <w:r w:rsidR="00570700" w:rsidRPr="003478AF">
        <w:t>26,1</w:t>
      </w:r>
      <w:r w:rsidRPr="003478AF">
        <w:t>%), czyli sposobu zarządzania interesariuszami w łańcuchu wartości (</w:t>
      </w:r>
      <w:r w:rsidR="00381971" w:rsidRPr="003478AF">
        <w:t>ryc.</w:t>
      </w:r>
      <w:r w:rsidR="00B5554D" w:rsidRPr="003478AF">
        <w:t xml:space="preserve"> </w:t>
      </w:r>
      <w:r w:rsidR="003474E1" w:rsidRPr="003478AF">
        <w:t>6.7</w:t>
      </w:r>
      <w:r w:rsidRPr="003478AF">
        <w:t>).</w:t>
      </w:r>
    </w:p>
    <w:p w14:paraId="459E73EB" w14:textId="77777777" w:rsidR="00B6170F" w:rsidRPr="003478AF" w:rsidRDefault="00B6170F" w:rsidP="00B6170F"/>
    <w:p w14:paraId="3BBD2CAD" w14:textId="68DDBEC3" w:rsidR="00570700" w:rsidRPr="003478AF" w:rsidRDefault="00772D3A" w:rsidP="00986D40">
      <w:pPr>
        <w:pStyle w:val="ARYCINA"/>
        <w:rPr>
          <w:noProof/>
          <w:lang w:eastAsia="pl-PL"/>
        </w:rPr>
      </w:pPr>
      <w:r w:rsidRPr="003478AF">
        <w:t>Ryc.</w:t>
      </w:r>
      <w:r w:rsidR="003474E1" w:rsidRPr="003478AF">
        <w:t xml:space="preserve"> 6.7</w:t>
      </w:r>
      <w:r w:rsidRPr="003478AF">
        <w:t xml:space="preserve"> </w:t>
      </w:r>
      <w:r w:rsidR="0075734A" w:rsidRPr="003478AF">
        <w:t xml:space="preserve">Rodzaj </w:t>
      </w:r>
      <w:r w:rsidRPr="003478AF">
        <w:t>kooperacji pomiędzy podmiotami łańcucha w celu realizacji konkretnych procesów</w:t>
      </w:r>
      <w:r w:rsidR="0075734A" w:rsidRPr="003478AF">
        <w:br/>
        <w:t xml:space="preserve">w opinii przedsiębiorstw w </w:t>
      </w:r>
      <w:r w:rsidR="00570700" w:rsidRPr="003478AF">
        <w:t>województwie wielkopolskim</w:t>
      </w:r>
      <w:r w:rsidR="00570700" w:rsidRPr="003478AF">
        <w:rPr>
          <w:noProof/>
          <w:lang w:eastAsia="pl-PL"/>
        </w:rPr>
        <w:t xml:space="preserve"> </w:t>
      </w:r>
    </w:p>
    <w:p w14:paraId="6AD1CBB2" w14:textId="319BA95D" w:rsidR="00B6170F" w:rsidRPr="003478AF" w:rsidRDefault="00B6170F" w:rsidP="00986D40">
      <w:pPr>
        <w:pStyle w:val="ARYCINA"/>
      </w:pPr>
      <w:r w:rsidRPr="003478AF">
        <w:rPr>
          <w:noProof/>
          <w:lang w:eastAsia="pl-PL"/>
        </w:rPr>
        <w:drawing>
          <wp:inline distT="0" distB="0" distL="0" distR="0" wp14:anchorId="56DB2F66" wp14:editId="47BE2CF7">
            <wp:extent cx="5210175" cy="1676400"/>
            <wp:effectExtent l="0" t="0" r="9525" b="0"/>
            <wp:docPr id="9" name="Wykres 9"/>
            <wp:cNvGraphicFramePr/>
            <a:graphic xmlns:a="http://schemas.openxmlformats.org/drawingml/2006/main">
              <a:graphicData uri="http://schemas.openxmlformats.org/drawingml/2006/chart">
                <c:chart xmlns:c="http://schemas.openxmlformats.org/drawingml/2006/chart" xmlns:r="http://schemas.openxmlformats.org/officeDocument/2006/relationships" r:id="rId67"/>
              </a:graphicData>
            </a:graphic>
          </wp:inline>
        </w:drawing>
      </w:r>
    </w:p>
    <w:p w14:paraId="0D8056E4" w14:textId="5A05A9A1" w:rsidR="00B6170F" w:rsidRPr="003478AF" w:rsidRDefault="00B6170F" w:rsidP="00986D40">
      <w:pPr>
        <w:pStyle w:val="AZRODLO"/>
      </w:pPr>
      <w:r w:rsidRPr="003478AF">
        <w:t>Źródło: Opracowanie własne</w:t>
      </w:r>
    </w:p>
    <w:p w14:paraId="0F92199C" w14:textId="77777777" w:rsidR="00B6170F" w:rsidRPr="003478AF" w:rsidRDefault="00B6170F" w:rsidP="00B6170F"/>
    <w:p w14:paraId="72ED32A9" w14:textId="5A0B6131" w:rsidR="00B6170F" w:rsidRPr="003478AF" w:rsidRDefault="00B6170F" w:rsidP="00B6170F">
      <w:r w:rsidRPr="003478AF">
        <w:t xml:space="preserve">Z najważniejszymi interesariuszami (firmy lokalne, krajowe i zagraniczne, </w:t>
      </w:r>
      <w:r w:rsidR="00381971" w:rsidRPr="003478AF">
        <w:t>ryc.</w:t>
      </w:r>
      <w:r w:rsidRPr="003478AF">
        <w:t xml:space="preserve"> </w:t>
      </w:r>
      <w:r w:rsidR="003474E1" w:rsidRPr="003478AF">
        <w:t>6.8)</w:t>
      </w:r>
      <w:r w:rsidRPr="003478AF">
        <w:t xml:space="preserve"> współpraca odbywa się w ramach kanałów dystrybucji oraz </w:t>
      </w:r>
      <w:r w:rsidR="00C35B62" w:rsidRPr="003478AF">
        <w:t xml:space="preserve">przy </w:t>
      </w:r>
      <w:r w:rsidRPr="003478AF">
        <w:t>planowaniu produkcji (</w:t>
      </w:r>
      <w:r w:rsidR="00381971" w:rsidRPr="003478AF">
        <w:t>ryc.</w:t>
      </w:r>
      <w:r w:rsidR="003474E1" w:rsidRPr="003478AF">
        <w:t xml:space="preserve"> 6.9</w:t>
      </w:r>
      <w:r w:rsidRPr="003478AF">
        <w:t>). Kanały dystrybucji zorientowane są na zaspakajanie potrzeb nabywców, co często jest związane z rozpoznaniem potrzeb i wymagań każdego rodzaju nabywców</w:t>
      </w:r>
      <w:r w:rsidR="00C35B62" w:rsidRPr="003478AF">
        <w:t>,</w:t>
      </w:r>
      <w:r w:rsidRPr="003478AF">
        <w:t xml:space="preserve"> np. szybkiego realizowania zamówień.</w:t>
      </w:r>
      <w:r w:rsidR="001C16D6" w:rsidRPr="003478AF">
        <w:t xml:space="preserve"> </w:t>
      </w:r>
      <w:r w:rsidRPr="003478AF">
        <w:t>Natomiast w planowaniu produkcji istotne jest rozpoznanie zmian potrzeb klientów na poszczególnych rynkach czy w kanałach sprzedaży. Wyzwaniem jest również realizowanie dostaw przy utrzymaniu niskiego poziomu zapasów oraz zwiększenie trafności prognoz dotyczących popytu.</w:t>
      </w:r>
    </w:p>
    <w:p w14:paraId="10BD780E" w14:textId="77777777" w:rsidR="00B6170F" w:rsidRPr="003478AF" w:rsidRDefault="00B6170F" w:rsidP="00B6170F"/>
    <w:p w14:paraId="1EB75161" w14:textId="1FBBC374" w:rsidR="008D54C3" w:rsidRPr="003478AF" w:rsidRDefault="00B5554D" w:rsidP="00986D40">
      <w:pPr>
        <w:pStyle w:val="ARYCINA"/>
      </w:pPr>
      <w:r w:rsidRPr="003478AF">
        <w:t xml:space="preserve">Ryc. </w:t>
      </w:r>
      <w:r w:rsidR="00863BE9" w:rsidRPr="003478AF">
        <w:rPr>
          <w:noProof/>
        </w:rPr>
        <w:t>6</w:t>
      </w:r>
      <w:r w:rsidR="00006E72" w:rsidRPr="003478AF">
        <w:t>.</w:t>
      </w:r>
      <w:r w:rsidR="00863BE9" w:rsidRPr="003478AF">
        <w:rPr>
          <w:noProof/>
        </w:rPr>
        <w:t>8</w:t>
      </w:r>
      <w:r w:rsidRPr="003478AF">
        <w:t xml:space="preserve"> </w:t>
      </w:r>
      <w:r w:rsidR="0075734A" w:rsidRPr="003478AF">
        <w:t>Najważniejsi interesariusze przedsiębiorstw</w:t>
      </w:r>
      <w:r w:rsidRPr="003478AF">
        <w:t xml:space="preserve"> </w:t>
      </w:r>
      <w:r w:rsidR="0075734A" w:rsidRPr="003478AF">
        <w:t xml:space="preserve">w województwie wielkopolskim </w:t>
      </w:r>
      <w:r w:rsidRPr="003478AF">
        <w:t xml:space="preserve">zaangażowani </w:t>
      </w:r>
      <w:r w:rsidR="0075734A" w:rsidRPr="003478AF">
        <w:br/>
      </w:r>
      <w:r w:rsidRPr="003478AF">
        <w:t xml:space="preserve">w poszczególne procesy w ramach łańcucha wartości </w:t>
      </w:r>
    </w:p>
    <w:p w14:paraId="4FB371E6" w14:textId="4B588A1D" w:rsidR="00B6170F" w:rsidRPr="003478AF" w:rsidRDefault="00B6170F" w:rsidP="00986D40">
      <w:pPr>
        <w:pStyle w:val="ARYCINA"/>
      </w:pPr>
      <w:r w:rsidRPr="003478AF">
        <w:rPr>
          <w:noProof/>
          <w:lang w:eastAsia="pl-PL"/>
        </w:rPr>
        <w:drawing>
          <wp:inline distT="0" distB="0" distL="0" distR="0" wp14:anchorId="3666A20E" wp14:editId="4F1D5B89">
            <wp:extent cx="5143500" cy="1790700"/>
            <wp:effectExtent l="0" t="0" r="0" b="0"/>
            <wp:docPr id="24" name="Wykres 24"/>
            <wp:cNvGraphicFramePr/>
            <a:graphic xmlns:a="http://schemas.openxmlformats.org/drawingml/2006/main">
              <a:graphicData uri="http://schemas.openxmlformats.org/drawingml/2006/chart">
                <c:chart xmlns:c="http://schemas.openxmlformats.org/drawingml/2006/chart" xmlns:r="http://schemas.openxmlformats.org/officeDocument/2006/relationships" r:id="rId68"/>
              </a:graphicData>
            </a:graphic>
          </wp:inline>
        </w:drawing>
      </w:r>
    </w:p>
    <w:p w14:paraId="322562F7" w14:textId="6BF9DBB9" w:rsidR="00B6170F" w:rsidRPr="003478AF" w:rsidRDefault="00B6170F" w:rsidP="00986D40">
      <w:pPr>
        <w:pStyle w:val="AZRODLO"/>
      </w:pPr>
      <w:r w:rsidRPr="003478AF">
        <w:t>Źródło: Opracowanie własne</w:t>
      </w:r>
    </w:p>
    <w:p w14:paraId="5F527279" w14:textId="77777777" w:rsidR="00B6170F" w:rsidRPr="003478AF" w:rsidRDefault="00B6170F" w:rsidP="00B6170F"/>
    <w:p w14:paraId="0F748490" w14:textId="77777777" w:rsidR="00824E64" w:rsidRPr="003478AF" w:rsidRDefault="00824E64">
      <w:pPr>
        <w:spacing w:line="240" w:lineRule="auto"/>
        <w:ind w:firstLine="0"/>
        <w:jc w:val="left"/>
        <w:rPr>
          <w:rFonts w:eastAsia="Arial" w:cs="Arial"/>
          <w:b/>
          <w:bCs/>
          <w:sz w:val="16"/>
          <w:szCs w:val="16"/>
        </w:rPr>
      </w:pPr>
      <w:r w:rsidRPr="003478AF">
        <w:br w:type="page"/>
      </w:r>
    </w:p>
    <w:p w14:paraId="00F18CFE" w14:textId="0E7D6C61" w:rsidR="00824E64" w:rsidRPr="003478AF" w:rsidRDefault="00B5554D" w:rsidP="00986D40">
      <w:pPr>
        <w:pStyle w:val="ARYCINA"/>
      </w:pPr>
      <w:r w:rsidRPr="003478AF">
        <w:lastRenderedPageBreak/>
        <w:t xml:space="preserve">Ryc. </w:t>
      </w:r>
      <w:r w:rsidR="00863BE9" w:rsidRPr="003478AF">
        <w:rPr>
          <w:noProof/>
        </w:rPr>
        <w:t>6</w:t>
      </w:r>
      <w:r w:rsidR="00006E72" w:rsidRPr="003478AF">
        <w:t>.</w:t>
      </w:r>
      <w:r w:rsidR="00863BE9" w:rsidRPr="003478AF">
        <w:t>9</w:t>
      </w:r>
      <w:r w:rsidRPr="003478AF">
        <w:t xml:space="preserve"> Główne specjalizacje/obszary działalności interesariuszy </w:t>
      </w:r>
      <w:r w:rsidR="0075734A" w:rsidRPr="003478AF">
        <w:t xml:space="preserve">przedsiębiorstw </w:t>
      </w:r>
      <w:r w:rsidR="0075734A" w:rsidRPr="003478AF">
        <w:br/>
      </w:r>
      <w:r w:rsidR="00570700" w:rsidRPr="003478AF">
        <w:t>w województwie wielkopolskim</w:t>
      </w:r>
    </w:p>
    <w:p w14:paraId="78FE7680" w14:textId="7447C020" w:rsidR="00B6170F" w:rsidRPr="003478AF" w:rsidRDefault="00B6170F" w:rsidP="00986D40">
      <w:pPr>
        <w:pStyle w:val="ARYCINA"/>
      </w:pPr>
      <w:r w:rsidRPr="003478AF">
        <w:rPr>
          <w:noProof/>
          <w:lang w:eastAsia="pl-PL"/>
        </w:rPr>
        <w:drawing>
          <wp:inline distT="0" distB="0" distL="0" distR="0" wp14:anchorId="7EC293E8" wp14:editId="1E21F578">
            <wp:extent cx="5181600" cy="1438275"/>
            <wp:effectExtent l="0" t="0" r="0" b="9525"/>
            <wp:docPr id="25" name="Wykres 25"/>
            <wp:cNvGraphicFramePr/>
            <a:graphic xmlns:a="http://schemas.openxmlformats.org/drawingml/2006/main">
              <a:graphicData uri="http://schemas.openxmlformats.org/drawingml/2006/chart">
                <c:chart xmlns:c="http://schemas.openxmlformats.org/drawingml/2006/chart" xmlns:r="http://schemas.openxmlformats.org/officeDocument/2006/relationships" r:id="rId69"/>
              </a:graphicData>
            </a:graphic>
          </wp:inline>
        </w:drawing>
      </w:r>
    </w:p>
    <w:p w14:paraId="551517F1" w14:textId="6B6F37B3" w:rsidR="00B6170F" w:rsidRPr="003478AF" w:rsidRDefault="00B6170F" w:rsidP="00986D40">
      <w:pPr>
        <w:pStyle w:val="AZRODLO"/>
      </w:pPr>
      <w:r w:rsidRPr="003478AF">
        <w:t>Źródło: Opracowanie własne</w:t>
      </w:r>
    </w:p>
    <w:p w14:paraId="254453BE" w14:textId="77777777" w:rsidR="00B6170F" w:rsidRPr="003478AF" w:rsidRDefault="00B6170F" w:rsidP="00B6170F"/>
    <w:p w14:paraId="494D55AC" w14:textId="026D9427" w:rsidR="00B6170F" w:rsidRPr="003478AF" w:rsidRDefault="00B6170F" w:rsidP="00B6170F">
      <w:r w:rsidRPr="003478AF">
        <w:t>Z doświadczeń badanych firm wynika, że działanie zgodn</w:t>
      </w:r>
      <w:r w:rsidR="0045328E" w:rsidRPr="003478AF">
        <w:t>e z</w:t>
      </w:r>
      <w:r w:rsidRPr="003478AF">
        <w:t xml:space="preserve"> gospodarką cyrkularną pozwala kalkulować konkretne mierzalne efekty działalności dla produktu, usługi, procesu, organizacji na poziom</w:t>
      </w:r>
      <w:r w:rsidR="002500DD" w:rsidRPr="003478AF">
        <w:t>ach</w:t>
      </w:r>
      <w:r w:rsidRPr="003478AF">
        <w:t xml:space="preserve"> społecznym, środowiskowym i ekonomicznym. Wśród mierzalnych efektów środowiskowych należy wymienić: redukcję </w:t>
      </w:r>
      <w:r w:rsidR="00AE2BFC" w:rsidRPr="003478AF">
        <w:t xml:space="preserve">wygenerowanych odpadów i ścieków oraz </w:t>
      </w:r>
      <w:r w:rsidRPr="003478AF">
        <w:t>zużywanej energii i wody</w:t>
      </w:r>
      <w:r w:rsidR="0045328E" w:rsidRPr="003478AF">
        <w:t>,</w:t>
      </w:r>
      <w:r w:rsidRPr="003478AF">
        <w:t xml:space="preserve"> </w:t>
      </w:r>
      <w:r w:rsidR="002500DD" w:rsidRPr="003478AF">
        <w:t xml:space="preserve">w przypadku efektów </w:t>
      </w:r>
      <w:r w:rsidRPr="003478AF">
        <w:t>ekonomicznych – obniżenie kosztów oraz wzrost dochodów z działalności</w:t>
      </w:r>
      <w:r w:rsidR="0045328E" w:rsidRPr="003478AF">
        <w:t>,</w:t>
      </w:r>
      <w:r w:rsidRPr="003478AF">
        <w:t xml:space="preserve"> </w:t>
      </w:r>
      <w:r w:rsidR="002500DD" w:rsidRPr="003478AF">
        <w:t xml:space="preserve">a w odniesieniu do efektów </w:t>
      </w:r>
      <w:r w:rsidRPr="003478AF">
        <w:t>społecznych – utworzenie nowych miejsc pracy (</w:t>
      </w:r>
      <w:r w:rsidR="00381971" w:rsidRPr="003478AF">
        <w:t>ryc.</w:t>
      </w:r>
      <w:r w:rsidR="00B5554D" w:rsidRPr="003478AF">
        <w:t xml:space="preserve"> </w:t>
      </w:r>
      <w:r w:rsidR="00863BE9" w:rsidRPr="003478AF">
        <w:t>6.10</w:t>
      </w:r>
      <w:r w:rsidRPr="003478AF">
        <w:t>). W rezultacie uzyskiwane są różne korzyści</w:t>
      </w:r>
      <w:r w:rsidR="002500DD" w:rsidRPr="003478AF">
        <w:t>,</w:t>
      </w:r>
      <w:r w:rsidRPr="003478AF">
        <w:t xml:space="preserve"> np. napływ nowoczesnych technologii (</w:t>
      </w:r>
      <w:r w:rsidR="00381971" w:rsidRPr="003478AF">
        <w:t>ryc.</w:t>
      </w:r>
      <w:r w:rsidR="00B5554D" w:rsidRPr="003478AF">
        <w:t xml:space="preserve"> </w:t>
      </w:r>
      <w:r w:rsidR="00863BE9" w:rsidRPr="003478AF">
        <w:t>6.11)</w:t>
      </w:r>
      <w:r w:rsidRPr="003478AF">
        <w:t>.</w:t>
      </w:r>
    </w:p>
    <w:p w14:paraId="0C1F2616" w14:textId="77777777" w:rsidR="00B5554D" w:rsidRPr="003478AF" w:rsidRDefault="00B5554D" w:rsidP="00E6136F">
      <w:pPr>
        <w:jc w:val="left"/>
      </w:pPr>
    </w:p>
    <w:p w14:paraId="15B2150F" w14:textId="09531187" w:rsidR="00B5554D" w:rsidRPr="003478AF" w:rsidRDefault="00B5554D" w:rsidP="00986D40">
      <w:pPr>
        <w:pStyle w:val="ARYCINA"/>
      </w:pPr>
      <w:r w:rsidRPr="003478AF">
        <w:t>Ryc.</w:t>
      </w:r>
      <w:r w:rsidR="00863BE9" w:rsidRPr="003478AF">
        <w:t xml:space="preserve"> 6.10</w:t>
      </w:r>
      <w:r w:rsidRPr="003478AF">
        <w:t xml:space="preserve"> Mierzalne efekty zastosowania GOZ </w:t>
      </w:r>
      <w:r w:rsidR="0075734A" w:rsidRPr="003478AF">
        <w:t>w przedsiębiorstwach</w:t>
      </w:r>
      <w:r w:rsidR="00570700" w:rsidRPr="003478AF">
        <w:t xml:space="preserve"> w województwie wielkopolskim</w:t>
      </w:r>
    </w:p>
    <w:p w14:paraId="36DC836C" w14:textId="77777777" w:rsidR="00B6170F" w:rsidRPr="003478AF" w:rsidRDefault="00B6170F" w:rsidP="00E6136F">
      <w:pPr>
        <w:ind w:firstLine="0"/>
        <w:jc w:val="center"/>
      </w:pPr>
      <w:r w:rsidRPr="003478AF">
        <w:rPr>
          <w:noProof/>
          <w:lang w:eastAsia="pl-PL"/>
        </w:rPr>
        <w:drawing>
          <wp:inline distT="0" distB="0" distL="0" distR="0" wp14:anchorId="6EDDAEC5" wp14:editId="581AE720">
            <wp:extent cx="5276850" cy="2638425"/>
            <wp:effectExtent l="0" t="0" r="0" b="9525"/>
            <wp:docPr id="12" name="Wykres 12"/>
            <wp:cNvGraphicFramePr/>
            <a:graphic xmlns:a="http://schemas.openxmlformats.org/drawingml/2006/main">
              <a:graphicData uri="http://schemas.openxmlformats.org/drawingml/2006/chart">
                <c:chart xmlns:c="http://schemas.openxmlformats.org/drawingml/2006/chart" xmlns:r="http://schemas.openxmlformats.org/officeDocument/2006/relationships" r:id="rId70"/>
              </a:graphicData>
            </a:graphic>
          </wp:inline>
        </w:drawing>
      </w:r>
    </w:p>
    <w:p w14:paraId="44AA9B34" w14:textId="6CA82612" w:rsidR="00B6170F" w:rsidRPr="003478AF" w:rsidRDefault="00B6170F" w:rsidP="00986D40">
      <w:pPr>
        <w:pStyle w:val="AZRODLO"/>
      </w:pPr>
      <w:r w:rsidRPr="003478AF">
        <w:t>Źródło: Opracowanie własne</w:t>
      </w:r>
    </w:p>
    <w:p w14:paraId="6010F2FB" w14:textId="77777777" w:rsidR="00B6170F" w:rsidRPr="003478AF" w:rsidRDefault="00B6170F" w:rsidP="00B6170F"/>
    <w:p w14:paraId="1799202D" w14:textId="77777777" w:rsidR="00B518C8" w:rsidRPr="003478AF" w:rsidRDefault="00B518C8">
      <w:pPr>
        <w:spacing w:line="240" w:lineRule="auto"/>
        <w:ind w:firstLine="0"/>
        <w:jc w:val="left"/>
        <w:rPr>
          <w:rFonts w:eastAsia="Arial" w:cs="Arial"/>
          <w:b/>
          <w:bCs/>
          <w:sz w:val="16"/>
          <w:szCs w:val="16"/>
        </w:rPr>
      </w:pPr>
      <w:r w:rsidRPr="003478AF">
        <w:br w:type="page"/>
      </w:r>
    </w:p>
    <w:p w14:paraId="7746AC13" w14:textId="4E3751E0" w:rsidR="00B518C8" w:rsidRPr="003478AF" w:rsidRDefault="00B5554D" w:rsidP="00986D40">
      <w:pPr>
        <w:pStyle w:val="ARYCINA"/>
      </w:pPr>
      <w:r w:rsidRPr="003478AF">
        <w:lastRenderedPageBreak/>
        <w:t xml:space="preserve">Ryc. </w:t>
      </w:r>
      <w:r w:rsidR="00863BE9" w:rsidRPr="003478AF">
        <w:rPr>
          <w:noProof/>
        </w:rPr>
        <w:t xml:space="preserve">6.11 </w:t>
      </w:r>
      <w:r w:rsidRPr="003478AF">
        <w:t xml:space="preserve">Zauważalne korzyści z realizacji GOZ </w:t>
      </w:r>
      <w:r w:rsidR="0075734A" w:rsidRPr="003478AF">
        <w:t xml:space="preserve">w przedsiębiorstwach </w:t>
      </w:r>
      <w:r w:rsidR="00570700" w:rsidRPr="003478AF">
        <w:t>w województwie wielkopolskim</w:t>
      </w:r>
    </w:p>
    <w:p w14:paraId="05465FE7" w14:textId="2BD075DF" w:rsidR="00B6170F" w:rsidRPr="003478AF" w:rsidRDefault="00B6170F" w:rsidP="00986D40">
      <w:pPr>
        <w:pStyle w:val="ARYCINA"/>
      </w:pPr>
      <w:r w:rsidRPr="003478AF">
        <w:rPr>
          <w:noProof/>
          <w:lang w:eastAsia="pl-PL"/>
        </w:rPr>
        <w:drawing>
          <wp:inline distT="0" distB="0" distL="0" distR="0" wp14:anchorId="51262301" wp14:editId="765F14C0">
            <wp:extent cx="5267325" cy="2152650"/>
            <wp:effectExtent l="0" t="0" r="9525" b="0"/>
            <wp:docPr id="26" name="Wykres 26"/>
            <wp:cNvGraphicFramePr/>
            <a:graphic xmlns:a="http://schemas.openxmlformats.org/drawingml/2006/main">
              <a:graphicData uri="http://schemas.openxmlformats.org/drawingml/2006/chart">
                <c:chart xmlns:c="http://schemas.openxmlformats.org/drawingml/2006/chart" xmlns:r="http://schemas.openxmlformats.org/officeDocument/2006/relationships" r:id="rId71"/>
              </a:graphicData>
            </a:graphic>
          </wp:inline>
        </w:drawing>
      </w:r>
    </w:p>
    <w:p w14:paraId="77D9D6CA" w14:textId="09C979B4" w:rsidR="00B6170F" w:rsidRPr="003478AF" w:rsidRDefault="00B6170F" w:rsidP="00986D40">
      <w:pPr>
        <w:pStyle w:val="AZRODLO"/>
      </w:pPr>
      <w:r w:rsidRPr="003478AF">
        <w:t>Źródło: Opracowanie własne</w:t>
      </w:r>
    </w:p>
    <w:p w14:paraId="7B11F439" w14:textId="77777777" w:rsidR="00B6170F" w:rsidRPr="003478AF" w:rsidRDefault="00B6170F" w:rsidP="00B6170F"/>
    <w:p w14:paraId="7AD31DD3" w14:textId="2A23C8E0" w:rsidR="00B6170F" w:rsidRPr="003478AF" w:rsidRDefault="00B6170F" w:rsidP="00B6170F">
      <w:r w:rsidRPr="003478AF">
        <w:t>Wskazane powyżej przykłady i efekty dobrych praktyk w łańcuchu wartości przyczyniają się do możliwości osiągnięcia oraz utrzymania przewagi konkurencyjnej nad innymi firmami. Dodatkowo analiza firmy jako łańcucha wartości tworzy wartość dodaną.</w:t>
      </w:r>
    </w:p>
    <w:p w14:paraId="5CB73E0B" w14:textId="28120D96" w:rsidR="00C977E8" w:rsidRPr="003478AF" w:rsidRDefault="00131D31" w:rsidP="003136E2">
      <w:pPr>
        <w:spacing w:line="240" w:lineRule="auto"/>
        <w:ind w:firstLine="0"/>
        <w:jc w:val="left"/>
      </w:pPr>
      <w:r w:rsidRPr="003478AF">
        <w:br w:type="page"/>
      </w:r>
    </w:p>
    <w:p w14:paraId="57A002FD" w14:textId="77777777" w:rsidR="003136E2" w:rsidRPr="003478AF" w:rsidRDefault="003136E2" w:rsidP="003136E2"/>
    <w:p w14:paraId="52D8FAD2" w14:textId="679510ED" w:rsidR="00421B03" w:rsidRPr="003478AF" w:rsidRDefault="00421B03">
      <w:pPr>
        <w:pStyle w:val="Nagwek1"/>
      </w:pPr>
      <w:bookmarkStart w:id="63" w:name="_Toc82160001"/>
      <w:r w:rsidRPr="003478AF">
        <w:t>Analiza barier w zakresie rozwoju GOZ</w:t>
      </w:r>
      <w:bookmarkEnd w:id="63"/>
    </w:p>
    <w:p w14:paraId="70AF08BE" w14:textId="222DB6D0" w:rsidR="00A4134F" w:rsidRPr="003478AF" w:rsidRDefault="00A4134F" w:rsidP="00F93955">
      <w:pPr>
        <w:rPr>
          <w:rFonts w:cs="Arial"/>
          <w:noProof/>
          <w:szCs w:val="20"/>
        </w:rPr>
      </w:pPr>
      <w:bookmarkStart w:id="64" w:name="_Hlk75910810"/>
      <w:r w:rsidRPr="003478AF">
        <w:rPr>
          <w:rFonts w:cs="Arial"/>
          <w:szCs w:val="20"/>
        </w:rPr>
        <w:t>Realizacja założeń GOZ jest utrudniona przez zróżnicowane bariery. Wśród głównych ograniczeń</w:t>
      </w:r>
      <w:r w:rsidR="00EB5AF5" w:rsidRPr="003478AF">
        <w:rPr>
          <w:rFonts w:cs="Arial"/>
          <w:szCs w:val="20"/>
        </w:rPr>
        <w:t>,</w:t>
      </w:r>
      <w:r w:rsidRPr="003478AF">
        <w:rPr>
          <w:rFonts w:cs="Arial"/>
          <w:szCs w:val="20"/>
        </w:rPr>
        <w:t xml:space="preserve"> zarówno na poziomie krajowym, jak i regionalnym</w:t>
      </w:r>
      <w:r w:rsidR="00EB5AF5" w:rsidRPr="003478AF">
        <w:rPr>
          <w:rFonts w:cs="Arial"/>
          <w:szCs w:val="20"/>
        </w:rPr>
        <w:t>,</w:t>
      </w:r>
      <w:r w:rsidRPr="003478AF">
        <w:rPr>
          <w:rFonts w:cs="Arial"/>
          <w:szCs w:val="20"/>
        </w:rPr>
        <w:t xml:space="preserve"> wymienia się</w:t>
      </w:r>
      <w:r w:rsidR="0007376E" w:rsidRPr="003478AF">
        <w:rPr>
          <w:rFonts w:cs="Arial"/>
          <w:szCs w:val="20"/>
        </w:rPr>
        <w:t xml:space="preserve"> te </w:t>
      </w:r>
      <w:r w:rsidRPr="003478AF">
        <w:rPr>
          <w:rFonts w:cs="Arial"/>
          <w:szCs w:val="20"/>
        </w:rPr>
        <w:t xml:space="preserve">związane </w:t>
      </w:r>
      <w:r w:rsidR="00075829" w:rsidRPr="003478AF">
        <w:rPr>
          <w:rFonts w:cs="Arial"/>
          <w:szCs w:val="20"/>
        </w:rPr>
        <w:br/>
      </w:r>
      <w:r w:rsidRPr="003478AF">
        <w:rPr>
          <w:rFonts w:cs="Arial"/>
          <w:szCs w:val="20"/>
        </w:rPr>
        <w:t>z brakiem świadomości (mentalne), organizacyjne, finansowe</w:t>
      </w:r>
      <w:r w:rsidR="00D56E2B" w:rsidRPr="003478AF">
        <w:rPr>
          <w:rFonts w:cs="Arial"/>
          <w:szCs w:val="20"/>
        </w:rPr>
        <w:t>,</w:t>
      </w:r>
      <w:r w:rsidRPr="003478AF">
        <w:rPr>
          <w:rFonts w:cs="Arial"/>
          <w:szCs w:val="20"/>
        </w:rPr>
        <w:t xml:space="preserve"> </w:t>
      </w:r>
      <w:r w:rsidR="00D56E2B" w:rsidRPr="003478AF">
        <w:rPr>
          <w:rFonts w:cs="Arial"/>
          <w:szCs w:val="20"/>
        </w:rPr>
        <w:t>prawne</w:t>
      </w:r>
      <w:r w:rsidR="00F93955" w:rsidRPr="003478AF">
        <w:rPr>
          <w:rFonts w:cs="Arial"/>
          <w:szCs w:val="20"/>
        </w:rPr>
        <w:t>,</w:t>
      </w:r>
      <w:r w:rsidRPr="003478AF">
        <w:rPr>
          <w:rFonts w:cs="Arial"/>
          <w:szCs w:val="20"/>
        </w:rPr>
        <w:t xml:space="preserve"> kadrowe</w:t>
      </w:r>
      <w:r w:rsidR="00B5324B" w:rsidRPr="003478AF">
        <w:rPr>
          <w:rFonts w:cs="Arial"/>
          <w:szCs w:val="20"/>
        </w:rPr>
        <w:t xml:space="preserve"> (kompetenc</w:t>
      </w:r>
      <w:r w:rsidR="009B1A31" w:rsidRPr="003478AF">
        <w:rPr>
          <w:rFonts w:cs="Arial"/>
          <w:szCs w:val="20"/>
        </w:rPr>
        <w:t>y</w:t>
      </w:r>
      <w:r w:rsidR="00B5324B" w:rsidRPr="003478AF">
        <w:rPr>
          <w:rFonts w:cs="Arial"/>
          <w:szCs w:val="20"/>
        </w:rPr>
        <w:t>j</w:t>
      </w:r>
      <w:r w:rsidR="009B1A31" w:rsidRPr="003478AF">
        <w:rPr>
          <w:rFonts w:cs="Arial"/>
          <w:szCs w:val="20"/>
        </w:rPr>
        <w:t>n</w:t>
      </w:r>
      <w:r w:rsidR="00B5324B" w:rsidRPr="003478AF">
        <w:rPr>
          <w:rFonts w:cs="Arial"/>
          <w:szCs w:val="20"/>
        </w:rPr>
        <w:t>e)</w:t>
      </w:r>
      <w:r w:rsidRPr="003478AF">
        <w:rPr>
          <w:rFonts w:cs="Arial"/>
          <w:szCs w:val="20"/>
        </w:rPr>
        <w:t>, rynkowe</w:t>
      </w:r>
      <w:r w:rsidR="00F93955" w:rsidRPr="003478AF">
        <w:rPr>
          <w:rFonts w:cs="Arial"/>
          <w:szCs w:val="20"/>
        </w:rPr>
        <w:t xml:space="preserve"> oraz</w:t>
      </w:r>
      <w:r w:rsidR="00D56E2B" w:rsidRPr="003478AF">
        <w:rPr>
          <w:rFonts w:cs="Arial"/>
          <w:szCs w:val="20"/>
        </w:rPr>
        <w:t xml:space="preserve"> infrastrukturalne</w:t>
      </w:r>
      <w:r w:rsidR="00F93955" w:rsidRPr="003478AF">
        <w:rPr>
          <w:rFonts w:cs="Arial"/>
          <w:szCs w:val="20"/>
        </w:rPr>
        <w:t xml:space="preserve"> </w:t>
      </w:r>
      <w:r w:rsidR="006E786A" w:rsidRPr="003478AF">
        <w:rPr>
          <w:rFonts w:cs="Arial"/>
          <w:szCs w:val="20"/>
        </w:rPr>
        <w:t>(technologiczne)</w:t>
      </w:r>
      <w:r w:rsidRPr="003478AF">
        <w:rPr>
          <w:rFonts w:cs="Arial"/>
          <w:szCs w:val="20"/>
        </w:rPr>
        <w:t xml:space="preserve"> </w:t>
      </w:r>
      <w:bookmarkEnd w:id="64"/>
      <w:r w:rsidRPr="003478AF">
        <w:rPr>
          <w:rFonts w:cs="Arial"/>
          <w:szCs w:val="20"/>
        </w:rPr>
        <w:t>(</w:t>
      </w:r>
      <w:r w:rsidR="00381971" w:rsidRPr="003478AF">
        <w:rPr>
          <w:rFonts w:cs="Arial"/>
          <w:szCs w:val="20"/>
        </w:rPr>
        <w:t>ryc.</w:t>
      </w:r>
      <w:r w:rsidRPr="003478AF">
        <w:rPr>
          <w:rFonts w:cs="Arial"/>
          <w:noProof/>
          <w:szCs w:val="20"/>
        </w:rPr>
        <w:t xml:space="preserve"> </w:t>
      </w:r>
      <w:r w:rsidR="00863BE9" w:rsidRPr="003478AF">
        <w:rPr>
          <w:rFonts w:cs="Arial"/>
          <w:noProof/>
          <w:szCs w:val="20"/>
        </w:rPr>
        <w:t>7</w:t>
      </w:r>
      <w:r w:rsidR="00EA1321" w:rsidRPr="003478AF">
        <w:rPr>
          <w:rFonts w:cs="Arial"/>
          <w:noProof/>
          <w:szCs w:val="20"/>
        </w:rPr>
        <w:t>.1</w:t>
      </w:r>
      <w:r w:rsidR="00E96D67" w:rsidRPr="003478AF">
        <w:rPr>
          <w:rFonts w:cs="Arial"/>
          <w:noProof/>
          <w:szCs w:val="20"/>
        </w:rPr>
        <w:t>)</w:t>
      </w:r>
    </w:p>
    <w:p w14:paraId="04C680E1" w14:textId="77777777" w:rsidR="00E96D67" w:rsidRPr="003478AF" w:rsidRDefault="00E96D67" w:rsidP="00A4134F">
      <w:pPr>
        <w:jc w:val="left"/>
      </w:pPr>
    </w:p>
    <w:p w14:paraId="05EF510C" w14:textId="2C0BCE46" w:rsidR="00A4134F" w:rsidRPr="003478AF" w:rsidRDefault="00A4134F" w:rsidP="00986D40">
      <w:pPr>
        <w:pStyle w:val="ARYCINA"/>
      </w:pPr>
      <w:r w:rsidRPr="003478AF">
        <w:t>Ryc.</w:t>
      </w:r>
      <w:r w:rsidR="00863BE9" w:rsidRPr="003478AF">
        <w:t xml:space="preserve"> 7.1</w:t>
      </w:r>
      <w:r w:rsidRPr="003478AF">
        <w:t xml:space="preserve"> Bariery w imple</w:t>
      </w:r>
      <w:r w:rsidR="0075734A" w:rsidRPr="003478AF">
        <w:t>mentacji gospodarki cyrkularnej</w:t>
      </w:r>
    </w:p>
    <w:p w14:paraId="0950AF58" w14:textId="5D476A02" w:rsidR="00A4134F" w:rsidRPr="003478AF" w:rsidRDefault="00A4134F" w:rsidP="00E6136F">
      <w:pPr>
        <w:jc w:val="center"/>
        <w:rPr>
          <w:rFonts w:cs="Arial"/>
          <w:szCs w:val="20"/>
        </w:rPr>
      </w:pPr>
      <w:r w:rsidRPr="003478AF">
        <w:rPr>
          <w:rFonts w:cs="Arial"/>
          <w:noProof/>
          <w:szCs w:val="20"/>
          <w:lang w:eastAsia="pl-PL"/>
        </w:rPr>
        <w:drawing>
          <wp:inline distT="0" distB="0" distL="0" distR="0" wp14:anchorId="4BBA5E35" wp14:editId="0D441DC6">
            <wp:extent cx="4851400" cy="2762250"/>
            <wp:effectExtent l="0" t="0" r="0" b="0"/>
            <wp:docPr id="2" name="Diagram 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72" r:lo="rId73" r:qs="rId74" r:cs="rId75"/>
              </a:graphicData>
            </a:graphic>
          </wp:inline>
        </w:drawing>
      </w:r>
    </w:p>
    <w:p w14:paraId="5DB9859A" w14:textId="65CDF6F9" w:rsidR="005C5755" w:rsidRPr="003478AF" w:rsidRDefault="005C5755" w:rsidP="00986D40">
      <w:pPr>
        <w:pStyle w:val="AZRODLO"/>
      </w:pPr>
      <w:r w:rsidRPr="003478AF">
        <w:t xml:space="preserve">Źródło: </w:t>
      </w:r>
      <w:r w:rsidR="00AE2BFC" w:rsidRPr="003478AF">
        <w:t>O</w:t>
      </w:r>
      <w:r w:rsidRPr="003478AF">
        <w:t>pracowanie własne</w:t>
      </w:r>
    </w:p>
    <w:p w14:paraId="6AEB8839" w14:textId="77777777" w:rsidR="005C5755" w:rsidRPr="003478AF" w:rsidRDefault="005C5755" w:rsidP="00986D40">
      <w:pPr>
        <w:pStyle w:val="AZRODLO"/>
      </w:pPr>
    </w:p>
    <w:p w14:paraId="35F4A3AB" w14:textId="70F69327" w:rsidR="00B5324B" w:rsidRPr="003478AF" w:rsidRDefault="00A4134F" w:rsidP="00A4134F">
      <w:r w:rsidRPr="003478AF">
        <w:t xml:space="preserve">Wśród problemów związanych z realizacją podejmowanych działań wpisujących się </w:t>
      </w:r>
      <w:r w:rsidR="00655961" w:rsidRPr="003478AF">
        <w:br/>
      </w:r>
      <w:r w:rsidRPr="003478AF">
        <w:t xml:space="preserve">w GOZ </w:t>
      </w:r>
      <w:r w:rsidR="0034696C" w:rsidRPr="003478AF">
        <w:t xml:space="preserve">wielkopolscy </w:t>
      </w:r>
      <w:r w:rsidRPr="003478AF">
        <w:t xml:space="preserve">przedsiębiorcy ze zróżnicowanych branż wskazywali przede wszystkim </w:t>
      </w:r>
      <w:r w:rsidR="005C5755" w:rsidRPr="003478AF">
        <w:t>bariery organizacyjne (33</w:t>
      </w:r>
      <w:r w:rsidR="00880BEB" w:rsidRPr="003478AF">
        <w:t>,3</w:t>
      </w:r>
      <w:r w:rsidR="005C5755" w:rsidRPr="003478AF">
        <w:t>%)</w:t>
      </w:r>
      <w:r w:rsidR="00186917" w:rsidRPr="003478AF">
        <w:t xml:space="preserve"> </w:t>
      </w:r>
      <w:r w:rsidRPr="003478AF">
        <w:t>(</w:t>
      </w:r>
      <w:r w:rsidR="00381971" w:rsidRPr="003478AF">
        <w:t>ryc.</w:t>
      </w:r>
      <w:r w:rsidR="00EA1321" w:rsidRPr="003478AF">
        <w:t xml:space="preserve"> </w:t>
      </w:r>
      <w:r w:rsidR="00863BE9" w:rsidRPr="003478AF">
        <w:t>7</w:t>
      </w:r>
      <w:r w:rsidR="00EA1321" w:rsidRPr="003478AF">
        <w:t>.2</w:t>
      </w:r>
      <w:r w:rsidRPr="003478AF">
        <w:t xml:space="preserve">). </w:t>
      </w:r>
      <w:r w:rsidR="00186917" w:rsidRPr="003478AF">
        <w:t xml:space="preserve">Do tej grupy zaliczają się następujące ograniczenia: struktura organizacyjna niedopasowana do </w:t>
      </w:r>
      <w:r w:rsidR="00EE2E4C" w:rsidRPr="003478AF">
        <w:t xml:space="preserve">wdrażanych </w:t>
      </w:r>
      <w:r w:rsidR="00186917" w:rsidRPr="003478AF">
        <w:t xml:space="preserve">działań wpisujących się w GOZ, brak osób odpowiedzialnych za realizację strategii GOZ, trudności ze znalezieniem podmiotów </w:t>
      </w:r>
      <w:r w:rsidR="0049100C" w:rsidRPr="003478AF">
        <w:br/>
        <w:t xml:space="preserve">w </w:t>
      </w:r>
      <w:r w:rsidR="00186917" w:rsidRPr="003478AF">
        <w:t xml:space="preserve">łańcuchu wartości. </w:t>
      </w:r>
      <w:r w:rsidR="00880BEB" w:rsidRPr="003478AF">
        <w:t xml:space="preserve">Problemy te zgłaszały najczęściej małe podmioty. Innymi </w:t>
      </w:r>
      <w:r w:rsidR="001666D8" w:rsidRPr="003478AF">
        <w:t>często</w:t>
      </w:r>
      <w:r w:rsidR="00880BEB" w:rsidRPr="003478AF">
        <w:t xml:space="preserve"> wymienianymi barierami są </w:t>
      </w:r>
      <w:r w:rsidR="009B1A31" w:rsidRPr="003478AF">
        <w:t xml:space="preserve">aspekty </w:t>
      </w:r>
      <w:r w:rsidR="00880BEB" w:rsidRPr="003478AF">
        <w:t xml:space="preserve">prawne (21,2%) i finansowe (18,2%). </w:t>
      </w:r>
      <w:r w:rsidR="009B1A31" w:rsidRPr="003478AF">
        <w:t>M</w:t>
      </w:r>
      <w:r w:rsidR="00880BEB" w:rsidRPr="003478AF">
        <w:t xml:space="preserve">ikro- i małe przedsiębiorstwa wskazywały </w:t>
      </w:r>
      <w:r w:rsidR="009B1A31" w:rsidRPr="003478AF">
        <w:t xml:space="preserve">przede wszystkim </w:t>
      </w:r>
      <w:r w:rsidR="00880BEB" w:rsidRPr="003478AF">
        <w:t xml:space="preserve">na szybko zmieniające się otoczenie wymuszające częste modyfikowanie wdrażanej strategii. W kwestiach finansowych </w:t>
      </w:r>
      <w:r w:rsidR="00D63CBB" w:rsidRPr="003478AF">
        <w:t xml:space="preserve">podkreślano problem niewystarczających środków finansowych przeznaczonych na realizację GOZ oraz wysokie koszty prowadzenia działalności. </w:t>
      </w:r>
      <w:r w:rsidR="00B5324B" w:rsidRPr="003478AF">
        <w:t>Głównie małe firmy wskazywały na bariery technologiczne (</w:t>
      </w:r>
      <w:r w:rsidR="00E96D67" w:rsidRPr="003478AF">
        <w:t>15,2%</w:t>
      </w:r>
      <w:r w:rsidR="00B5324B" w:rsidRPr="003478AF">
        <w:t>), tj. trudności w nabyciu/opracowaniu innowacji lub nowych technologii. Mikro-, małe i średnie firmy sygnalizowały także istnienie barier komunikacyjnych</w:t>
      </w:r>
      <w:r w:rsidR="00E96D67" w:rsidRPr="003478AF">
        <w:t xml:space="preserve"> (12,1%)</w:t>
      </w:r>
      <w:r w:rsidR="00B5324B" w:rsidRPr="003478AF">
        <w:t xml:space="preserve">, </w:t>
      </w:r>
      <w:r w:rsidR="00342E5C" w:rsidRPr="003478AF">
        <w:br/>
      </w:r>
      <w:r w:rsidR="00B5324B" w:rsidRPr="003478AF">
        <w:t>w szczególności brak efektywnego systemu komunikowania celów strategicznych GOZ.</w:t>
      </w:r>
    </w:p>
    <w:p w14:paraId="546BFE92" w14:textId="39F3F2BC" w:rsidR="00483FAF" w:rsidRPr="003478AF" w:rsidRDefault="00B5324B" w:rsidP="00A4134F">
      <w:r w:rsidRPr="003478AF">
        <w:t>Ponadto w</w:t>
      </w:r>
      <w:r w:rsidR="00D63CBB" w:rsidRPr="003478AF">
        <w:t xml:space="preserve">skazywano na niską świadomość uczestników rynku odnośnie modelu GOZ oraz negatywny wpływ </w:t>
      </w:r>
      <w:r w:rsidR="00547862" w:rsidRPr="003478AF">
        <w:t xml:space="preserve">pandemii </w:t>
      </w:r>
      <w:r w:rsidR="009B1A31" w:rsidRPr="003478AF">
        <w:t>koronawirusa</w:t>
      </w:r>
      <w:r w:rsidR="00A528FB" w:rsidRPr="003478AF">
        <w:t>, głównie uwidoczniony zmniejszeniem przychodów w przedsiębiorstwach, co m</w:t>
      </w:r>
      <w:r w:rsidR="009B1A31" w:rsidRPr="003478AF">
        <w:t>iało</w:t>
      </w:r>
      <w:r w:rsidR="00A528FB" w:rsidRPr="003478AF">
        <w:t xml:space="preserve"> bezpośrednie przełożenie na konieczność </w:t>
      </w:r>
      <w:r w:rsidR="00A528FB" w:rsidRPr="003478AF">
        <w:lastRenderedPageBreak/>
        <w:t xml:space="preserve">zmniejszania kosztów, </w:t>
      </w:r>
      <w:r w:rsidR="009B1A31" w:rsidRPr="003478AF">
        <w:t>jednak</w:t>
      </w:r>
      <w:r w:rsidR="00A528FB" w:rsidRPr="003478AF">
        <w:t xml:space="preserve"> niezwiązanych z podstawową działalnością (np. wydatki na badania, rozwój i innowacje).</w:t>
      </w:r>
    </w:p>
    <w:p w14:paraId="1E93C659" w14:textId="77777777" w:rsidR="00483FAF" w:rsidRPr="003478AF" w:rsidRDefault="00483FAF" w:rsidP="00A4134F"/>
    <w:p w14:paraId="5A1F8D73" w14:textId="226E6FFD" w:rsidR="00AE2BFC" w:rsidRPr="003478AF" w:rsidRDefault="0069349B" w:rsidP="00986D40">
      <w:pPr>
        <w:pStyle w:val="ARYCINA"/>
      </w:pPr>
      <w:r w:rsidRPr="003478AF">
        <w:t>Ryc.</w:t>
      </w:r>
      <w:r w:rsidR="00863BE9" w:rsidRPr="003478AF">
        <w:t xml:space="preserve"> 7.2</w:t>
      </w:r>
      <w:r w:rsidRPr="003478AF">
        <w:t xml:space="preserve"> Bariery w implementacji rozwiązań GOZ według wielkopolskich przedsiębiorców</w:t>
      </w:r>
    </w:p>
    <w:p w14:paraId="39409689" w14:textId="3C5D15F1" w:rsidR="004F48E0" w:rsidRPr="003478AF" w:rsidRDefault="004F48E0" w:rsidP="00986D40">
      <w:pPr>
        <w:pStyle w:val="ARYCINA"/>
      </w:pPr>
      <w:r w:rsidRPr="003478AF">
        <w:rPr>
          <w:noProof/>
          <w:lang w:eastAsia="pl-PL"/>
        </w:rPr>
        <w:drawing>
          <wp:inline distT="0" distB="0" distL="0" distR="0" wp14:anchorId="1C77CAF8" wp14:editId="5069A48B">
            <wp:extent cx="2948940" cy="2948940"/>
            <wp:effectExtent l="0" t="0" r="3810" b="3810"/>
            <wp:docPr id="6" name="Obraz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Obraz 6"/>
                    <pic:cNvPicPr/>
                  </pic:nvPicPr>
                  <pic:blipFill>
                    <a:blip r:embed="rId77"/>
                    <a:stretch>
                      <a:fillRect/>
                    </a:stretch>
                  </pic:blipFill>
                  <pic:spPr>
                    <a:xfrm>
                      <a:off x="0" y="0"/>
                      <a:ext cx="2954656" cy="2954656"/>
                    </a:xfrm>
                    <a:prstGeom prst="rect">
                      <a:avLst/>
                    </a:prstGeom>
                  </pic:spPr>
                </pic:pic>
              </a:graphicData>
            </a:graphic>
          </wp:inline>
        </w:drawing>
      </w:r>
    </w:p>
    <w:p w14:paraId="1C0C2451" w14:textId="77777777" w:rsidR="0069349B" w:rsidRPr="003478AF" w:rsidRDefault="0069349B" w:rsidP="00B518C8">
      <w:pPr>
        <w:jc w:val="center"/>
      </w:pPr>
    </w:p>
    <w:p w14:paraId="6E4EDAB0" w14:textId="1A993972" w:rsidR="0069349B" w:rsidRPr="003478AF" w:rsidRDefault="0069349B" w:rsidP="00986D40">
      <w:pPr>
        <w:pStyle w:val="AZRODLO"/>
      </w:pPr>
      <w:r w:rsidRPr="003478AF">
        <w:t xml:space="preserve">Źródło: </w:t>
      </w:r>
      <w:r w:rsidR="002A4ED7" w:rsidRPr="003478AF">
        <w:t>O</w:t>
      </w:r>
      <w:r w:rsidRPr="003478AF">
        <w:t>pracowanie własne na podstawie ankietyzacji</w:t>
      </w:r>
      <w:r w:rsidR="00560383" w:rsidRPr="003478AF">
        <w:t xml:space="preserve">; komunik. </w:t>
      </w:r>
      <w:r w:rsidR="00186917" w:rsidRPr="003478AF">
        <w:t>–</w:t>
      </w:r>
      <w:r w:rsidR="00560383" w:rsidRPr="003478AF">
        <w:t xml:space="preserve"> komunikacyjne</w:t>
      </w:r>
      <w:r w:rsidR="00186917" w:rsidRPr="003478AF">
        <w:t>, technol. – technologiczne; przedsiębiorstwa: mikroprzedsiębiorstwo (mniej niż 10 pracowników), małe (mniej niż 50 pracowników), średnie (mniej niż 250 pracowników), duże (powyżej 250 pracowników)</w:t>
      </w:r>
    </w:p>
    <w:p w14:paraId="351F32A0" w14:textId="77777777" w:rsidR="00136B48" w:rsidRPr="003478AF" w:rsidRDefault="00136B48" w:rsidP="00986D40">
      <w:pPr>
        <w:pStyle w:val="AZRODLO"/>
      </w:pPr>
    </w:p>
    <w:p w14:paraId="69AC0783" w14:textId="0676A59F" w:rsidR="00504FAB" w:rsidRPr="003478AF" w:rsidRDefault="0040015F" w:rsidP="009B1A31">
      <w:r w:rsidRPr="003478AF">
        <w:t xml:space="preserve">Na podstawie </w:t>
      </w:r>
      <w:r w:rsidR="00136B48" w:rsidRPr="003478AF">
        <w:t>ankietyzacji, wywiadów eksperckich oraz analiz danych zastanych opisano najistotniejsze bariery wdrażania gospodarki cyrkularnej w Wielkopolsce</w:t>
      </w:r>
      <w:r w:rsidR="00E1261C" w:rsidRPr="003478AF">
        <w:t>:</w:t>
      </w:r>
    </w:p>
    <w:p w14:paraId="5EF692A2" w14:textId="77777777" w:rsidR="00136B48" w:rsidRPr="003478AF" w:rsidRDefault="00136B48" w:rsidP="0040015F">
      <w:pPr>
        <w:ind w:firstLine="0"/>
      </w:pPr>
    </w:p>
    <w:p w14:paraId="4EEEFCD8" w14:textId="7498A3E2" w:rsidR="00107CC6" w:rsidRPr="003478AF" w:rsidRDefault="00545239" w:rsidP="00175EF7">
      <w:pPr>
        <w:ind w:firstLine="0"/>
        <w:rPr>
          <w:rFonts w:cs="Arial"/>
          <w:b/>
          <w:bCs/>
          <w:szCs w:val="20"/>
        </w:rPr>
      </w:pPr>
      <w:r w:rsidRPr="003478AF">
        <w:rPr>
          <w:rFonts w:cs="Arial"/>
          <w:b/>
          <w:bCs/>
          <w:szCs w:val="20"/>
        </w:rPr>
        <w:t>B</w:t>
      </w:r>
      <w:r w:rsidR="00107CC6" w:rsidRPr="003478AF">
        <w:rPr>
          <w:rFonts w:cs="Arial"/>
          <w:b/>
          <w:bCs/>
          <w:szCs w:val="20"/>
        </w:rPr>
        <w:t>ariery mentalne</w:t>
      </w:r>
      <w:r w:rsidRPr="003478AF">
        <w:rPr>
          <w:rFonts w:cs="Arial"/>
          <w:b/>
          <w:bCs/>
          <w:szCs w:val="20"/>
        </w:rPr>
        <w:t xml:space="preserve"> – świadomość</w:t>
      </w:r>
    </w:p>
    <w:p w14:paraId="423A374F" w14:textId="4EC17FF9" w:rsidR="00A4134F" w:rsidRPr="003478AF" w:rsidRDefault="00A4134F" w:rsidP="00A4134F">
      <w:pPr>
        <w:rPr>
          <w:rFonts w:cs="Arial"/>
          <w:szCs w:val="20"/>
        </w:rPr>
      </w:pPr>
      <w:r w:rsidRPr="003478AF">
        <w:rPr>
          <w:rFonts w:cs="Arial"/>
          <w:szCs w:val="20"/>
        </w:rPr>
        <w:t xml:space="preserve">Najczęściej wskazywaną barierą jest niska świadomość uczestników rynku. Związane jest to z brakiem wiedzy w obszarze modelu gospodarki cyrkularnej, w mniejszym stopniu </w:t>
      </w:r>
      <w:r w:rsidR="00655961" w:rsidRPr="003478AF">
        <w:rPr>
          <w:rFonts w:cs="Arial"/>
          <w:szCs w:val="20"/>
        </w:rPr>
        <w:br/>
      </w:r>
      <w:r w:rsidRPr="003478AF">
        <w:rPr>
          <w:rFonts w:cs="Arial"/>
          <w:szCs w:val="20"/>
        </w:rPr>
        <w:t xml:space="preserve">w zakresie ochrony środowiska i świadomości ekologicznej, zarówno </w:t>
      </w:r>
      <w:r w:rsidR="0049100C" w:rsidRPr="003478AF">
        <w:rPr>
          <w:rFonts w:cs="Arial"/>
          <w:szCs w:val="20"/>
        </w:rPr>
        <w:t xml:space="preserve">wśród </w:t>
      </w:r>
      <w:r w:rsidRPr="003478AF">
        <w:rPr>
          <w:rFonts w:cs="Arial"/>
          <w:szCs w:val="20"/>
        </w:rPr>
        <w:t>konsumentów, producentów (przedsiębiorców), jak i organizatorów rynku (samorządy, administracja). Bariery mentaln</w:t>
      </w:r>
      <w:r w:rsidR="001135D9" w:rsidRPr="003478AF">
        <w:rPr>
          <w:rFonts w:cs="Arial"/>
          <w:szCs w:val="20"/>
        </w:rPr>
        <w:t>e</w:t>
      </w:r>
      <w:r w:rsidRPr="003478AF">
        <w:rPr>
          <w:rFonts w:cs="Arial"/>
          <w:szCs w:val="20"/>
        </w:rPr>
        <w:t xml:space="preserve"> wymagają długotrwałego oddziaływania o szerokim zasięgu na zróżnicowane grupy społeczne, stąd też i</w:t>
      </w:r>
      <w:r w:rsidR="001D3CAF" w:rsidRPr="003478AF">
        <w:rPr>
          <w:rFonts w:cs="Arial"/>
          <w:szCs w:val="20"/>
        </w:rPr>
        <w:t>ch</w:t>
      </w:r>
      <w:r w:rsidRPr="003478AF">
        <w:rPr>
          <w:rFonts w:cs="Arial"/>
          <w:szCs w:val="20"/>
        </w:rPr>
        <w:t xml:space="preserve"> pokonanie wymaga najintensywniejszego działania.</w:t>
      </w:r>
    </w:p>
    <w:p w14:paraId="1E843616" w14:textId="626E689D" w:rsidR="00A4134F" w:rsidRPr="003478AF" w:rsidRDefault="00A4134F" w:rsidP="004F48E0">
      <w:pPr>
        <w:rPr>
          <w:rFonts w:cs="Arial"/>
          <w:szCs w:val="20"/>
        </w:rPr>
      </w:pPr>
      <w:r w:rsidRPr="003478AF">
        <w:rPr>
          <w:rFonts w:cs="Arial"/>
          <w:szCs w:val="20"/>
        </w:rPr>
        <w:t>Podążając za sukcesem gospodarczym społeczeństwo ulega złudzeniu wykładniczego i nieskończonego wzrostu gospodarczego związanego ze zwiększonym popytem na pierwotne zasoby. Pociąga to za sobą aktywności i działania w ramach konsumpcyjnego modelu gospodarowania, które pozwalają osiągnąć dynamiczny wzrost PKB. Według szacunków OECD światowe zużycie materiałów t</w:t>
      </w:r>
      <w:r w:rsidR="0049100C" w:rsidRPr="003478AF">
        <w:rPr>
          <w:rFonts w:cs="Arial"/>
          <w:szCs w:val="20"/>
        </w:rPr>
        <w:t xml:space="preserve">akich </w:t>
      </w:r>
      <w:r w:rsidR="00706E05" w:rsidRPr="003478AF">
        <w:rPr>
          <w:rFonts w:cs="Arial"/>
          <w:szCs w:val="20"/>
        </w:rPr>
        <w:t>j</w:t>
      </w:r>
      <w:r w:rsidR="0049100C" w:rsidRPr="003478AF">
        <w:rPr>
          <w:rFonts w:cs="Arial"/>
          <w:szCs w:val="20"/>
        </w:rPr>
        <w:t>ak</w:t>
      </w:r>
      <w:r w:rsidRPr="003478AF">
        <w:rPr>
          <w:rFonts w:cs="Arial"/>
          <w:szCs w:val="20"/>
        </w:rPr>
        <w:t xml:space="preserve"> biomasa, paliwa kopalne, metale i minerały podwoi się w ciągu najbliższych czterdziestu lat</w:t>
      </w:r>
      <w:r w:rsidR="001135D9" w:rsidRPr="003478AF">
        <w:rPr>
          <w:rStyle w:val="Odwoanieprzypisudolnego"/>
        </w:rPr>
        <w:footnoteReference w:id="131"/>
      </w:r>
      <w:r w:rsidRPr="003478AF">
        <w:rPr>
          <w:rFonts w:cs="Arial"/>
          <w:szCs w:val="20"/>
        </w:rPr>
        <w:t xml:space="preserve">. Przy stale wzrastającej konsumpcji, ilość </w:t>
      </w:r>
      <w:r w:rsidRPr="003478AF">
        <w:rPr>
          <w:rFonts w:cs="Arial"/>
          <w:szCs w:val="20"/>
        </w:rPr>
        <w:lastRenderedPageBreak/>
        <w:t>rocznie wytwarzanych odpadów mo</w:t>
      </w:r>
      <w:r w:rsidR="0049100C" w:rsidRPr="003478AF">
        <w:rPr>
          <w:rFonts w:cs="Arial"/>
          <w:szCs w:val="20"/>
        </w:rPr>
        <w:t>że</w:t>
      </w:r>
      <w:r w:rsidRPr="003478AF">
        <w:rPr>
          <w:rFonts w:cs="Arial"/>
          <w:szCs w:val="20"/>
        </w:rPr>
        <w:t xml:space="preserve"> wzrosnąć o 70% do 2050 roku</w:t>
      </w:r>
      <w:r w:rsidRPr="003478AF">
        <w:rPr>
          <w:rStyle w:val="Odwoanieprzypisudolnego"/>
        </w:rPr>
        <w:footnoteReference w:id="132"/>
      </w:r>
      <w:r w:rsidRPr="003478AF">
        <w:rPr>
          <w:rFonts w:cs="Arial"/>
          <w:szCs w:val="20"/>
        </w:rPr>
        <w:t>. Natomiast globalne wdrożenie rozwiązań gospodarki cyrkularnej według fundacji Ellen MacArthur pozwoliłoby na ograniczenie zużycia surowców nawet o 24% do 2030 roku</w:t>
      </w:r>
      <w:r w:rsidRPr="003478AF">
        <w:rPr>
          <w:rStyle w:val="Odwoanieprzypisudolnego"/>
        </w:rPr>
        <w:footnoteReference w:id="133"/>
      </w:r>
      <w:r w:rsidRPr="003478AF">
        <w:rPr>
          <w:rFonts w:cs="Arial"/>
          <w:szCs w:val="20"/>
        </w:rPr>
        <w:t>.</w:t>
      </w:r>
    </w:p>
    <w:p w14:paraId="3DF571F1" w14:textId="316692D2" w:rsidR="00A4134F" w:rsidRPr="003478AF" w:rsidRDefault="00A4134F" w:rsidP="00A4134F">
      <w:pPr>
        <w:rPr>
          <w:rFonts w:cs="Arial"/>
          <w:szCs w:val="20"/>
        </w:rPr>
      </w:pPr>
      <w:r w:rsidRPr="003478AF">
        <w:rPr>
          <w:rFonts w:cs="Arial"/>
          <w:szCs w:val="20"/>
        </w:rPr>
        <w:t>W gospodarce neoliberalnej konieczność ograniczania konsumpcji spowodowana zmniejszającą się liczbą zasobów i zwiększającym zanieczyszczeniem środowiska jest traktowana w sposób sugestywny. Z tego powodu kwestia edukacji jest bardzo ist</w:t>
      </w:r>
      <w:r w:rsidR="001135D9" w:rsidRPr="003478AF">
        <w:rPr>
          <w:rFonts w:cs="Arial"/>
          <w:szCs w:val="20"/>
        </w:rPr>
        <w:t>otna. Kształcenie społeczeństwa</w:t>
      </w:r>
      <w:r w:rsidRPr="003478AF">
        <w:rPr>
          <w:rFonts w:cs="Arial"/>
          <w:szCs w:val="20"/>
        </w:rPr>
        <w:t xml:space="preserve"> już na etapie wczesnego nauczania stanowi niezbędną bazę</w:t>
      </w:r>
      <w:r w:rsidR="002C7B4A" w:rsidRPr="003478AF">
        <w:rPr>
          <w:rFonts w:cs="Arial"/>
          <w:szCs w:val="20"/>
        </w:rPr>
        <w:t xml:space="preserve"> </w:t>
      </w:r>
      <w:r w:rsidRPr="003478AF">
        <w:rPr>
          <w:rFonts w:cs="Arial"/>
          <w:szCs w:val="20"/>
        </w:rPr>
        <w:t>do podjęcia kroków w kierunku zrównoważonego rozwoju.</w:t>
      </w:r>
    </w:p>
    <w:p w14:paraId="6B86CCEB" w14:textId="20157B5A" w:rsidR="00A4134F" w:rsidRPr="003478AF" w:rsidRDefault="00A4134F" w:rsidP="00A4134F">
      <w:pPr>
        <w:rPr>
          <w:rFonts w:cs="Arial"/>
          <w:szCs w:val="20"/>
        </w:rPr>
      </w:pPr>
      <w:r w:rsidRPr="003478AF">
        <w:rPr>
          <w:rFonts w:cs="Arial"/>
          <w:szCs w:val="20"/>
        </w:rPr>
        <w:t>Istotnym elementem wskazanej bariery jest „tkwienie w tzw. strefie komfortu”. Wypracowanie nowych, bardziej zrównoważonych procesów produkcji i konsumpcji wymaga zaangażowania i nakładów finansowych, co odbierane jest nadal jako nadprogramowe działanie. Wdrażanie modelu GOZ wymusza implementacje nowych technologii w celu przekształceni</w:t>
      </w:r>
      <w:r w:rsidR="00EB2595" w:rsidRPr="003478AF">
        <w:rPr>
          <w:rFonts w:cs="Arial"/>
          <w:szCs w:val="20"/>
        </w:rPr>
        <w:t>a</w:t>
      </w:r>
      <w:r w:rsidRPr="003478AF">
        <w:rPr>
          <w:rFonts w:cs="Arial"/>
          <w:szCs w:val="20"/>
        </w:rPr>
        <w:t xml:space="preserve"> procedur produkcyjnych, zarówno na etapie projektu, wytwarzania, odzysku, regeneracji, naprawy, jak i recyklingu. Szczególnie istotny jest wysiłek włożony w </w:t>
      </w:r>
      <w:r w:rsidR="00FA1A42" w:rsidRPr="003478AF">
        <w:rPr>
          <w:rFonts w:cs="Arial"/>
          <w:szCs w:val="20"/>
        </w:rPr>
        <w:t>etap</w:t>
      </w:r>
      <w:r w:rsidRPr="003478AF">
        <w:rPr>
          <w:rFonts w:cs="Arial"/>
          <w:szCs w:val="20"/>
        </w:rPr>
        <w:t xml:space="preserve"> projektowania, która wpływa na kolejne fazy życia produktu i warunkuje rozwój założeń GOZ. Brak wiedzy odnośnie GOZ powoduje negatywne nastawienie producentów. Bariera mentalnościowa wywołuje lęk związan</w:t>
      </w:r>
      <w:r w:rsidR="00BF0812" w:rsidRPr="003478AF">
        <w:rPr>
          <w:rFonts w:cs="Arial"/>
          <w:szCs w:val="20"/>
        </w:rPr>
        <w:t>y</w:t>
      </w:r>
      <w:r w:rsidRPr="003478AF">
        <w:rPr>
          <w:rFonts w:cs="Arial"/>
          <w:szCs w:val="20"/>
        </w:rPr>
        <w:t xml:space="preserve"> z wdrażaniem GOZ</w:t>
      </w:r>
      <w:r w:rsidR="00BF0812" w:rsidRPr="003478AF">
        <w:rPr>
          <w:rFonts w:cs="Arial"/>
          <w:szCs w:val="20"/>
        </w:rPr>
        <w:t>,</w:t>
      </w:r>
      <w:r w:rsidRPr="003478AF">
        <w:rPr>
          <w:rFonts w:cs="Arial"/>
          <w:szCs w:val="20"/>
        </w:rPr>
        <w:t xml:space="preserve"> </w:t>
      </w:r>
      <w:r w:rsidR="00E631A8" w:rsidRPr="003478AF">
        <w:rPr>
          <w:rFonts w:cs="Arial"/>
          <w:szCs w:val="20"/>
        </w:rPr>
        <w:t xml:space="preserve">traktowanej </w:t>
      </w:r>
      <w:r w:rsidRPr="003478AF">
        <w:rPr>
          <w:rFonts w:cs="Arial"/>
          <w:szCs w:val="20"/>
        </w:rPr>
        <w:t xml:space="preserve">jak kolejny koszt działalności. </w:t>
      </w:r>
    </w:p>
    <w:p w14:paraId="540480E2" w14:textId="13672ECC" w:rsidR="00A4134F" w:rsidRPr="003478AF" w:rsidRDefault="00A4134F" w:rsidP="00A4134F">
      <w:pPr>
        <w:rPr>
          <w:rFonts w:cstheme="majorHAnsi"/>
        </w:rPr>
      </w:pPr>
      <w:r w:rsidRPr="003478AF">
        <w:rPr>
          <w:rFonts w:cs="Arial"/>
          <w:szCs w:val="20"/>
        </w:rPr>
        <w:t xml:space="preserve">Niska społeczna i konsumencka świadomość stopniowo </w:t>
      </w:r>
      <w:r w:rsidR="00E631A8" w:rsidRPr="003478AF">
        <w:rPr>
          <w:rFonts w:cs="Arial"/>
          <w:szCs w:val="20"/>
        </w:rPr>
        <w:t xml:space="preserve">się </w:t>
      </w:r>
      <w:r w:rsidRPr="003478AF">
        <w:rPr>
          <w:rFonts w:cs="Arial"/>
          <w:szCs w:val="20"/>
        </w:rPr>
        <w:t xml:space="preserve">zmienia, jednak jest to głównie widoczne wśród młodego pokolenia, </w:t>
      </w:r>
      <w:r w:rsidR="001135D9" w:rsidRPr="003478AF">
        <w:rPr>
          <w:rFonts w:cs="Arial"/>
          <w:szCs w:val="20"/>
        </w:rPr>
        <w:t xml:space="preserve">które </w:t>
      </w:r>
      <w:r w:rsidRPr="003478AF">
        <w:rPr>
          <w:rFonts w:cs="Arial"/>
          <w:szCs w:val="20"/>
        </w:rPr>
        <w:t xml:space="preserve">ze względu na edukację, jak i życie </w:t>
      </w:r>
      <w:r w:rsidR="007C14CB" w:rsidRPr="003478AF">
        <w:rPr>
          <w:rFonts w:cs="Arial"/>
          <w:szCs w:val="20"/>
        </w:rPr>
        <w:br/>
      </w:r>
      <w:r w:rsidRPr="003478AF">
        <w:rPr>
          <w:rFonts w:cs="Arial"/>
          <w:szCs w:val="20"/>
        </w:rPr>
        <w:t>w społeczeństwie przyzwyczajon</w:t>
      </w:r>
      <w:r w:rsidR="001135D9" w:rsidRPr="003478AF">
        <w:rPr>
          <w:rFonts w:cs="Arial"/>
          <w:szCs w:val="20"/>
        </w:rPr>
        <w:t xml:space="preserve">e jest </w:t>
      </w:r>
      <w:r w:rsidRPr="003478AF">
        <w:rPr>
          <w:rFonts w:cs="Arial"/>
          <w:szCs w:val="20"/>
        </w:rPr>
        <w:t xml:space="preserve">do </w:t>
      </w:r>
      <w:r w:rsidR="009C5130" w:rsidRPr="003478AF">
        <w:rPr>
          <w:rFonts w:cs="Arial"/>
          <w:szCs w:val="20"/>
        </w:rPr>
        <w:t xml:space="preserve">dynamicznych zmian i </w:t>
      </w:r>
      <w:r w:rsidRPr="003478AF">
        <w:rPr>
          <w:rFonts w:cs="Arial"/>
          <w:szCs w:val="20"/>
        </w:rPr>
        <w:t>działań nastawionych na ochronę środowiska</w:t>
      </w:r>
      <w:r w:rsidR="004115D8" w:rsidRPr="003478AF">
        <w:rPr>
          <w:rFonts w:cs="Arial"/>
          <w:szCs w:val="20"/>
        </w:rPr>
        <w:t xml:space="preserve">. </w:t>
      </w:r>
      <w:r w:rsidRPr="003478AF">
        <w:rPr>
          <w:rFonts w:cs="Arial"/>
          <w:szCs w:val="20"/>
        </w:rPr>
        <w:t xml:space="preserve">U starszej części społeczeństwa </w:t>
      </w:r>
      <w:r w:rsidR="009C5130" w:rsidRPr="003478AF">
        <w:rPr>
          <w:rFonts w:cs="Arial"/>
          <w:szCs w:val="20"/>
        </w:rPr>
        <w:t>nadal</w:t>
      </w:r>
      <w:r w:rsidRPr="003478AF">
        <w:rPr>
          <w:rFonts w:cs="Arial"/>
          <w:szCs w:val="20"/>
        </w:rPr>
        <w:t xml:space="preserve"> </w:t>
      </w:r>
      <w:r w:rsidR="00BF0812" w:rsidRPr="003478AF">
        <w:rPr>
          <w:rFonts w:cs="Arial"/>
          <w:szCs w:val="20"/>
        </w:rPr>
        <w:t xml:space="preserve">jest to </w:t>
      </w:r>
      <w:r w:rsidRPr="003478AF">
        <w:rPr>
          <w:rFonts w:cs="Arial"/>
          <w:szCs w:val="20"/>
        </w:rPr>
        <w:t xml:space="preserve">problematyczny </w:t>
      </w:r>
      <w:r w:rsidR="00BF0812" w:rsidRPr="003478AF">
        <w:rPr>
          <w:rFonts w:cs="Arial"/>
          <w:szCs w:val="20"/>
        </w:rPr>
        <w:br/>
      </w:r>
      <w:r w:rsidRPr="003478AF">
        <w:rPr>
          <w:rFonts w:cs="Arial"/>
          <w:szCs w:val="20"/>
        </w:rPr>
        <w:t>i kontrowersyjny temat.</w:t>
      </w:r>
      <w:r w:rsidR="009C5130" w:rsidRPr="003478AF">
        <w:rPr>
          <w:rFonts w:cs="Arial"/>
          <w:szCs w:val="20"/>
        </w:rPr>
        <w:t xml:space="preserve"> Z drugiej strony starsze pokolenie jest bardziej skłonne do naprawy przedmiotów niż wymiany na nowy produkt. N</w:t>
      </w:r>
      <w:r w:rsidRPr="003478AF">
        <w:rPr>
          <w:rFonts w:cs="Arial"/>
          <w:szCs w:val="20"/>
        </w:rPr>
        <w:t>iestety</w:t>
      </w:r>
      <w:r w:rsidR="009C5130" w:rsidRPr="003478AF">
        <w:rPr>
          <w:rFonts w:cs="Arial"/>
          <w:szCs w:val="20"/>
        </w:rPr>
        <w:t>,</w:t>
      </w:r>
      <w:r w:rsidRPr="003478AF">
        <w:rPr>
          <w:rFonts w:cs="Arial"/>
          <w:szCs w:val="20"/>
        </w:rPr>
        <w:t xml:space="preserve"> </w:t>
      </w:r>
      <w:r w:rsidR="009C5130" w:rsidRPr="003478AF">
        <w:rPr>
          <w:rFonts w:cs="Arial"/>
          <w:szCs w:val="20"/>
        </w:rPr>
        <w:t xml:space="preserve">niezależnie od wieku, </w:t>
      </w:r>
      <w:r w:rsidRPr="003478AF">
        <w:rPr>
          <w:rFonts w:cs="Arial"/>
          <w:szCs w:val="20"/>
        </w:rPr>
        <w:t>niektóre praktyki niweczą trud edukacyjny. Wśród</w:t>
      </w:r>
      <w:r w:rsidRPr="003478AF">
        <w:rPr>
          <w:rFonts w:cstheme="majorHAnsi"/>
        </w:rPr>
        <w:t xml:space="preserve"> </w:t>
      </w:r>
      <w:r w:rsidR="00BF0812" w:rsidRPr="003478AF">
        <w:rPr>
          <w:rFonts w:cstheme="majorHAnsi"/>
        </w:rPr>
        <w:t>części</w:t>
      </w:r>
      <w:r w:rsidRPr="003478AF">
        <w:rPr>
          <w:rFonts w:cstheme="majorHAnsi"/>
        </w:rPr>
        <w:t xml:space="preserve"> konsumentów nadal panuje przekonanie, </w:t>
      </w:r>
      <w:r w:rsidR="00075829" w:rsidRPr="003478AF">
        <w:rPr>
          <w:rFonts w:cstheme="majorHAnsi"/>
        </w:rPr>
        <w:br/>
      </w:r>
      <w:r w:rsidRPr="003478AF">
        <w:rPr>
          <w:rFonts w:cstheme="majorHAnsi"/>
        </w:rPr>
        <w:t>iż produkty z recyklingu są gorszej jakości. Jest to również powiązane z coraz bardziej zakorzeniającym się konsumpcjonizmem. Producenci wykorzystując agresywny marketing, kreują potrzeby posiadania coraz nowszych i „lepszych” przedmiotów. Niestety często społeczeństwo ulega wpływom influencerów, którzy z pobudek finansowych również p</w:t>
      </w:r>
      <w:r w:rsidR="00BF0812" w:rsidRPr="003478AF">
        <w:rPr>
          <w:rFonts w:cstheme="majorHAnsi"/>
        </w:rPr>
        <w:t>romują takie postawy</w:t>
      </w:r>
      <w:r w:rsidRPr="003478AF">
        <w:rPr>
          <w:rFonts w:cstheme="majorHAnsi"/>
        </w:rPr>
        <w:t>.</w:t>
      </w:r>
    </w:p>
    <w:p w14:paraId="520C0418" w14:textId="426221A4" w:rsidR="004115D8" w:rsidRPr="003478AF" w:rsidRDefault="00A4134F" w:rsidP="004115D8">
      <w:pPr>
        <w:rPr>
          <w:rFonts w:cstheme="majorHAnsi"/>
        </w:rPr>
      </w:pPr>
      <w:r w:rsidRPr="003478AF">
        <w:rPr>
          <w:rFonts w:cstheme="majorHAnsi"/>
        </w:rPr>
        <w:t xml:space="preserve">Konieczne jest uświadomienie konsumentów, iż to ich decyzje i potrzeby określają bezpośrednio działania producentów, wpływając na zużycie zasobów. Rola konsumenta nie </w:t>
      </w:r>
      <w:r w:rsidR="0014030A" w:rsidRPr="003478AF">
        <w:rPr>
          <w:rFonts w:cstheme="majorHAnsi"/>
        </w:rPr>
        <w:t>ogranicza</w:t>
      </w:r>
      <w:r w:rsidRPr="003478AF">
        <w:rPr>
          <w:rFonts w:cstheme="majorHAnsi"/>
        </w:rPr>
        <w:t xml:space="preserve"> się do wykorzystania produktów i wytwarzania odpadów. Działania lokalne na terenie Wielkopolski </w:t>
      </w:r>
      <w:r w:rsidR="002763BE" w:rsidRPr="003478AF">
        <w:rPr>
          <w:rFonts w:cstheme="majorHAnsi"/>
        </w:rPr>
        <w:t xml:space="preserve">wskazują na </w:t>
      </w:r>
      <w:r w:rsidRPr="003478AF">
        <w:rPr>
          <w:rFonts w:cstheme="majorHAnsi"/>
        </w:rPr>
        <w:t xml:space="preserve">stopniowy wzrost świadomości konsumenckiej </w:t>
      </w:r>
      <w:r w:rsidR="002C7B4A" w:rsidRPr="003478AF">
        <w:rPr>
          <w:rFonts w:cstheme="majorHAnsi"/>
        </w:rPr>
        <w:t xml:space="preserve">np. </w:t>
      </w:r>
      <w:r w:rsidRPr="003478AF">
        <w:rPr>
          <w:rFonts w:cstheme="majorHAnsi"/>
        </w:rPr>
        <w:t xml:space="preserve">giveboxy, jadłodzielnie, foodsharing, warsztaty zero-waste, repair caffe – np. w Pile, centra zero-waste </w:t>
      </w:r>
      <w:r w:rsidR="00E631A8" w:rsidRPr="003478AF">
        <w:rPr>
          <w:rFonts w:cstheme="majorHAnsi"/>
        </w:rPr>
        <w:t xml:space="preserve">– </w:t>
      </w:r>
      <w:r w:rsidRPr="003478AF">
        <w:rPr>
          <w:rFonts w:cstheme="majorHAnsi"/>
        </w:rPr>
        <w:t>np. Po-dzielnia w Poznaniu, banki żywności, sklepy second-hand, współdzielnie środków komunikacyjnych, gratowiska, targi zero-waste i inne</w:t>
      </w:r>
      <w:r w:rsidR="002C7B4A" w:rsidRPr="003478AF">
        <w:rPr>
          <w:rFonts w:cstheme="majorHAnsi"/>
        </w:rPr>
        <w:t>. Niestety</w:t>
      </w:r>
      <w:r w:rsidRPr="003478AF">
        <w:rPr>
          <w:rFonts w:cstheme="majorHAnsi"/>
        </w:rPr>
        <w:t xml:space="preserve"> wiele z tych inicjatyw skupia się </w:t>
      </w:r>
      <w:r w:rsidR="002C7B4A" w:rsidRPr="003478AF">
        <w:rPr>
          <w:rFonts w:cstheme="majorHAnsi"/>
        </w:rPr>
        <w:t xml:space="preserve">głównie </w:t>
      </w:r>
      <w:r w:rsidRPr="003478AF">
        <w:rPr>
          <w:rFonts w:cstheme="majorHAnsi"/>
        </w:rPr>
        <w:t xml:space="preserve">w większych miastach. </w:t>
      </w:r>
      <w:r w:rsidR="002763BE" w:rsidRPr="003478AF">
        <w:rPr>
          <w:rFonts w:cstheme="majorHAnsi"/>
        </w:rPr>
        <w:t xml:space="preserve">Rola wymienionych inicjatyw w kształtowaniu świadomości społecznej w kierunku gospodarki cyrkularnej oraz tworzenia „wspólnoty zero-waste” jest nieodzowna, natomiast konieczne jest szerzenie tego typu inicjatyw również </w:t>
      </w:r>
      <w:r w:rsidR="00E631A8" w:rsidRPr="003478AF">
        <w:rPr>
          <w:rFonts w:cstheme="majorHAnsi"/>
        </w:rPr>
        <w:t xml:space="preserve">w </w:t>
      </w:r>
      <w:r w:rsidR="002763BE" w:rsidRPr="003478AF">
        <w:rPr>
          <w:rFonts w:cstheme="majorHAnsi"/>
        </w:rPr>
        <w:t>mniejszych miejscowościach i obszarach wiejskich. Ponadto w</w:t>
      </w:r>
      <w:r w:rsidRPr="003478AF">
        <w:rPr>
          <w:rFonts w:cstheme="majorHAnsi"/>
        </w:rPr>
        <w:t>ciąż niska jest świadomość społeczeństwa o znaczeniu surowców w gospodarce.</w:t>
      </w:r>
    </w:p>
    <w:p w14:paraId="02CFBFD4" w14:textId="5B4C2ECF" w:rsidR="00A4134F" w:rsidRPr="003478AF" w:rsidRDefault="00A4134F" w:rsidP="006F0B7E">
      <w:pPr>
        <w:rPr>
          <w:rFonts w:cstheme="majorHAnsi"/>
        </w:rPr>
      </w:pPr>
      <w:r w:rsidRPr="003478AF">
        <w:rPr>
          <w:rFonts w:cs="Arial"/>
          <w:szCs w:val="20"/>
        </w:rPr>
        <w:lastRenderedPageBreak/>
        <w:t xml:space="preserve">Ograniczeniem w pokonaniu bariery świadomości w stosunku do modelu GOZ są różnego rodzaju działania motywowane symulowaną implementacją gospodarki cyrkularnej, często </w:t>
      </w:r>
      <w:r w:rsidR="004115D8" w:rsidRPr="003478AF">
        <w:rPr>
          <w:rFonts w:cs="Arial"/>
          <w:szCs w:val="20"/>
        </w:rPr>
        <w:t>wynikające z</w:t>
      </w:r>
      <w:r w:rsidRPr="003478AF">
        <w:rPr>
          <w:rFonts w:cs="Arial"/>
          <w:szCs w:val="20"/>
        </w:rPr>
        <w:t xml:space="preserve"> </w:t>
      </w:r>
      <w:r w:rsidR="004115D8" w:rsidRPr="003478AF">
        <w:rPr>
          <w:rFonts w:cs="Arial"/>
          <w:szCs w:val="20"/>
        </w:rPr>
        <w:t>pobudek</w:t>
      </w:r>
      <w:r w:rsidRPr="003478AF">
        <w:rPr>
          <w:rFonts w:cs="Arial"/>
          <w:szCs w:val="20"/>
        </w:rPr>
        <w:t xml:space="preserve"> polityczno-finansow</w:t>
      </w:r>
      <w:r w:rsidR="004115D8" w:rsidRPr="003478AF">
        <w:rPr>
          <w:rFonts w:cs="Arial"/>
          <w:szCs w:val="20"/>
        </w:rPr>
        <w:t>ych</w:t>
      </w:r>
      <w:r w:rsidR="00E631A8" w:rsidRPr="003478AF">
        <w:rPr>
          <w:rFonts w:cs="Arial"/>
          <w:szCs w:val="20"/>
        </w:rPr>
        <w:t>,</w:t>
      </w:r>
      <w:r w:rsidRPr="003478AF">
        <w:rPr>
          <w:rFonts w:cs="Arial"/>
          <w:szCs w:val="20"/>
        </w:rPr>
        <w:t xml:space="preserve"> określane mianem GOZ-washing. Są to zjawiska analogiczne do greenwashing</w:t>
      </w:r>
      <w:r w:rsidR="004115D8" w:rsidRPr="003478AF">
        <w:rPr>
          <w:rFonts w:cs="Arial"/>
          <w:szCs w:val="20"/>
        </w:rPr>
        <w:t>u</w:t>
      </w:r>
      <w:r w:rsidRPr="003478AF">
        <w:rPr>
          <w:rFonts w:cs="Arial"/>
          <w:szCs w:val="20"/>
        </w:rPr>
        <w:t>, tj. działań polegając</w:t>
      </w:r>
      <w:r w:rsidR="004115D8" w:rsidRPr="003478AF">
        <w:rPr>
          <w:rFonts w:cs="Arial"/>
          <w:szCs w:val="20"/>
        </w:rPr>
        <w:t>ych</w:t>
      </w:r>
      <w:r w:rsidRPr="003478AF">
        <w:rPr>
          <w:rFonts w:cs="Arial"/>
          <w:szCs w:val="20"/>
        </w:rPr>
        <w:t xml:space="preserve"> na wywoływaniu </w:t>
      </w:r>
      <w:r w:rsidR="007C14CB" w:rsidRPr="003478AF">
        <w:rPr>
          <w:rFonts w:cs="Arial"/>
          <w:szCs w:val="20"/>
        </w:rPr>
        <w:br/>
      </w:r>
      <w:r w:rsidRPr="003478AF">
        <w:rPr>
          <w:rFonts w:cs="Arial"/>
          <w:szCs w:val="20"/>
        </w:rPr>
        <w:t>u konsumenta</w:t>
      </w:r>
      <w:r w:rsidR="004115D8" w:rsidRPr="003478AF">
        <w:rPr>
          <w:rFonts w:cs="Arial"/>
          <w:szCs w:val="20"/>
        </w:rPr>
        <w:t xml:space="preserve"> mylnego</w:t>
      </w:r>
      <w:r w:rsidRPr="003478AF">
        <w:rPr>
          <w:rFonts w:cs="Arial"/>
          <w:szCs w:val="20"/>
        </w:rPr>
        <w:t xml:space="preserve"> wrażenia, </w:t>
      </w:r>
      <w:r w:rsidR="004115D8" w:rsidRPr="003478AF">
        <w:rPr>
          <w:rFonts w:cs="Arial"/>
          <w:szCs w:val="20"/>
        </w:rPr>
        <w:t>iż</w:t>
      </w:r>
      <w:r w:rsidRPr="003478AF">
        <w:rPr>
          <w:rFonts w:cs="Arial"/>
          <w:szCs w:val="20"/>
        </w:rPr>
        <w:t xml:space="preserve"> produkt </w:t>
      </w:r>
      <w:r w:rsidR="002C7B4A" w:rsidRPr="003478AF">
        <w:rPr>
          <w:rFonts w:cs="Arial"/>
          <w:szCs w:val="20"/>
        </w:rPr>
        <w:t xml:space="preserve">jest </w:t>
      </w:r>
      <w:r w:rsidRPr="003478AF">
        <w:rPr>
          <w:rFonts w:cs="Arial"/>
          <w:szCs w:val="20"/>
        </w:rPr>
        <w:t>ekologiczn</w:t>
      </w:r>
      <w:r w:rsidR="002C7B4A" w:rsidRPr="003478AF">
        <w:rPr>
          <w:rFonts w:cs="Arial"/>
          <w:szCs w:val="20"/>
        </w:rPr>
        <w:t>y</w:t>
      </w:r>
      <w:r w:rsidRPr="003478AF">
        <w:rPr>
          <w:rFonts w:cs="Arial"/>
          <w:szCs w:val="20"/>
        </w:rPr>
        <w:t>. Przykładem jest promowanie pozornie pro</w:t>
      </w:r>
      <w:r w:rsidR="002C7B4A" w:rsidRPr="003478AF">
        <w:rPr>
          <w:rFonts w:cs="Arial"/>
          <w:szCs w:val="20"/>
        </w:rPr>
        <w:t>środowiskowych</w:t>
      </w:r>
      <w:r w:rsidRPr="003478AF">
        <w:rPr>
          <w:rFonts w:cs="Arial"/>
          <w:szCs w:val="20"/>
        </w:rPr>
        <w:t xml:space="preserve"> i proGOZowych produktów, np. mebli z ekologicznej wikliny, podczas gdy wykonane są z trudnych </w:t>
      </w:r>
      <w:r w:rsidR="002C7B4A" w:rsidRPr="003478AF">
        <w:rPr>
          <w:rFonts w:cs="Arial"/>
          <w:szCs w:val="20"/>
        </w:rPr>
        <w:t>do</w:t>
      </w:r>
      <w:r w:rsidRPr="003478AF">
        <w:rPr>
          <w:rFonts w:cs="Arial"/>
          <w:szCs w:val="20"/>
        </w:rPr>
        <w:t xml:space="preserve"> recyklingu tworzyw sztucznych („ekologiczność” </w:t>
      </w:r>
      <w:r w:rsidR="004115D8" w:rsidRPr="003478AF">
        <w:rPr>
          <w:rFonts w:cs="Arial"/>
          <w:szCs w:val="20"/>
        </w:rPr>
        <w:t>w</w:t>
      </w:r>
      <w:r w:rsidR="002C7B4A" w:rsidRPr="003478AF">
        <w:rPr>
          <w:rFonts w:cs="Arial"/>
          <w:szCs w:val="20"/>
        </w:rPr>
        <w:t>edług</w:t>
      </w:r>
      <w:r w:rsidR="004115D8" w:rsidRPr="003478AF">
        <w:rPr>
          <w:rFonts w:cs="Arial"/>
          <w:szCs w:val="20"/>
        </w:rPr>
        <w:t xml:space="preserve"> producenta </w:t>
      </w:r>
      <w:r w:rsidRPr="003478AF">
        <w:rPr>
          <w:rFonts w:cs="Arial"/>
          <w:szCs w:val="20"/>
        </w:rPr>
        <w:t>polega na braku konieczności wykorzystania naturalnego materiału).</w:t>
      </w:r>
    </w:p>
    <w:p w14:paraId="0C1C68F7" w14:textId="674EA752" w:rsidR="00591D35" w:rsidRPr="003478AF" w:rsidRDefault="00A4134F" w:rsidP="00591D35">
      <w:pPr>
        <w:rPr>
          <w:rFonts w:cs="Arial"/>
          <w:szCs w:val="20"/>
        </w:rPr>
      </w:pPr>
      <w:r w:rsidRPr="003478AF">
        <w:rPr>
          <w:rFonts w:cs="Arial"/>
          <w:szCs w:val="20"/>
        </w:rPr>
        <w:t>Edukacja i szkolenia miękkie w kierunku gospodarki cyrkularnej mus</w:t>
      </w:r>
      <w:r w:rsidR="004115D8" w:rsidRPr="003478AF">
        <w:rPr>
          <w:rFonts w:cs="Arial"/>
          <w:szCs w:val="20"/>
        </w:rPr>
        <w:t>zą</w:t>
      </w:r>
      <w:r w:rsidRPr="003478AF">
        <w:rPr>
          <w:rFonts w:cs="Arial"/>
          <w:szCs w:val="20"/>
        </w:rPr>
        <w:t xml:space="preserve"> być adresowan</w:t>
      </w:r>
      <w:r w:rsidR="004115D8" w:rsidRPr="003478AF">
        <w:rPr>
          <w:rFonts w:cs="Arial"/>
          <w:szCs w:val="20"/>
        </w:rPr>
        <w:t>e</w:t>
      </w:r>
      <w:r w:rsidRPr="003478AF">
        <w:rPr>
          <w:rFonts w:cs="Arial"/>
          <w:szCs w:val="20"/>
        </w:rPr>
        <w:t xml:space="preserve"> </w:t>
      </w:r>
      <w:r w:rsidR="004115D8" w:rsidRPr="003478AF">
        <w:rPr>
          <w:rFonts w:cs="Arial"/>
          <w:szCs w:val="20"/>
        </w:rPr>
        <w:t xml:space="preserve">w równym stopniu </w:t>
      </w:r>
      <w:r w:rsidRPr="003478AF">
        <w:rPr>
          <w:rFonts w:cs="Arial"/>
          <w:szCs w:val="20"/>
        </w:rPr>
        <w:t>do przedsiębiorców ze zróżnicowanych branż, w</w:t>
      </w:r>
      <w:r w:rsidR="001C16D6" w:rsidRPr="003478AF">
        <w:rPr>
          <w:rFonts w:cs="Arial"/>
          <w:szCs w:val="20"/>
        </w:rPr>
        <w:t xml:space="preserve"> </w:t>
      </w:r>
      <w:r w:rsidRPr="003478AF">
        <w:rPr>
          <w:rFonts w:cs="Arial"/>
          <w:szCs w:val="20"/>
        </w:rPr>
        <w:t>tym projektantów, managerów</w:t>
      </w:r>
      <w:r w:rsidR="004115D8" w:rsidRPr="003478AF">
        <w:rPr>
          <w:rFonts w:cs="Arial"/>
          <w:szCs w:val="20"/>
        </w:rPr>
        <w:t>,</w:t>
      </w:r>
      <w:r w:rsidRPr="003478AF">
        <w:rPr>
          <w:rFonts w:cs="Arial"/>
          <w:szCs w:val="20"/>
        </w:rPr>
        <w:t xml:space="preserve"> inżynierów, a także do naukowców </w:t>
      </w:r>
      <w:r w:rsidR="00E631A8" w:rsidRPr="003478AF">
        <w:rPr>
          <w:rFonts w:cs="Arial"/>
          <w:szCs w:val="20"/>
        </w:rPr>
        <w:t xml:space="preserve">– </w:t>
      </w:r>
      <w:r w:rsidRPr="003478AF">
        <w:rPr>
          <w:rFonts w:cs="Arial"/>
          <w:szCs w:val="20"/>
        </w:rPr>
        <w:t>twórc</w:t>
      </w:r>
      <w:r w:rsidR="004115D8" w:rsidRPr="003478AF">
        <w:rPr>
          <w:rFonts w:cs="Arial"/>
          <w:szCs w:val="20"/>
        </w:rPr>
        <w:t>ów</w:t>
      </w:r>
      <w:r w:rsidRPr="003478AF">
        <w:rPr>
          <w:rFonts w:cs="Arial"/>
          <w:szCs w:val="20"/>
        </w:rPr>
        <w:t xml:space="preserve"> technologii.</w:t>
      </w:r>
      <w:r w:rsidR="00591D35" w:rsidRPr="003478AF">
        <w:rPr>
          <w:rFonts w:cs="Arial"/>
          <w:szCs w:val="20"/>
        </w:rPr>
        <w:t xml:space="preserve"> Wśród przedstawicieli wielu sektorów gospodarki nadal panuje przekonanie, iż GOZ zamyka się w tematyce gospodarki odpadami. Ponadto nie widzą oni możliwości zastosowania lub potrzeby wdrożenia rozwiązań GOZ w swoich przedsiębiorstwach. W tej sytuacji istotne jest promowanie dobrych praktyk wśród wielkopolskich przedsiębiorców, np. poprzez instytucje otoczenia </w:t>
      </w:r>
      <w:r w:rsidR="0075734A" w:rsidRPr="003478AF">
        <w:rPr>
          <w:rFonts w:cs="Arial"/>
          <w:szCs w:val="20"/>
        </w:rPr>
        <w:t>biznesu</w:t>
      </w:r>
      <w:r w:rsidR="00591D35" w:rsidRPr="003478AF">
        <w:rPr>
          <w:rFonts w:cs="Arial"/>
          <w:szCs w:val="20"/>
        </w:rPr>
        <w:t xml:space="preserve"> – izby gospodarcze lub dedykowane think tanki. </w:t>
      </w:r>
    </w:p>
    <w:p w14:paraId="7EB32770" w14:textId="601606CF" w:rsidR="00591D35" w:rsidRPr="003478AF" w:rsidRDefault="00591D35" w:rsidP="00591D35">
      <w:pPr>
        <w:rPr>
          <w:rFonts w:cs="Arial"/>
          <w:szCs w:val="20"/>
        </w:rPr>
      </w:pPr>
      <w:r w:rsidRPr="003478AF">
        <w:rPr>
          <w:rFonts w:cs="Arial"/>
          <w:szCs w:val="20"/>
        </w:rPr>
        <w:t xml:space="preserve">Należy również </w:t>
      </w:r>
      <w:r w:rsidR="00CD3F21" w:rsidRPr="003478AF">
        <w:rPr>
          <w:rFonts w:cs="Arial"/>
          <w:szCs w:val="20"/>
        </w:rPr>
        <w:t xml:space="preserve">kierować </w:t>
      </w:r>
      <w:r w:rsidRPr="003478AF">
        <w:rPr>
          <w:rFonts w:cs="Arial"/>
          <w:szCs w:val="20"/>
        </w:rPr>
        <w:t>działania szkoleniowe do lokalnych samorządów</w:t>
      </w:r>
      <w:r w:rsidR="00CD3F21" w:rsidRPr="003478AF">
        <w:rPr>
          <w:rFonts w:cs="Arial"/>
          <w:szCs w:val="20"/>
        </w:rPr>
        <w:t>,</w:t>
      </w:r>
      <w:r w:rsidRPr="003478AF">
        <w:rPr>
          <w:rFonts w:cs="Arial"/>
          <w:szCs w:val="20"/>
        </w:rPr>
        <w:t xml:space="preserve"> </w:t>
      </w:r>
      <w:r w:rsidR="00DB0A8A" w:rsidRPr="003478AF">
        <w:rPr>
          <w:rFonts w:cs="Arial"/>
          <w:szCs w:val="20"/>
        </w:rPr>
        <w:t>b</w:t>
      </w:r>
      <w:r w:rsidRPr="003478AF">
        <w:rPr>
          <w:rFonts w:cs="Arial"/>
          <w:szCs w:val="20"/>
        </w:rPr>
        <w:t>y mogły</w:t>
      </w:r>
      <w:r w:rsidR="00DB0A8A" w:rsidRPr="003478AF">
        <w:rPr>
          <w:rFonts w:cs="Arial"/>
          <w:szCs w:val="20"/>
        </w:rPr>
        <w:t xml:space="preserve"> one</w:t>
      </w:r>
      <w:r w:rsidRPr="003478AF">
        <w:rPr>
          <w:rFonts w:cs="Arial"/>
          <w:szCs w:val="20"/>
        </w:rPr>
        <w:t xml:space="preserve"> stać się liderami transformacji, inspirować do zmian oraz wdrażać innowacyjne rozwiązania</w:t>
      </w:r>
      <w:r w:rsidR="007C7ECD" w:rsidRPr="003478AF">
        <w:rPr>
          <w:rFonts w:cs="Arial"/>
          <w:szCs w:val="20"/>
        </w:rPr>
        <w:t>. P</w:t>
      </w:r>
      <w:r w:rsidRPr="003478AF">
        <w:rPr>
          <w:rFonts w:cs="Arial"/>
          <w:szCs w:val="20"/>
        </w:rPr>
        <w:t>owinna zostać stworzona przestrzeń (hotspoty) dla lokalnych władz do wymiany doświadczeń i poszerzania wiedzy z zakresu GOZ.</w:t>
      </w:r>
    </w:p>
    <w:p w14:paraId="2D703F92" w14:textId="39FCE548" w:rsidR="00A4134F" w:rsidRPr="003478AF" w:rsidRDefault="00A4134F" w:rsidP="004115D8">
      <w:pPr>
        <w:rPr>
          <w:rFonts w:cs="Arial"/>
          <w:szCs w:val="20"/>
        </w:rPr>
      </w:pPr>
    </w:p>
    <w:p w14:paraId="6FB7C3C2" w14:textId="23770FC9" w:rsidR="00107CC6" w:rsidRPr="003478AF" w:rsidRDefault="00177C5A" w:rsidP="007C7ECD">
      <w:pPr>
        <w:ind w:firstLine="0"/>
        <w:rPr>
          <w:rFonts w:cs="Arial"/>
          <w:b/>
          <w:bCs/>
          <w:szCs w:val="20"/>
        </w:rPr>
      </w:pPr>
      <w:r w:rsidRPr="003478AF">
        <w:rPr>
          <w:rFonts w:cs="Arial"/>
          <w:b/>
          <w:bCs/>
          <w:szCs w:val="20"/>
        </w:rPr>
        <w:t>Bariery organizacyjne</w:t>
      </w:r>
    </w:p>
    <w:p w14:paraId="56C29311" w14:textId="48CF493C" w:rsidR="00B72083" w:rsidRPr="003478AF" w:rsidRDefault="00B72083" w:rsidP="00B72083">
      <w:pPr>
        <w:rPr>
          <w:rFonts w:cs="Arial"/>
          <w:szCs w:val="20"/>
        </w:rPr>
      </w:pPr>
      <w:r w:rsidRPr="003478AF">
        <w:t xml:space="preserve">Brak jest radykalności w egzekwowaniu istniejących przepisów, co wynika </w:t>
      </w:r>
      <w:r w:rsidR="00075829" w:rsidRPr="003478AF">
        <w:br/>
      </w:r>
      <w:r w:rsidRPr="003478AF">
        <w:t xml:space="preserve">z </w:t>
      </w:r>
      <w:r w:rsidR="006C2975" w:rsidRPr="003478AF">
        <w:t>niewykształcenia</w:t>
      </w:r>
      <w:r w:rsidRPr="003478AF">
        <w:t xml:space="preserve"> spójnego, regionalnego systemu monitoringu, a także braku programów monitorujących rzeczywisty postęp w kierunku GOZ na poziomie </w:t>
      </w:r>
      <w:r w:rsidR="007A2EBD" w:rsidRPr="003478AF">
        <w:t>jednostki</w:t>
      </w:r>
      <w:r w:rsidRPr="003478AF">
        <w:t xml:space="preserve">. </w:t>
      </w:r>
      <w:r w:rsidRPr="003478AF">
        <w:rPr>
          <w:rFonts w:cs="Arial"/>
          <w:szCs w:val="20"/>
        </w:rPr>
        <w:t xml:space="preserve">Istnieje zauważalna potrzeba tworzenia niezależnego systemu oceny modeli biznesowych. Konieczne jest ustalenie pewnych wzorców by móc nakreślić czy dany podmiot działa zgodnie z GOZ. Niektóre firmy promują się jako </w:t>
      </w:r>
      <w:r w:rsidR="001E1450" w:rsidRPr="003478AF">
        <w:rPr>
          <w:rFonts w:cs="Arial"/>
          <w:szCs w:val="20"/>
        </w:rPr>
        <w:t>prośrodowiskowe</w:t>
      </w:r>
      <w:r w:rsidRPr="003478AF">
        <w:rPr>
          <w:rFonts w:cs="Arial"/>
          <w:szCs w:val="20"/>
        </w:rPr>
        <w:t xml:space="preserve">, np. poprzez </w:t>
      </w:r>
      <w:r w:rsidR="007C7ECD" w:rsidRPr="003478AF">
        <w:rPr>
          <w:rFonts w:cs="Arial"/>
          <w:szCs w:val="20"/>
        </w:rPr>
        <w:t>odpowiednią</w:t>
      </w:r>
      <w:r w:rsidRPr="003478AF">
        <w:rPr>
          <w:rFonts w:cs="Arial"/>
          <w:szCs w:val="20"/>
        </w:rPr>
        <w:t xml:space="preserve"> politykę marketingow</w:t>
      </w:r>
      <w:r w:rsidR="00F803B6" w:rsidRPr="003478AF">
        <w:rPr>
          <w:rFonts w:cs="Arial"/>
          <w:szCs w:val="20"/>
        </w:rPr>
        <w:t>ą</w:t>
      </w:r>
      <w:r w:rsidRPr="003478AF">
        <w:rPr>
          <w:rFonts w:cs="Arial"/>
          <w:szCs w:val="20"/>
        </w:rPr>
        <w:t xml:space="preserve"> lub CSR (ang. </w:t>
      </w:r>
      <w:r w:rsidRPr="003478AF">
        <w:rPr>
          <w:rFonts w:cs="Arial"/>
          <w:i/>
          <w:szCs w:val="20"/>
        </w:rPr>
        <w:t>corporate social responsibility</w:t>
      </w:r>
      <w:r w:rsidR="00DB6E60" w:rsidRPr="003478AF">
        <w:rPr>
          <w:rFonts w:cs="Arial"/>
          <w:szCs w:val="20"/>
        </w:rPr>
        <w:t xml:space="preserve"> </w:t>
      </w:r>
      <w:r w:rsidR="00DB0A8A" w:rsidRPr="003478AF">
        <w:rPr>
          <w:rFonts w:cs="Arial"/>
          <w:szCs w:val="20"/>
        </w:rPr>
        <w:t>–</w:t>
      </w:r>
      <w:r w:rsidR="00DB6E60" w:rsidRPr="003478AF">
        <w:rPr>
          <w:rFonts w:cs="Arial"/>
          <w:szCs w:val="20"/>
        </w:rPr>
        <w:t xml:space="preserve"> społeczna odpowiedzialność biznesu</w:t>
      </w:r>
      <w:r w:rsidRPr="003478AF">
        <w:rPr>
          <w:rFonts w:cs="Arial"/>
          <w:szCs w:val="20"/>
        </w:rPr>
        <w:t>), podczas gdy opisywane przez nie działania stanowią zaledwie niewielki procent ich działalności. Należy podjąć kroki by GOZ mógł być wdrażany nie tylko na etapie „pracy biurowej”, ale i produkcyjnej, aby w dalszej kolejności móc ocenić postęp poprzez niepodważalny system miar GOZ w różnych branżach. Istnieją już trendy na świecie w tym zakresie, m.in. raportowanie niefinansowe, normy ISO, system oceny inwestycji ROI (</w:t>
      </w:r>
      <w:r w:rsidR="00DB6E60" w:rsidRPr="003478AF">
        <w:rPr>
          <w:rFonts w:cs="Arial"/>
          <w:szCs w:val="20"/>
        </w:rPr>
        <w:t xml:space="preserve">ang. </w:t>
      </w:r>
      <w:r w:rsidRPr="003478AF">
        <w:rPr>
          <w:rFonts w:cs="Arial"/>
          <w:i/>
          <w:szCs w:val="20"/>
        </w:rPr>
        <w:t>return on investment</w:t>
      </w:r>
      <w:r w:rsidR="00DB6E60" w:rsidRPr="003478AF">
        <w:rPr>
          <w:rFonts w:cs="Arial"/>
          <w:szCs w:val="20"/>
        </w:rPr>
        <w:t xml:space="preserve"> – wskaźnik rentowności</w:t>
      </w:r>
      <w:r w:rsidRPr="003478AF">
        <w:rPr>
          <w:rFonts w:cs="Arial"/>
          <w:szCs w:val="20"/>
        </w:rPr>
        <w:t>). Przedsiębiorstwa powinny posiadać strategię działań w zakresie GOZ.</w:t>
      </w:r>
    </w:p>
    <w:p w14:paraId="0C0B2D66" w14:textId="6020B1FC" w:rsidR="00DB6E60" w:rsidRPr="003478AF" w:rsidRDefault="00DB6E60" w:rsidP="00DB6E60">
      <w:r w:rsidRPr="003478AF">
        <w:t xml:space="preserve">Barierą w budowaniu gospodarki opartej </w:t>
      </w:r>
      <w:r w:rsidR="007A2EBD" w:rsidRPr="003478AF">
        <w:t>na obiegu zamkniętym</w:t>
      </w:r>
      <w:r w:rsidRPr="003478AF">
        <w:t xml:space="preserve"> jest także efekt NIMBY (akronim ang. </w:t>
      </w:r>
      <w:r w:rsidRPr="003478AF">
        <w:rPr>
          <w:i/>
        </w:rPr>
        <w:t>Not In My Back Yard</w:t>
      </w:r>
      <w:r w:rsidRPr="003478AF">
        <w:t xml:space="preserve"> </w:t>
      </w:r>
      <w:r w:rsidR="00DB0A8A" w:rsidRPr="003478AF">
        <w:t>–</w:t>
      </w:r>
      <w:r w:rsidRPr="003478AF">
        <w:t xml:space="preserve"> „nie na moim podwórku”).</w:t>
      </w:r>
      <w:r w:rsidR="001C16D6" w:rsidRPr="003478AF">
        <w:t xml:space="preserve"> </w:t>
      </w:r>
      <w:r w:rsidRPr="003478AF">
        <w:t>Jest to określenie postaw osób, które wyrażają negatywne nastawienie do umiejscowienia inwestycji w swoim najbliższym otoczeniu, jednocześnie wyrażając poparcie (lub neutralność) dla ogółu tego typu inicjatyw. Przejawia</w:t>
      </w:r>
      <w:r w:rsidR="00DB0A8A" w:rsidRPr="003478AF">
        <w:t xml:space="preserve"> się</w:t>
      </w:r>
      <w:r w:rsidRPr="003478AF">
        <w:t xml:space="preserve"> to poprzez aktywizm społeczny, prawny i polityczny na poziomie samorządów lokalnych. Efekt NIMBY dotyczy m.in. inwestycji związanych z energią odnawialną, np. farm wiatrowych lub biogazowni. Sprzeciw wobec inwestycji jest uzasadniany m.in. jej uciążliwością, zaburzeniem estetyki, spadkiem cen gruntów, negatywnym wpływem na zdrowie, co stanowi zarazem często rozpowszechniane mity. Przykładem tego zjawiska była próba realizacji </w:t>
      </w:r>
      <w:r w:rsidRPr="003478AF">
        <w:lastRenderedPageBreak/>
        <w:t>projektu wielkopolskiej biogazowni Pakosław, który był przez kilka lat odrzucany na skutek protestów mieszkańców gminy</w:t>
      </w:r>
      <w:r w:rsidRPr="003478AF">
        <w:rPr>
          <w:rStyle w:val="Odwoanieprzypisudolnego"/>
        </w:rPr>
        <w:footnoteReference w:id="134"/>
      </w:r>
      <w:r w:rsidRPr="003478AF">
        <w:rPr>
          <w:vertAlign w:val="superscript"/>
        </w:rPr>
        <w:t>,</w:t>
      </w:r>
      <w:r w:rsidRPr="003478AF">
        <w:rPr>
          <w:rStyle w:val="Odwoanieprzypisudolnego"/>
        </w:rPr>
        <w:footnoteReference w:id="135"/>
      </w:r>
      <w:r w:rsidRPr="003478AF">
        <w:t xml:space="preserve">. Zniekształcony obraz inwestycji w wyniku braku proaktywnego działania informacyjnego powoduje szereg następstw dla inwestorów, głównie organizacyjno-prawnych (blokada inwestycji, protesty społeczne, wycofanie się lokalnych władz, konieczność relokacji inwestycji). Istotnym elementem w czasie planowania inwestycji </w:t>
      </w:r>
      <w:r w:rsidR="007A2EBD" w:rsidRPr="003478AF">
        <w:t xml:space="preserve">w ramach </w:t>
      </w:r>
      <w:r w:rsidRPr="003478AF">
        <w:t xml:space="preserve">GOZ jest komunikacja społeczna oraz dogłębna analiza uwarunkowań (ang. </w:t>
      </w:r>
      <w:r w:rsidRPr="003478AF">
        <w:rPr>
          <w:i/>
        </w:rPr>
        <w:t>social due dillagence</w:t>
      </w:r>
      <w:r w:rsidRPr="003478AF">
        <w:t xml:space="preserve"> </w:t>
      </w:r>
      <w:r w:rsidR="004D1D1E" w:rsidRPr="003478AF">
        <w:t>–</w:t>
      </w:r>
      <w:r w:rsidRPr="003478AF">
        <w:t xml:space="preserve"> należyta staranność).</w:t>
      </w:r>
    </w:p>
    <w:p w14:paraId="627274CB" w14:textId="6542A223" w:rsidR="00DB6E60" w:rsidRPr="003478AF" w:rsidRDefault="00DB6E60" w:rsidP="00DB6E60">
      <w:r w:rsidRPr="003478AF">
        <w:t xml:space="preserve">Istotnym aspektem organizacyjnym jest także współpraca nauki i biznesu. </w:t>
      </w:r>
      <w:r w:rsidR="007C14CB" w:rsidRPr="003478AF">
        <w:br/>
      </w:r>
      <w:r w:rsidRPr="003478AF">
        <w:t>W województwie i</w:t>
      </w:r>
      <w:r w:rsidRPr="003478AF">
        <w:rPr>
          <w:rFonts w:cs="Arial"/>
          <w:szCs w:val="20"/>
        </w:rPr>
        <w:t>stniej</w:t>
      </w:r>
      <w:r w:rsidR="004D1D1E" w:rsidRPr="003478AF">
        <w:rPr>
          <w:rFonts w:cs="Arial"/>
          <w:szCs w:val="20"/>
        </w:rPr>
        <w:t>e</w:t>
      </w:r>
      <w:r w:rsidRPr="003478AF">
        <w:rPr>
          <w:rFonts w:cs="Arial"/>
          <w:szCs w:val="20"/>
        </w:rPr>
        <w:t xml:space="preserve"> grupa instytucji naukowych, przygotowanych, wyedukowanych do pracy z biznesem (m.in. kooperacja naukowców Uniwersytetu Przyrodniczego w Poznaniu </w:t>
      </w:r>
      <w:r w:rsidR="007C14CB" w:rsidRPr="003478AF">
        <w:rPr>
          <w:rFonts w:cs="Arial"/>
          <w:szCs w:val="20"/>
        </w:rPr>
        <w:br/>
      </w:r>
      <w:r w:rsidRPr="003478AF">
        <w:rPr>
          <w:rFonts w:cs="Arial"/>
          <w:szCs w:val="20"/>
        </w:rPr>
        <w:t>z lokalną firm</w:t>
      </w:r>
      <w:r w:rsidR="004D1D1E" w:rsidRPr="003478AF">
        <w:rPr>
          <w:rFonts w:cs="Arial"/>
          <w:szCs w:val="20"/>
        </w:rPr>
        <w:t>ą</w:t>
      </w:r>
      <w:r w:rsidRPr="003478AF">
        <w:rPr>
          <w:rFonts w:cs="Arial"/>
          <w:szCs w:val="20"/>
        </w:rPr>
        <w:t xml:space="preserve"> Dynamic Biogas – dostawcą technologii w zakresie zaawansowanych systemów fermentacji beztlenowej oraz H. Cegielski </w:t>
      </w:r>
      <w:r w:rsidR="004D1D1E" w:rsidRPr="003478AF">
        <w:rPr>
          <w:rFonts w:cs="Arial"/>
          <w:szCs w:val="20"/>
        </w:rPr>
        <w:t xml:space="preserve">– </w:t>
      </w:r>
      <w:r w:rsidRPr="003478AF">
        <w:rPr>
          <w:rFonts w:cs="Arial"/>
          <w:szCs w:val="20"/>
        </w:rPr>
        <w:t xml:space="preserve">Poznań S.A. </w:t>
      </w:r>
      <w:r w:rsidR="004D1D1E" w:rsidRPr="003478AF">
        <w:rPr>
          <w:rFonts w:cs="Arial"/>
          <w:szCs w:val="20"/>
        </w:rPr>
        <w:t>–</w:t>
      </w:r>
      <w:r w:rsidRPr="003478AF">
        <w:rPr>
          <w:rFonts w:cs="Arial"/>
          <w:szCs w:val="20"/>
        </w:rPr>
        <w:t xml:space="preserve"> właścicielem licencji </w:t>
      </w:r>
      <w:r w:rsidR="004D1D1E" w:rsidRPr="003478AF">
        <w:rPr>
          <w:rFonts w:cs="Arial"/>
          <w:szCs w:val="20"/>
        </w:rPr>
        <w:t>–</w:t>
      </w:r>
      <w:r w:rsidRPr="003478AF">
        <w:rPr>
          <w:rFonts w:cs="Arial"/>
          <w:szCs w:val="20"/>
        </w:rPr>
        <w:t xml:space="preserve"> na produkcję innowacyjnych, polskich biogazowni</w:t>
      </w:r>
      <w:r w:rsidRPr="003478AF">
        <w:rPr>
          <w:rStyle w:val="Odwoanieprzypisudolnego"/>
        </w:rPr>
        <w:footnoteReference w:id="136"/>
      </w:r>
      <w:r w:rsidRPr="003478AF">
        <w:rPr>
          <w:rFonts w:cs="Arial"/>
          <w:szCs w:val="20"/>
        </w:rPr>
        <w:t>), ale wciąż pozostaje grono wielu zamkniętych na t</w:t>
      </w:r>
      <w:r w:rsidR="004D1D1E" w:rsidRPr="003478AF">
        <w:rPr>
          <w:rFonts w:cs="Arial"/>
          <w:szCs w:val="20"/>
        </w:rPr>
        <w:t>ę</w:t>
      </w:r>
      <w:r w:rsidRPr="003478AF">
        <w:rPr>
          <w:rFonts w:cs="Arial"/>
          <w:szCs w:val="20"/>
        </w:rPr>
        <w:t xml:space="preserve"> formę współpracy. Prób</w:t>
      </w:r>
      <w:r w:rsidR="004D1D1E" w:rsidRPr="003478AF">
        <w:rPr>
          <w:rFonts w:cs="Arial"/>
          <w:szCs w:val="20"/>
        </w:rPr>
        <w:t>ą</w:t>
      </w:r>
      <w:r w:rsidRPr="003478AF">
        <w:rPr>
          <w:rFonts w:cs="Arial"/>
          <w:szCs w:val="20"/>
        </w:rPr>
        <w:t xml:space="preserve"> rozwiązania tej sytuacji są wymogi kooperacyjne w ramach realizacji inwestycji finansowych z funduszy europejskich.</w:t>
      </w:r>
      <w:r w:rsidR="001C16D6" w:rsidRPr="003478AF">
        <w:rPr>
          <w:rFonts w:cs="Arial"/>
          <w:szCs w:val="20"/>
        </w:rPr>
        <w:t xml:space="preserve"> </w:t>
      </w:r>
    </w:p>
    <w:p w14:paraId="5BF780F6" w14:textId="38EEB138" w:rsidR="00DB6E60" w:rsidRPr="003478AF" w:rsidRDefault="00DB6E60" w:rsidP="00DB6E60">
      <w:pPr>
        <w:rPr>
          <w:rFonts w:cs="Arial"/>
          <w:szCs w:val="20"/>
        </w:rPr>
      </w:pPr>
      <w:r w:rsidRPr="003478AF">
        <w:rPr>
          <w:rFonts w:cs="Arial"/>
          <w:szCs w:val="20"/>
        </w:rPr>
        <w:t xml:space="preserve">Największym problemem jest </w:t>
      </w:r>
      <w:r w:rsidR="007C7ECD" w:rsidRPr="003478AF">
        <w:rPr>
          <w:rFonts w:cs="Arial"/>
          <w:szCs w:val="20"/>
        </w:rPr>
        <w:t xml:space="preserve">jednak </w:t>
      </w:r>
      <w:r w:rsidRPr="003478AF">
        <w:rPr>
          <w:rFonts w:cs="Arial"/>
          <w:szCs w:val="20"/>
        </w:rPr>
        <w:t xml:space="preserve">wzajemna komunikacja, wypracowanie dobrej współpracy i modelu biznesowego. Sama współpraca nauki i biznesu nie stanowi wartości – wartością dodaną jest </w:t>
      </w:r>
      <w:r w:rsidR="005C6895" w:rsidRPr="003478AF">
        <w:rPr>
          <w:rFonts w:cs="Arial"/>
          <w:szCs w:val="20"/>
        </w:rPr>
        <w:t xml:space="preserve">np. wzrost </w:t>
      </w:r>
      <w:r w:rsidRPr="003478AF">
        <w:rPr>
          <w:rFonts w:cs="Arial"/>
          <w:szCs w:val="20"/>
        </w:rPr>
        <w:t>poziom</w:t>
      </w:r>
      <w:r w:rsidR="005C6895" w:rsidRPr="003478AF">
        <w:rPr>
          <w:rFonts w:cs="Arial"/>
          <w:szCs w:val="20"/>
        </w:rPr>
        <w:t>u</w:t>
      </w:r>
      <w:r w:rsidRPr="003478AF">
        <w:rPr>
          <w:rFonts w:cs="Arial"/>
          <w:szCs w:val="20"/>
        </w:rPr>
        <w:t xml:space="preserve"> innowacyjności </w:t>
      </w:r>
      <w:r w:rsidR="005C6895" w:rsidRPr="003478AF">
        <w:rPr>
          <w:rFonts w:cs="Arial"/>
          <w:szCs w:val="20"/>
        </w:rPr>
        <w:t xml:space="preserve">poprzez wdrożenie </w:t>
      </w:r>
      <w:r w:rsidRPr="003478AF">
        <w:rPr>
          <w:rFonts w:cs="Arial"/>
          <w:szCs w:val="20"/>
        </w:rPr>
        <w:t>wypracowan</w:t>
      </w:r>
      <w:r w:rsidR="005C6895" w:rsidRPr="003478AF">
        <w:rPr>
          <w:rFonts w:cs="Arial"/>
          <w:szCs w:val="20"/>
        </w:rPr>
        <w:t>ych</w:t>
      </w:r>
      <w:r w:rsidRPr="003478AF">
        <w:rPr>
          <w:rFonts w:cs="Arial"/>
          <w:szCs w:val="20"/>
        </w:rPr>
        <w:t xml:space="preserve"> rozwiąza</w:t>
      </w:r>
      <w:r w:rsidR="005C6895" w:rsidRPr="003478AF">
        <w:rPr>
          <w:rFonts w:cs="Arial"/>
          <w:szCs w:val="20"/>
        </w:rPr>
        <w:t>ń lub produktów.</w:t>
      </w:r>
    </w:p>
    <w:p w14:paraId="0E6A6985" w14:textId="77777777" w:rsidR="00B72083" w:rsidRPr="003478AF" w:rsidRDefault="00B72083" w:rsidP="002A708F">
      <w:pPr>
        <w:ind w:firstLine="0"/>
        <w:rPr>
          <w:rFonts w:cs="Arial"/>
          <w:szCs w:val="20"/>
        </w:rPr>
      </w:pPr>
    </w:p>
    <w:p w14:paraId="2F0ACCCD" w14:textId="4DA00894" w:rsidR="00177C5A" w:rsidRPr="003478AF" w:rsidRDefault="00177C5A" w:rsidP="00545239">
      <w:pPr>
        <w:ind w:firstLine="0"/>
        <w:rPr>
          <w:rFonts w:cs="Arial"/>
          <w:b/>
          <w:bCs/>
          <w:szCs w:val="20"/>
        </w:rPr>
      </w:pPr>
      <w:r w:rsidRPr="003478AF">
        <w:rPr>
          <w:rFonts w:cs="Arial"/>
          <w:b/>
          <w:bCs/>
          <w:szCs w:val="20"/>
        </w:rPr>
        <w:t>Bariery finansowe</w:t>
      </w:r>
    </w:p>
    <w:p w14:paraId="074B4B91" w14:textId="2B216E8B" w:rsidR="00177C5A" w:rsidRPr="003478AF" w:rsidRDefault="00177C5A" w:rsidP="00344526">
      <w:pPr>
        <w:ind w:firstLine="709"/>
        <w:rPr>
          <w:rFonts w:cs="Arial"/>
          <w:szCs w:val="20"/>
        </w:rPr>
      </w:pPr>
      <w:r w:rsidRPr="003478AF">
        <w:rPr>
          <w:rFonts w:cs="Arial"/>
          <w:szCs w:val="20"/>
        </w:rPr>
        <w:t>Na ścieżce transformacji w kierunku GOZ można wskazać także ograniczenia związane z kwestiami finansowymi. Konieczność ponoszenia wysokich nakładów inwestycyjnych na działania innowacyjne, wdrażanie nowych technologii i ogólną transformację gospodarki liniowej na cyrkularną, wiąż</w:t>
      </w:r>
      <w:r w:rsidR="00891F23" w:rsidRPr="003478AF">
        <w:rPr>
          <w:rFonts w:cs="Arial"/>
          <w:szCs w:val="20"/>
        </w:rPr>
        <w:t>e</w:t>
      </w:r>
      <w:r w:rsidRPr="003478AF">
        <w:rPr>
          <w:rFonts w:cs="Arial"/>
          <w:szCs w:val="20"/>
        </w:rPr>
        <w:t xml:space="preserve"> się w początkowej fazie z wyższymi kosztami, których zwrot wraz z zyskiem następuje w kolejnych latach działalności. Dla firm </w:t>
      </w:r>
      <w:r w:rsidR="00075829" w:rsidRPr="003478AF">
        <w:rPr>
          <w:rFonts w:cs="Arial"/>
          <w:szCs w:val="20"/>
        </w:rPr>
        <w:br/>
      </w:r>
      <w:r w:rsidRPr="003478AF">
        <w:rPr>
          <w:rFonts w:cs="Arial"/>
          <w:szCs w:val="20"/>
        </w:rPr>
        <w:t xml:space="preserve">z branży odpadowej lub </w:t>
      </w:r>
      <w:r w:rsidR="00344526" w:rsidRPr="003478AF">
        <w:rPr>
          <w:rFonts w:cs="Arial"/>
          <w:szCs w:val="20"/>
        </w:rPr>
        <w:t>zajmujących się recyclingiem</w:t>
      </w:r>
      <w:r w:rsidRPr="003478AF">
        <w:rPr>
          <w:rFonts w:cs="Arial"/>
          <w:szCs w:val="20"/>
        </w:rPr>
        <w:t xml:space="preserve"> GOZ stanowi rdzeń biznesu, natomiast inaczej jest </w:t>
      </w:r>
      <w:r w:rsidR="00344526" w:rsidRPr="003478AF">
        <w:rPr>
          <w:rFonts w:cs="Arial"/>
          <w:szCs w:val="20"/>
        </w:rPr>
        <w:t xml:space="preserve">np. </w:t>
      </w:r>
      <w:r w:rsidR="009732B5" w:rsidRPr="003478AF">
        <w:rPr>
          <w:rFonts w:cs="Arial"/>
          <w:szCs w:val="20"/>
        </w:rPr>
        <w:t>w</w:t>
      </w:r>
      <w:r w:rsidR="00891F23" w:rsidRPr="003478AF">
        <w:rPr>
          <w:rFonts w:cs="Arial"/>
          <w:szCs w:val="20"/>
        </w:rPr>
        <w:t xml:space="preserve"> </w:t>
      </w:r>
      <w:r w:rsidRPr="003478AF">
        <w:rPr>
          <w:rFonts w:cs="Arial"/>
          <w:szCs w:val="20"/>
        </w:rPr>
        <w:t>przypadku firm z branży spożywczej lub chemicznej</w:t>
      </w:r>
      <w:r w:rsidR="00344526" w:rsidRPr="003478AF">
        <w:rPr>
          <w:rFonts w:cs="Arial"/>
          <w:szCs w:val="20"/>
        </w:rPr>
        <w:t xml:space="preserve"> - </w:t>
      </w:r>
      <w:r w:rsidRPr="003478AF">
        <w:rPr>
          <w:rFonts w:cs="Arial"/>
          <w:szCs w:val="20"/>
        </w:rPr>
        <w:t>Podmioty te muszą dostosować swoje procesy do nowych wyzwań związanych ze strategią GOZ</w:t>
      </w:r>
      <w:r w:rsidR="00344526" w:rsidRPr="003478AF">
        <w:rPr>
          <w:rFonts w:cs="Arial"/>
          <w:szCs w:val="20"/>
        </w:rPr>
        <w:t xml:space="preserve">, a </w:t>
      </w:r>
      <w:r w:rsidR="001842A4" w:rsidRPr="003478AF">
        <w:rPr>
          <w:rFonts w:cs="Arial"/>
          <w:szCs w:val="20"/>
        </w:rPr>
        <w:t>chcąc przyłączyć się do łańcucha napotykają ograniczenie w postaci potrzeby dużych nakładów na działania B+R.</w:t>
      </w:r>
      <w:r w:rsidR="00344526" w:rsidRPr="003478AF">
        <w:rPr>
          <w:rFonts w:cs="Arial"/>
          <w:szCs w:val="20"/>
        </w:rPr>
        <w:t xml:space="preserve"> </w:t>
      </w:r>
      <w:r w:rsidRPr="003478AF">
        <w:rPr>
          <w:rFonts w:cs="Arial"/>
          <w:szCs w:val="20"/>
        </w:rPr>
        <w:t>Problematyczne jest zapewnienie dodatkowych nakładów na wdrażanie rozwiązań GOZ w przedsiębiorstwach</w:t>
      </w:r>
      <w:r w:rsidR="00A4634F" w:rsidRPr="003478AF">
        <w:rPr>
          <w:rFonts w:cs="Arial"/>
          <w:szCs w:val="20"/>
        </w:rPr>
        <w:t xml:space="preserve">, których </w:t>
      </w:r>
      <w:r w:rsidR="001842A4" w:rsidRPr="003478AF">
        <w:rPr>
          <w:rFonts w:cs="Arial"/>
          <w:szCs w:val="20"/>
        </w:rPr>
        <w:t>przedsięwzięcia</w:t>
      </w:r>
      <w:r w:rsidR="00A4634F" w:rsidRPr="003478AF">
        <w:rPr>
          <w:rFonts w:cs="Arial"/>
          <w:szCs w:val="20"/>
        </w:rPr>
        <w:t xml:space="preserve"> </w:t>
      </w:r>
      <w:r w:rsidR="00F93955" w:rsidRPr="003478AF">
        <w:rPr>
          <w:rFonts w:cs="Arial"/>
          <w:szCs w:val="20"/>
        </w:rPr>
        <w:t>znajdują się</w:t>
      </w:r>
      <w:r w:rsidR="00A4634F" w:rsidRPr="003478AF">
        <w:rPr>
          <w:rFonts w:cs="Arial"/>
          <w:szCs w:val="20"/>
        </w:rPr>
        <w:t xml:space="preserve"> w fazie początkowej</w:t>
      </w:r>
      <w:r w:rsidR="001666D8" w:rsidRPr="003478AF">
        <w:rPr>
          <w:rFonts w:cs="Arial"/>
          <w:szCs w:val="20"/>
        </w:rPr>
        <w:t>,</w:t>
      </w:r>
      <w:r w:rsidR="001842A4" w:rsidRPr="003478AF">
        <w:rPr>
          <w:rFonts w:cs="Arial"/>
          <w:szCs w:val="20"/>
        </w:rPr>
        <w:t xml:space="preserve"> </w:t>
      </w:r>
      <w:r w:rsidR="001666D8" w:rsidRPr="003478AF">
        <w:rPr>
          <w:rFonts w:cs="Arial"/>
          <w:szCs w:val="20"/>
        </w:rPr>
        <w:t>brak jest f</w:t>
      </w:r>
      <w:r w:rsidR="00A4634F" w:rsidRPr="003478AF">
        <w:rPr>
          <w:rFonts w:cs="Arial"/>
          <w:szCs w:val="20"/>
        </w:rPr>
        <w:t xml:space="preserve">inalnego, gotowego do sprzedaży produktu, a </w:t>
      </w:r>
      <w:r w:rsidR="001666D8" w:rsidRPr="003478AF">
        <w:rPr>
          <w:rFonts w:cs="Arial"/>
          <w:szCs w:val="20"/>
        </w:rPr>
        <w:t>technologia</w:t>
      </w:r>
      <w:r w:rsidR="00A4634F" w:rsidRPr="003478AF">
        <w:rPr>
          <w:rFonts w:cs="Arial"/>
          <w:szCs w:val="20"/>
        </w:rPr>
        <w:t xml:space="preserve"> wymaga kolejnych lat badań.</w:t>
      </w:r>
      <w:r w:rsidR="001666D8" w:rsidRPr="003478AF">
        <w:rPr>
          <w:rFonts w:cs="Arial"/>
          <w:szCs w:val="20"/>
        </w:rPr>
        <w:t xml:space="preserve"> </w:t>
      </w:r>
      <w:r w:rsidRPr="003478AF">
        <w:rPr>
          <w:rFonts w:cs="Arial"/>
          <w:szCs w:val="20"/>
        </w:rPr>
        <w:t xml:space="preserve">Zróżnicowane ryzyko towarzyszące inwestycjom GOZ wpływa bezpośrednio na możliwości i chęci ich finansowania przez zewnętrzne instytucje. Spośród ograniczeń wpływających na finansowanie można wymienić wysokie ryzyko związane </w:t>
      </w:r>
      <w:r w:rsidR="00344526" w:rsidRPr="003478AF">
        <w:rPr>
          <w:rFonts w:cs="Arial"/>
          <w:szCs w:val="20"/>
        </w:rPr>
        <w:br/>
      </w:r>
      <w:r w:rsidRPr="003478AF">
        <w:rPr>
          <w:rFonts w:cs="Arial"/>
          <w:szCs w:val="20"/>
        </w:rPr>
        <w:t xml:space="preserve">z: wprowadzaniem </w:t>
      </w:r>
      <w:r w:rsidR="00344526" w:rsidRPr="003478AF">
        <w:rPr>
          <w:rFonts w:cs="Arial"/>
          <w:szCs w:val="20"/>
        </w:rPr>
        <w:t xml:space="preserve">rozwiązań </w:t>
      </w:r>
      <w:r w:rsidRPr="003478AF">
        <w:rPr>
          <w:rFonts w:cs="Arial"/>
          <w:szCs w:val="20"/>
        </w:rPr>
        <w:t xml:space="preserve">high-tech do przetwarzania i odzysku niektórych rodzajów odpadów; niepewnością skuteczności opracowywanych innowacji; ciągłością dostaw surowca, np. w przypadku biogazowni; popytem rynkowym (np. na produkty z recyklingu </w:t>
      </w:r>
      <w:r w:rsidR="00891F23" w:rsidRPr="003478AF">
        <w:rPr>
          <w:rFonts w:cs="Arial"/>
          <w:szCs w:val="20"/>
        </w:rPr>
        <w:t>–</w:t>
      </w:r>
      <w:r w:rsidRPr="003478AF">
        <w:rPr>
          <w:rFonts w:cs="Arial"/>
          <w:szCs w:val="20"/>
        </w:rPr>
        <w:t xml:space="preserve"> niepewność działań konsumenta), wahaniami cen surowców i energii, kosztami operacyjnymi. Technologie </w:t>
      </w:r>
      <w:r w:rsidRPr="003478AF">
        <w:rPr>
          <w:rFonts w:cs="Arial"/>
          <w:szCs w:val="20"/>
        </w:rPr>
        <w:lastRenderedPageBreak/>
        <w:t xml:space="preserve">GOZ podlegają dynamicznym zmianom, na rynku pojawiają się jakościowo nowe rozwiązania, co powoduje problemy </w:t>
      </w:r>
      <w:r w:rsidR="009732B5" w:rsidRPr="003478AF">
        <w:rPr>
          <w:rFonts w:cs="Arial"/>
          <w:szCs w:val="20"/>
        </w:rPr>
        <w:t>z</w:t>
      </w:r>
      <w:r w:rsidR="00891F23" w:rsidRPr="003478AF">
        <w:rPr>
          <w:rFonts w:cs="Arial"/>
          <w:szCs w:val="20"/>
        </w:rPr>
        <w:t xml:space="preserve"> </w:t>
      </w:r>
      <w:r w:rsidRPr="003478AF">
        <w:rPr>
          <w:rFonts w:cs="Arial"/>
          <w:szCs w:val="20"/>
        </w:rPr>
        <w:t>metodyką oceny ryzyka tego typu projektów, jak i brakiem wyszkolonej w tej tematyce kadry, w przeciwieństwie do technologii powszechnie znanych, np. inwestycji wykorzystujących paliwa kopalne, których ryzyka są relatywnie dobrze zidentyfikowane dzięki</w:t>
      </w:r>
      <w:r w:rsidR="00EA1321" w:rsidRPr="003478AF">
        <w:rPr>
          <w:rFonts w:cs="Arial"/>
          <w:szCs w:val="20"/>
        </w:rPr>
        <w:t xml:space="preserve"> </w:t>
      </w:r>
      <w:r w:rsidRPr="003478AF">
        <w:rPr>
          <w:rFonts w:cs="Arial"/>
          <w:szCs w:val="20"/>
        </w:rPr>
        <w:t xml:space="preserve">udokumentowanym danym statystycznych, specyfikacjom </w:t>
      </w:r>
      <w:r w:rsidR="00344526" w:rsidRPr="003478AF">
        <w:rPr>
          <w:rFonts w:cs="Arial"/>
          <w:szCs w:val="20"/>
        </w:rPr>
        <w:br/>
      </w:r>
      <w:r w:rsidRPr="003478AF">
        <w:rPr>
          <w:rFonts w:cs="Arial"/>
          <w:szCs w:val="20"/>
        </w:rPr>
        <w:t xml:space="preserve">i wieloletniemu doświadczeniu. W wyniku tego inwestorzy proGOZowi mają problemy </w:t>
      </w:r>
      <w:r w:rsidR="00344526" w:rsidRPr="003478AF">
        <w:rPr>
          <w:rFonts w:cs="Arial"/>
          <w:szCs w:val="20"/>
        </w:rPr>
        <w:br/>
      </w:r>
      <w:r w:rsidRPr="003478AF">
        <w:rPr>
          <w:rFonts w:cs="Arial"/>
          <w:szCs w:val="20"/>
        </w:rPr>
        <w:t>z otrzymaniem kredytów, są one zawierane na nieatrakcyjnych warunkach, bądź te</w:t>
      </w:r>
      <w:r w:rsidR="001D3CAF" w:rsidRPr="003478AF">
        <w:rPr>
          <w:rFonts w:cs="Arial"/>
          <w:szCs w:val="20"/>
        </w:rPr>
        <w:t>ż</w:t>
      </w:r>
      <w:r w:rsidRPr="003478AF">
        <w:rPr>
          <w:rFonts w:cs="Arial"/>
          <w:szCs w:val="20"/>
        </w:rPr>
        <w:t xml:space="preserve"> oferta instytucji </w:t>
      </w:r>
      <w:r w:rsidR="001666D8" w:rsidRPr="003478AF">
        <w:rPr>
          <w:rFonts w:cs="Arial"/>
          <w:szCs w:val="20"/>
        </w:rPr>
        <w:t xml:space="preserve">finansujących </w:t>
      </w:r>
      <w:r w:rsidRPr="003478AF">
        <w:rPr>
          <w:rFonts w:cs="Arial"/>
          <w:szCs w:val="20"/>
        </w:rPr>
        <w:t>skierowana do nich jest stosunkowo uboga. Brak funduszy istotnie wydłuża czas uruchomienia inwestycji, która także często nie dochodzi do skutku.</w:t>
      </w:r>
      <w:r w:rsidRPr="003478AF">
        <w:t xml:space="preserve"> </w:t>
      </w:r>
    </w:p>
    <w:p w14:paraId="6E9E9B51" w14:textId="47CB6D90" w:rsidR="00177C5A" w:rsidRPr="003478AF" w:rsidRDefault="00177C5A" w:rsidP="00177C5A">
      <w:pPr>
        <w:rPr>
          <w:rFonts w:cs="Arial"/>
          <w:szCs w:val="20"/>
        </w:rPr>
      </w:pPr>
      <w:r w:rsidRPr="003478AF">
        <w:rPr>
          <w:rFonts w:cs="Arial"/>
          <w:szCs w:val="20"/>
        </w:rPr>
        <w:t>Odpowiednie finansowe wsparcie, np. poprzez</w:t>
      </w:r>
      <w:r w:rsidR="00E15BC5" w:rsidRPr="003478AF">
        <w:rPr>
          <w:rFonts w:cs="Arial"/>
          <w:szCs w:val="20"/>
        </w:rPr>
        <w:t xml:space="preserve"> </w:t>
      </w:r>
      <w:r w:rsidRPr="003478AF">
        <w:rPr>
          <w:rFonts w:cs="Arial"/>
          <w:szCs w:val="20"/>
        </w:rPr>
        <w:t>zielone zamówienia publiczne, może istotnie</w:t>
      </w:r>
      <w:r w:rsidR="001C16D6" w:rsidRPr="003478AF">
        <w:rPr>
          <w:rFonts w:cs="Arial"/>
          <w:szCs w:val="20"/>
        </w:rPr>
        <w:t xml:space="preserve"> </w:t>
      </w:r>
      <w:r w:rsidRPr="003478AF">
        <w:rPr>
          <w:rFonts w:cs="Arial"/>
          <w:szCs w:val="20"/>
        </w:rPr>
        <w:t xml:space="preserve">wspomóc rozwój modelu GOZ. Samorządy sygnalizują </w:t>
      </w:r>
      <w:r w:rsidR="00E15BC5" w:rsidRPr="003478AF">
        <w:rPr>
          <w:rFonts w:cs="Arial"/>
          <w:szCs w:val="20"/>
        </w:rPr>
        <w:t xml:space="preserve">w nich </w:t>
      </w:r>
      <w:r w:rsidRPr="003478AF">
        <w:rPr>
          <w:rFonts w:cs="Arial"/>
          <w:szCs w:val="20"/>
        </w:rPr>
        <w:t xml:space="preserve">zapotrzebowanie na określone produkty i usługi zgodne z </w:t>
      </w:r>
      <w:r w:rsidR="00344526" w:rsidRPr="003478AF">
        <w:rPr>
          <w:rFonts w:cs="Arial"/>
          <w:szCs w:val="20"/>
        </w:rPr>
        <w:t xml:space="preserve">tą </w:t>
      </w:r>
      <w:r w:rsidRPr="003478AF">
        <w:rPr>
          <w:rFonts w:cs="Arial"/>
          <w:szCs w:val="20"/>
        </w:rPr>
        <w:t xml:space="preserve">ideą stymulując lokalny rynek i ukierunkowując na działalność proGOZową (patrz również Rozdział </w:t>
      </w:r>
      <w:r w:rsidR="002E7D99" w:rsidRPr="003478AF">
        <w:rPr>
          <w:rFonts w:cs="Arial"/>
          <w:szCs w:val="20"/>
        </w:rPr>
        <w:t>9</w:t>
      </w:r>
      <w:r w:rsidR="00344526" w:rsidRPr="003478AF">
        <w:rPr>
          <w:rFonts w:cs="Arial"/>
          <w:szCs w:val="20"/>
        </w:rPr>
        <w:t xml:space="preserve"> - </w:t>
      </w:r>
      <w:r w:rsidRPr="003478AF">
        <w:rPr>
          <w:rFonts w:cs="Arial"/>
          <w:szCs w:val="20"/>
        </w:rPr>
        <w:t>inne działania finansowe).</w:t>
      </w:r>
    </w:p>
    <w:p w14:paraId="43E2D984" w14:textId="3511C520" w:rsidR="00177C5A" w:rsidRPr="003478AF" w:rsidRDefault="00177C5A" w:rsidP="00D56E2B">
      <w:pPr>
        <w:rPr>
          <w:rFonts w:cs="Arial"/>
          <w:szCs w:val="20"/>
        </w:rPr>
      </w:pPr>
      <w:r w:rsidRPr="003478AF">
        <w:rPr>
          <w:rFonts w:cs="Arial"/>
          <w:szCs w:val="20"/>
        </w:rPr>
        <w:t xml:space="preserve">Bariery finansowe nie są </w:t>
      </w:r>
      <w:r w:rsidR="002A708F" w:rsidRPr="003478AF">
        <w:rPr>
          <w:rFonts w:cs="Arial"/>
          <w:szCs w:val="20"/>
        </w:rPr>
        <w:t xml:space="preserve">wyłącznie </w:t>
      </w:r>
      <w:r w:rsidRPr="003478AF">
        <w:rPr>
          <w:rFonts w:cs="Arial"/>
          <w:szCs w:val="20"/>
        </w:rPr>
        <w:t>związane z wprowadzaniem nowych rozwiązań do przedsiębiorstw i kierowaniem produktów</w:t>
      </w:r>
      <w:r w:rsidR="00344526" w:rsidRPr="003478AF">
        <w:rPr>
          <w:rFonts w:cs="Arial"/>
          <w:szCs w:val="20"/>
        </w:rPr>
        <w:t xml:space="preserve"> GOZ</w:t>
      </w:r>
      <w:r w:rsidRPr="003478AF">
        <w:rPr>
          <w:rFonts w:cs="Arial"/>
          <w:szCs w:val="20"/>
        </w:rPr>
        <w:t xml:space="preserve"> na rynek, ale również łącz</w:t>
      </w:r>
      <w:r w:rsidR="002A708F" w:rsidRPr="003478AF">
        <w:rPr>
          <w:rFonts w:cs="Arial"/>
          <w:szCs w:val="20"/>
        </w:rPr>
        <w:t>ą</w:t>
      </w:r>
      <w:r w:rsidRPr="003478AF">
        <w:rPr>
          <w:rFonts w:cs="Arial"/>
          <w:szCs w:val="20"/>
        </w:rPr>
        <w:t xml:space="preserve"> się </w:t>
      </w:r>
      <w:r w:rsidR="00511D09" w:rsidRPr="003478AF">
        <w:rPr>
          <w:rFonts w:cs="Arial"/>
          <w:szCs w:val="20"/>
        </w:rPr>
        <w:t xml:space="preserve">z </w:t>
      </w:r>
      <w:r w:rsidRPr="003478AF">
        <w:rPr>
          <w:rFonts w:cs="Arial"/>
          <w:szCs w:val="20"/>
        </w:rPr>
        <w:t>wysokimi kosztami sortowania odpadów, czy też niższą jakością odzyskanych surowców. Niestety często nakład pieniężny dla pozyskania materiałów z wykorzystaniem zasobów pierwotnych jest niższy od kosztów uzyskania materiałów wtórnych.</w:t>
      </w:r>
      <w:r w:rsidR="00511D09" w:rsidRPr="003478AF">
        <w:t xml:space="preserve"> </w:t>
      </w:r>
      <w:r w:rsidRPr="003478AF">
        <w:rPr>
          <w:rFonts w:cs="Arial"/>
          <w:szCs w:val="20"/>
        </w:rPr>
        <w:t xml:space="preserve">Z tego powodu szczególny nacisk powinien być kładziony na ekoprojektowanie, które pozwala na niwelacje barier związanych </w:t>
      </w:r>
      <w:r w:rsidR="00344526" w:rsidRPr="003478AF">
        <w:rPr>
          <w:rFonts w:cs="Arial"/>
          <w:szCs w:val="20"/>
        </w:rPr>
        <w:br/>
      </w:r>
      <w:r w:rsidRPr="003478AF">
        <w:rPr>
          <w:rFonts w:cs="Arial"/>
          <w:szCs w:val="20"/>
        </w:rPr>
        <w:t xml:space="preserve">z wysokimi kosztami </w:t>
      </w:r>
      <w:r w:rsidR="00F6419C" w:rsidRPr="003478AF">
        <w:rPr>
          <w:rFonts w:cs="Arial"/>
          <w:szCs w:val="20"/>
        </w:rPr>
        <w:t>na</w:t>
      </w:r>
      <w:r w:rsidRPr="003478AF">
        <w:rPr>
          <w:rFonts w:cs="Arial"/>
          <w:szCs w:val="20"/>
        </w:rPr>
        <w:t xml:space="preserve"> kolejnych etapach działalności. Z braku wystarczająco wysokich motywacji finansowych wynika niska zdolność oraz znikoma chęć przedsiębiorstw do transformacji własnej działalności.</w:t>
      </w:r>
    </w:p>
    <w:p w14:paraId="4F16292A" w14:textId="77777777" w:rsidR="009C5130" w:rsidRPr="003478AF" w:rsidRDefault="009C5130" w:rsidP="00D56E2B">
      <w:pPr>
        <w:rPr>
          <w:rFonts w:cs="Arial"/>
          <w:szCs w:val="20"/>
        </w:rPr>
      </w:pPr>
    </w:p>
    <w:p w14:paraId="25E61F4D" w14:textId="7A4F3D2E" w:rsidR="009C5130" w:rsidRPr="003478AF" w:rsidRDefault="009C5130" w:rsidP="00545239">
      <w:pPr>
        <w:ind w:firstLine="0"/>
        <w:rPr>
          <w:rFonts w:cs="Arial"/>
          <w:b/>
          <w:bCs/>
          <w:szCs w:val="20"/>
        </w:rPr>
      </w:pPr>
      <w:r w:rsidRPr="003478AF">
        <w:rPr>
          <w:rFonts w:cs="Arial"/>
          <w:b/>
          <w:bCs/>
          <w:szCs w:val="20"/>
        </w:rPr>
        <w:t xml:space="preserve">Bariery kadrowe (kompetencyjne) </w:t>
      </w:r>
    </w:p>
    <w:p w14:paraId="18DCE452" w14:textId="0B35001B" w:rsidR="00F6579E" w:rsidRPr="003478AF" w:rsidRDefault="00F6579E" w:rsidP="00F6579E">
      <w:pPr>
        <w:rPr>
          <w:rFonts w:cs="Arial"/>
          <w:szCs w:val="20"/>
        </w:rPr>
      </w:pPr>
      <w:r w:rsidRPr="003478AF">
        <w:rPr>
          <w:rFonts w:cs="Arial"/>
          <w:szCs w:val="20"/>
        </w:rPr>
        <w:t>Z wdrażaniem metod GOZ związana jest także luka kompetencyjna. Występuje ona zarówno na poziomie kadry pracowniczej</w:t>
      </w:r>
      <w:r w:rsidR="00891F23" w:rsidRPr="003478AF">
        <w:rPr>
          <w:rFonts w:cs="Arial"/>
          <w:szCs w:val="20"/>
        </w:rPr>
        <w:t xml:space="preserve">, jak i </w:t>
      </w:r>
      <w:r w:rsidRPr="003478AF">
        <w:rPr>
          <w:rFonts w:cs="Arial"/>
          <w:szCs w:val="20"/>
        </w:rPr>
        <w:t xml:space="preserve">inwestorów. </w:t>
      </w:r>
      <w:r w:rsidR="00F41482" w:rsidRPr="003478AF">
        <w:t>Zauważa się</w:t>
      </w:r>
      <w:r w:rsidRPr="003478AF">
        <w:t xml:space="preserve"> braki w edukacji </w:t>
      </w:r>
      <w:r w:rsidR="001B0CB3" w:rsidRPr="003478AF">
        <w:br/>
      </w:r>
      <w:r w:rsidRPr="003478AF">
        <w:t xml:space="preserve">w zakresie szerokorozumianych postaw obejmujących model GOZ oraz promocji </w:t>
      </w:r>
      <w:r w:rsidRPr="003478AF">
        <w:rPr>
          <w:rFonts w:cs="Arial"/>
          <w:szCs w:val="20"/>
        </w:rPr>
        <w:t>wiedzy dotyczącej gospodarki cyrkularnej, nie</w:t>
      </w:r>
      <w:r w:rsidRPr="003478AF">
        <w:t xml:space="preserve"> tylko wśród konsumentów, lecz także przedsiębiorców, inwestorów, kadry naukowej i nauczycielskiej.</w:t>
      </w:r>
    </w:p>
    <w:p w14:paraId="39E4F1DE" w14:textId="577BF800" w:rsidR="007A3B29" w:rsidRPr="003478AF" w:rsidRDefault="007A3B29" w:rsidP="007A3B29">
      <w:pPr>
        <w:rPr>
          <w:rFonts w:cs="Arial"/>
          <w:color w:val="000000"/>
          <w:szCs w:val="20"/>
        </w:rPr>
      </w:pPr>
      <w:r w:rsidRPr="003478AF">
        <w:rPr>
          <w:rFonts w:cs="Arial"/>
          <w:color w:val="000000"/>
          <w:szCs w:val="20"/>
        </w:rPr>
        <w:t>Część podmiotów gospodarczych rozpoczęła proces wdrażania rozwiązań GOZ</w:t>
      </w:r>
      <w:r w:rsidR="00F41482" w:rsidRPr="003478AF">
        <w:rPr>
          <w:rFonts w:cs="Arial"/>
          <w:color w:val="000000"/>
          <w:szCs w:val="20"/>
        </w:rPr>
        <w:t>, j</w:t>
      </w:r>
      <w:r w:rsidRPr="003478AF">
        <w:rPr>
          <w:rFonts w:cs="Arial"/>
          <w:color w:val="000000"/>
          <w:szCs w:val="20"/>
        </w:rPr>
        <w:t>ednak większość przedsiębiorstw nie ma dosta</w:t>
      </w:r>
      <w:r w:rsidR="00F41482" w:rsidRPr="003478AF">
        <w:rPr>
          <w:rFonts w:cs="Arial"/>
          <w:color w:val="000000"/>
          <w:szCs w:val="20"/>
        </w:rPr>
        <w:t>tecznej</w:t>
      </w:r>
      <w:r w:rsidRPr="003478AF">
        <w:rPr>
          <w:rFonts w:cs="Arial"/>
          <w:color w:val="000000"/>
          <w:szCs w:val="20"/>
        </w:rPr>
        <w:t xml:space="preserve"> wiedzy jakie powinny </w:t>
      </w:r>
      <w:r w:rsidR="0080772F" w:rsidRPr="003478AF">
        <w:rPr>
          <w:rFonts w:cs="Arial"/>
          <w:color w:val="000000"/>
          <w:szCs w:val="20"/>
        </w:rPr>
        <w:t xml:space="preserve">podjąć kolejne </w:t>
      </w:r>
      <w:r w:rsidRPr="003478AF">
        <w:rPr>
          <w:rFonts w:cs="Arial"/>
          <w:color w:val="000000"/>
          <w:szCs w:val="20"/>
        </w:rPr>
        <w:t xml:space="preserve">aktywności związane z implementacją </w:t>
      </w:r>
      <w:r w:rsidR="00E15BC5" w:rsidRPr="003478AF">
        <w:rPr>
          <w:rFonts w:cs="Arial"/>
          <w:color w:val="000000"/>
          <w:szCs w:val="20"/>
        </w:rPr>
        <w:t xml:space="preserve">tych </w:t>
      </w:r>
      <w:r w:rsidRPr="003478AF">
        <w:rPr>
          <w:rFonts w:cs="Arial"/>
          <w:color w:val="000000"/>
          <w:szCs w:val="20"/>
        </w:rPr>
        <w:t>rozwiązań. W województwie</w:t>
      </w:r>
      <w:r w:rsidR="00891F23" w:rsidRPr="003478AF">
        <w:rPr>
          <w:rFonts w:cs="Arial"/>
          <w:color w:val="000000"/>
          <w:szCs w:val="20"/>
        </w:rPr>
        <w:t xml:space="preserve"> wielkopolskim</w:t>
      </w:r>
      <w:r w:rsidRPr="003478AF">
        <w:rPr>
          <w:rFonts w:cs="Arial"/>
          <w:color w:val="000000"/>
          <w:szCs w:val="20"/>
        </w:rPr>
        <w:t xml:space="preserve"> brakuje podmiotów, np. w formie instytucji otoczenia biznesu, oferujących kompleksowe audyty działalności przedsiębiorstw pod kątem transformacji w kierunku GOZ oraz zapewniających dostęp do ekspertów świadczących profesjonalne usługi w tym zakresie.</w:t>
      </w:r>
      <w:r w:rsidR="0080772F" w:rsidRPr="003478AF">
        <w:rPr>
          <w:rFonts w:cs="Arial"/>
          <w:color w:val="000000"/>
          <w:szCs w:val="20"/>
        </w:rPr>
        <w:t xml:space="preserve"> Dużą rol</w:t>
      </w:r>
      <w:r w:rsidR="00891F23" w:rsidRPr="003478AF">
        <w:rPr>
          <w:rFonts w:cs="Arial"/>
          <w:color w:val="000000"/>
          <w:szCs w:val="20"/>
        </w:rPr>
        <w:t>ę</w:t>
      </w:r>
      <w:r w:rsidR="0080772F" w:rsidRPr="003478AF">
        <w:rPr>
          <w:rFonts w:cs="Arial"/>
          <w:color w:val="000000"/>
          <w:szCs w:val="20"/>
        </w:rPr>
        <w:t xml:space="preserve"> mogłyby </w:t>
      </w:r>
      <w:r w:rsidR="00E15BC5" w:rsidRPr="003478AF">
        <w:rPr>
          <w:rFonts w:cs="Arial"/>
          <w:color w:val="000000"/>
          <w:szCs w:val="20"/>
        </w:rPr>
        <w:t>odegrać</w:t>
      </w:r>
      <w:r w:rsidR="0080772F" w:rsidRPr="003478AF">
        <w:rPr>
          <w:rFonts w:cs="Arial"/>
          <w:color w:val="000000"/>
          <w:szCs w:val="20"/>
        </w:rPr>
        <w:t xml:space="preserve"> izby regionalne lub branżowe, które prężnie działają, np. poprzez Krajową Izbę Gospodarczą</w:t>
      </w:r>
      <w:r w:rsidR="00E15BC5" w:rsidRPr="003478AF">
        <w:rPr>
          <w:rFonts w:cs="Arial"/>
          <w:color w:val="000000"/>
          <w:szCs w:val="20"/>
        </w:rPr>
        <w:t xml:space="preserve">. Ich udział mógłby </w:t>
      </w:r>
      <w:r w:rsidR="00995864" w:rsidRPr="003478AF">
        <w:rPr>
          <w:rFonts w:cs="Arial"/>
          <w:color w:val="000000"/>
          <w:szCs w:val="20"/>
        </w:rPr>
        <w:t xml:space="preserve">przyczynić </w:t>
      </w:r>
      <w:r w:rsidR="0080772F" w:rsidRPr="003478AF">
        <w:rPr>
          <w:rFonts w:cs="Arial"/>
          <w:color w:val="000000"/>
          <w:szCs w:val="20"/>
        </w:rPr>
        <w:t>się do edukacji przedsiębiorców, w tym przekazania standardów, metod, szerzenia dobrych praktyk wśród członków w ramach wdrażania rozwiązań GOZ.</w:t>
      </w:r>
    </w:p>
    <w:p w14:paraId="76276433" w14:textId="087C64EB" w:rsidR="0080772F" w:rsidRPr="003478AF" w:rsidRDefault="0080772F" w:rsidP="007A3B29">
      <w:pPr>
        <w:rPr>
          <w:rFonts w:cs="Arial"/>
          <w:szCs w:val="20"/>
        </w:rPr>
      </w:pPr>
      <w:r w:rsidRPr="003478AF">
        <w:rPr>
          <w:rFonts w:cs="Arial"/>
          <w:color w:val="000000"/>
          <w:szCs w:val="20"/>
        </w:rPr>
        <w:t xml:space="preserve">Istotna w rozwoju modelu GOZ jest branża projektowa – ecodesign- zapoczątkowująca obieg surowca/produktu. </w:t>
      </w:r>
      <w:r w:rsidR="00A27B99" w:rsidRPr="003478AF">
        <w:rPr>
          <w:rFonts w:cs="Arial"/>
          <w:color w:val="000000"/>
          <w:szCs w:val="20"/>
        </w:rPr>
        <w:t>Przyszli p</w:t>
      </w:r>
      <w:r w:rsidRPr="003478AF">
        <w:rPr>
          <w:rFonts w:cs="Arial"/>
          <w:color w:val="000000"/>
          <w:szCs w:val="20"/>
        </w:rPr>
        <w:t>rojektanci muszą mieć pełną wiedzę i miejsce</w:t>
      </w:r>
      <w:r w:rsidR="001D3CAF" w:rsidRPr="003478AF">
        <w:rPr>
          <w:rFonts w:cs="Arial"/>
          <w:color w:val="000000"/>
          <w:szCs w:val="20"/>
        </w:rPr>
        <w:t>,</w:t>
      </w:r>
      <w:r w:rsidRPr="003478AF">
        <w:rPr>
          <w:rFonts w:cs="Arial"/>
          <w:color w:val="000000"/>
          <w:szCs w:val="20"/>
        </w:rPr>
        <w:t xml:space="preserve"> gdzie mogą się zdobyć odpowiednie kompetencje.</w:t>
      </w:r>
    </w:p>
    <w:p w14:paraId="73BFC2A4" w14:textId="7217C62C" w:rsidR="0080772F" w:rsidRPr="003478AF" w:rsidRDefault="0080772F" w:rsidP="00EE1A75">
      <w:r w:rsidRPr="003478AF">
        <w:rPr>
          <w:rFonts w:cs="Arial"/>
          <w:szCs w:val="20"/>
        </w:rPr>
        <w:t xml:space="preserve">Potrzeba szkolenia kadry </w:t>
      </w:r>
      <w:r w:rsidR="00995864" w:rsidRPr="003478AF">
        <w:rPr>
          <w:rFonts w:cs="Arial"/>
          <w:szCs w:val="20"/>
        </w:rPr>
        <w:t xml:space="preserve">uwidoczniona </w:t>
      </w:r>
      <w:r w:rsidRPr="003478AF">
        <w:rPr>
          <w:rFonts w:cs="Arial"/>
          <w:szCs w:val="20"/>
        </w:rPr>
        <w:t xml:space="preserve">jest poprzez tworzenie specjalistycznych dedykowanych kierunków. Przykładem jest nowy kierunek studiów stacjonarnych na Politechnice Poznańskiej </w:t>
      </w:r>
      <w:r w:rsidR="00A27B99" w:rsidRPr="003478AF">
        <w:rPr>
          <w:rFonts w:cs="Arial"/>
          <w:szCs w:val="20"/>
        </w:rPr>
        <w:t>pn.</w:t>
      </w:r>
      <w:r w:rsidRPr="003478AF">
        <w:rPr>
          <w:rFonts w:cs="Arial"/>
          <w:szCs w:val="20"/>
        </w:rPr>
        <w:t xml:space="preserve"> Technologie obiegu zamkniętego</w:t>
      </w:r>
      <w:r w:rsidR="00A27B99" w:rsidRPr="003478AF">
        <w:rPr>
          <w:rFonts w:cs="Arial"/>
          <w:szCs w:val="20"/>
        </w:rPr>
        <w:t xml:space="preserve">, </w:t>
      </w:r>
      <w:r w:rsidRPr="003478AF">
        <w:rPr>
          <w:rFonts w:cs="Arial"/>
          <w:szCs w:val="20"/>
        </w:rPr>
        <w:t xml:space="preserve">planowany na rok akademicki </w:t>
      </w:r>
      <w:r w:rsidRPr="003478AF">
        <w:rPr>
          <w:rFonts w:cs="Arial"/>
          <w:szCs w:val="20"/>
        </w:rPr>
        <w:lastRenderedPageBreak/>
        <w:t xml:space="preserve">2021/2022, którego koncepcja i podstawa programowa oparta jest o </w:t>
      </w:r>
      <w:r w:rsidR="00A27B99" w:rsidRPr="003478AF">
        <w:rPr>
          <w:rFonts w:cs="Arial"/>
          <w:szCs w:val="20"/>
        </w:rPr>
        <w:t xml:space="preserve">założenia idei </w:t>
      </w:r>
      <w:r w:rsidRPr="003478AF">
        <w:rPr>
          <w:rFonts w:cs="Arial"/>
          <w:szCs w:val="20"/>
        </w:rPr>
        <w:t>GOZ</w:t>
      </w:r>
      <w:r w:rsidRPr="003478AF">
        <w:rPr>
          <w:rStyle w:val="Odwoanieprzypisudolnego"/>
        </w:rPr>
        <w:footnoteReference w:id="137"/>
      </w:r>
      <w:r w:rsidRPr="003478AF">
        <w:rPr>
          <w:rFonts w:cs="Arial"/>
          <w:szCs w:val="20"/>
        </w:rPr>
        <w:t xml:space="preserve">. </w:t>
      </w:r>
      <w:r w:rsidRPr="003478AF">
        <w:t xml:space="preserve">Na </w:t>
      </w:r>
      <w:r w:rsidRPr="003478AF">
        <w:rPr>
          <w:rFonts w:cs="Arial"/>
          <w:szCs w:val="20"/>
        </w:rPr>
        <w:t xml:space="preserve">Uniwersytecie Ekonomicznym w Poznaniu w </w:t>
      </w:r>
      <w:r w:rsidRPr="003478AF">
        <w:t xml:space="preserve">planach jest kierunek związany z produktem </w:t>
      </w:r>
      <w:r w:rsidR="00A27B99" w:rsidRPr="003478AF">
        <w:br/>
      </w:r>
      <w:r w:rsidRPr="003478AF">
        <w:t xml:space="preserve">w gospodarce </w:t>
      </w:r>
      <w:r w:rsidR="00891F23" w:rsidRPr="003478AF">
        <w:t xml:space="preserve">o </w:t>
      </w:r>
      <w:r w:rsidRPr="003478AF">
        <w:t xml:space="preserve">obiegu zamkniętym oraz uruchomienie studiów podyplomowych z zakresu GOZ. </w:t>
      </w:r>
      <w:r w:rsidRPr="003478AF">
        <w:rPr>
          <w:rFonts w:cstheme="majorHAnsi"/>
          <w:lang w:eastAsia="pl-PL"/>
        </w:rPr>
        <w:t xml:space="preserve">Na </w:t>
      </w:r>
      <w:r w:rsidR="00EE1A75" w:rsidRPr="003478AF">
        <w:rPr>
          <w:rFonts w:cstheme="majorHAnsi"/>
          <w:lang w:eastAsia="pl-PL"/>
        </w:rPr>
        <w:t xml:space="preserve">Uniwersytecie im. Adama Mickiewicza w Poznaniu </w:t>
      </w:r>
      <w:r w:rsidRPr="003478AF">
        <w:rPr>
          <w:rFonts w:cstheme="majorHAnsi"/>
          <w:lang w:eastAsia="pl-PL"/>
        </w:rPr>
        <w:t xml:space="preserve">w ramach kierunków środowiskowych realizowany jest przedmiot </w:t>
      </w:r>
      <w:r w:rsidR="00A27B99" w:rsidRPr="003478AF">
        <w:rPr>
          <w:rFonts w:cstheme="majorHAnsi"/>
          <w:lang w:eastAsia="pl-PL"/>
        </w:rPr>
        <w:t xml:space="preserve">pn. </w:t>
      </w:r>
      <w:r w:rsidRPr="003478AF">
        <w:rPr>
          <w:rFonts w:cstheme="majorHAnsi"/>
          <w:lang w:eastAsia="pl-PL"/>
        </w:rPr>
        <w:t xml:space="preserve">gospodarka o obiegu zamkniętym, natomiast w Państwowej </w:t>
      </w:r>
      <w:r w:rsidR="00EE1A75" w:rsidRPr="003478AF">
        <w:rPr>
          <w:rFonts w:cstheme="majorHAnsi"/>
          <w:lang w:eastAsia="pl-PL"/>
        </w:rPr>
        <w:t>Uczelni</w:t>
      </w:r>
      <w:r w:rsidRPr="003478AF">
        <w:rPr>
          <w:rFonts w:cstheme="majorHAnsi"/>
          <w:lang w:eastAsia="pl-PL"/>
        </w:rPr>
        <w:t xml:space="preserve"> Stanisława Staszica w Pile </w:t>
      </w:r>
      <w:r w:rsidR="00341064" w:rsidRPr="003478AF">
        <w:rPr>
          <w:rFonts w:cstheme="majorHAnsi"/>
          <w:lang w:eastAsia="pl-PL"/>
        </w:rPr>
        <w:t>odbywają</w:t>
      </w:r>
      <w:r w:rsidRPr="003478AF">
        <w:rPr>
          <w:rFonts w:cstheme="majorHAnsi"/>
          <w:lang w:eastAsia="pl-PL"/>
        </w:rPr>
        <w:t xml:space="preserve"> s</w:t>
      </w:r>
      <w:r w:rsidR="00341064" w:rsidRPr="003478AF">
        <w:rPr>
          <w:rFonts w:cstheme="majorHAnsi"/>
          <w:lang w:eastAsia="pl-PL"/>
        </w:rPr>
        <w:t>ię</w:t>
      </w:r>
      <w:r w:rsidRPr="003478AF">
        <w:rPr>
          <w:rFonts w:cstheme="majorHAnsi"/>
          <w:lang w:eastAsia="pl-PL"/>
        </w:rPr>
        <w:t xml:space="preserve"> lektoraty z ekologii </w:t>
      </w:r>
      <w:r w:rsidR="002A4150" w:rsidRPr="003478AF">
        <w:rPr>
          <w:rFonts w:cstheme="majorHAnsi"/>
          <w:lang w:eastAsia="pl-PL"/>
        </w:rPr>
        <w:br/>
      </w:r>
      <w:r w:rsidRPr="003478AF">
        <w:rPr>
          <w:rFonts w:cstheme="majorHAnsi"/>
          <w:lang w:eastAsia="pl-PL"/>
        </w:rPr>
        <w:t xml:space="preserve">z podstawami GOZ. </w:t>
      </w:r>
      <w:r w:rsidRPr="003478AF">
        <w:t>Zagadnienia zrównoważonego rozwoju i GOZ pojawiają się na wielu kierunkach wielkopolskich uczelni związanych z inżynierią środowiska oraz zarządzeniem (m.in. ekoinnowacje, przedmioty związane z tworzenie</w:t>
      </w:r>
      <w:r w:rsidR="001774C5" w:rsidRPr="003478AF">
        <w:t>m</w:t>
      </w:r>
      <w:r w:rsidRPr="003478AF">
        <w:t xml:space="preserve"> zrównoważonych miast). </w:t>
      </w:r>
    </w:p>
    <w:p w14:paraId="08FED9C9" w14:textId="77777777" w:rsidR="00D56E2B" w:rsidRPr="003478AF" w:rsidRDefault="00D56E2B" w:rsidP="00D56E2B"/>
    <w:p w14:paraId="6CB2CF6A" w14:textId="3BF0B537" w:rsidR="00D56E2B" w:rsidRPr="003478AF" w:rsidRDefault="00D56E2B" w:rsidP="00545239">
      <w:pPr>
        <w:ind w:firstLine="0"/>
        <w:rPr>
          <w:b/>
          <w:bCs/>
        </w:rPr>
      </w:pPr>
      <w:r w:rsidRPr="003478AF">
        <w:rPr>
          <w:b/>
          <w:bCs/>
        </w:rPr>
        <w:t>Bariery rynkowe</w:t>
      </w:r>
    </w:p>
    <w:p w14:paraId="758AA81B" w14:textId="0DF7C469" w:rsidR="003B6F3E" w:rsidRPr="003478AF" w:rsidRDefault="003B6F3E" w:rsidP="003B6F3E">
      <w:r w:rsidRPr="003478AF">
        <w:t xml:space="preserve">Spośród ograniczeń rynkowych najczęściej podkreślano wahania koniunktury </w:t>
      </w:r>
      <w:r w:rsidR="007C14CB" w:rsidRPr="003478AF">
        <w:br/>
      </w:r>
      <w:r w:rsidRPr="003478AF">
        <w:t xml:space="preserve">w zakresie surowców wtórnych przy wysokich kosztach zbiórki i przetwórstwa, konkurencję dużych firm zainteresowanych półproduktem i surowcem (nieprzetworzonym towarem), brak ciągłości dostaw odpowiedniej jakości surowców, zaburzoną współpracę w ramach łańcuchów wartości oraz preferencje konsumenckie. </w:t>
      </w:r>
    </w:p>
    <w:p w14:paraId="53241F19" w14:textId="433A0045" w:rsidR="003B6F3E" w:rsidRPr="003478AF" w:rsidRDefault="003B6F3E" w:rsidP="003B6F3E">
      <w:r w:rsidRPr="003478AF">
        <w:t>Należy pracować</w:t>
      </w:r>
      <w:r w:rsidR="001C16D6" w:rsidRPr="003478AF">
        <w:t xml:space="preserve"> </w:t>
      </w:r>
      <w:r w:rsidRPr="003478AF">
        <w:t xml:space="preserve">nad akceptacją produktów z recyklingu przez rynek jako wartości dodanej. Istotna jest również ich cena w porównaniu do dóbr wytworzonych z materiałów pierwotnych. Pierwotne materiały mogą być nadal tańsze, natomiast nie można dopuszczać do sytuacji braku konkurencyjności cenowej między tymi produktami. Szczególnie dla mikro- </w:t>
      </w:r>
      <w:r w:rsidR="007C14CB" w:rsidRPr="003478AF">
        <w:br/>
      </w:r>
      <w:r w:rsidRPr="003478AF">
        <w:t xml:space="preserve">i małych przedsiębiorstw barierą jest także zamożność społeczeństwa – decyzje o zakupie podejmuje klient, który docenia produkty „eko”, „bio”, z recyklingu, ale ze względu na cenę zakupuje produkt tańszy, niekoniecznie </w:t>
      </w:r>
      <w:r w:rsidR="001E1450" w:rsidRPr="003478AF">
        <w:t>prośrodowiskowy</w:t>
      </w:r>
      <w:r w:rsidRPr="003478AF">
        <w:t>. Bogac</w:t>
      </w:r>
      <w:r w:rsidR="00545239" w:rsidRPr="003478AF">
        <w:t>enie się</w:t>
      </w:r>
      <w:r w:rsidRPr="003478AF">
        <w:t xml:space="preserve"> społeczeństwa wzmaga pozytywne procesy transformacji. </w:t>
      </w:r>
    </w:p>
    <w:p w14:paraId="635FF97C" w14:textId="14C6B2C3" w:rsidR="003B6F3E" w:rsidRPr="003478AF" w:rsidRDefault="003B6F3E" w:rsidP="003B6F3E">
      <w:r w:rsidRPr="003478AF">
        <w:t xml:space="preserve">Mechanizmami wspierającymi konkurencyjność produktów z materiałów wtórnych są m.in.: obowiązkowe zasady dotyczące minimalnej zawartości materiałów pochodzących </w:t>
      </w:r>
      <w:r w:rsidRPr="003478AF">
        <w:br/>
        <w:t xml:space="preserve">z recyklingu w wybranych produktach, obniżenia podatku VAT na produkty pochodzące </w:t>
      </w:r>
      <w:r w:rsidRPr="003478AF">
        <w:br/>
        <w:t>z surowców wtórnych</w:t>
      </w:r>
      <w:r w:rsidRPr="003478AF">
        <w:rPr>
          <w:rStyle w:val="Odwoanieprzypisudolnego"/>
        </w:rPr>
        <w:footnoteReference w:id="138"/>
      </w:r>
      <w:r w:rsidRPr="003478AF">
        <w:t>.</w:t>
      </w:r>
    </w:p>
    <w:p w14:paraId="1C64C86A" w14:textId="73F2F69D" w:rsidR="007C2620" w:rsidRPr="003478AF" w:rsidRDefault="003B6F3E" w:rsidP="003B6F3E">
      <w:r w:rsidRPr="003478AF">
        <w:t>Efektywność łańcucha wartości w ramach modelu GOZ zależna jest od zaangażowania poszczególnych uczestników oraz istnienia odpowiednich podmiotów w ramach jego funkcjonowania. Brak jednego czynnika, np. wyspecjalizowanych zakładów odzysku surowca, uniemożliwi zamykanie obiegów.</w:t>
      </w:r>
    </w:p>
    <w:p w14:paraId="0115150B" w14:textId="77777777" w:rsidR="00A257F0" w:rsidRPr="003478AF" w:rsidRDefault="00A257F0" w:rsidP="007C7ECD">
      <w:pPr>
        <w:ind w:left="720" w:hanging="360"/>
        <w:rPr>
          <w:b/>
          <w:bCs/>
        </w:rPr>
      </w:pPr>
    </w:p>
    <w:p w14:paraId="75B5189B" w14:textId="505C5426" w:rsidR="00325EF6" w:rsidRPr="003478AF" w:rsidRDefault="00325EF6" w:rsidP="00545239">
      <w:pPr>
        <w:ind w:firstLine="0"/>
        <w:rPr>
          <w:b/>
          <w:bCs/>
        </w:rPr>
      </w:pPr>
      <w:r w:rsidRPr="003478AF">
        <w:rPr>
          <w:b/>
          <w:bCs/>
        </w:rPr>
        <w:t>Bariery infrastrukturalne</w:t>
      </w:r>
      <w:r w:rsidR="00DF0E28" w:rsidRPr="003478AF">
        <w:rPr>
          <w:b/>
          <w:bCs/>
        </w:rPr>
        <w:t>/technologiczne</w:t>
      </w:r>
    </w:p>
    <w:p w14:paraId="07779038" w14:textId="55A0663A" w:rsidR="00325EF6" w:rsidRPr="003478AF" w:rsidRDefault="00325EF6" w:rsidP="00CA40FB">
      <w:pPr>
        <w:rPr>
          <w:szCs w:val="20"/>
        </w:rPr>
      </w:pPr>
      <w:r w:rsidRPr="003478AF">
        <w:rPr>
          <w:szCs w:val="20"/>
        </w:rPr>
        <w:t>Istotną barierą dla przedsiębiorstw</w:t>
      </w:r>
      <w:r w:rsidR="003B6F3E" w:rsidRPr="003478AF">
        <w:rPr>
          <w:szCs w:val="20"/>
        </w:rPr>
        <w:t xml:space="preserve"> planujących wdrożyć nowe technologie z zakresu gospodarki cyrkularnej</w:t>
      </w:r>
      <w:r w:rsidRPr="003478AF">
        <w:rPr>
          <w:szCs w:val="20"/>
        </w:rPr>
        <w:t xml:space="preserve"> jest niewystarczający dostęp do przestrzeni badawczej. Posiadanie własnej infrastruktury i aparatury badawczo-rozwojowej jest kapitałochłonne, stąd zazwyczaj tylko większe podmioty są w ich posiadaniu. Mikro- i małe przedsiębiorstwa mają niewystarczające możliwości wykorzystania komercyjnej powierzchni laboratoryjnej w celach badawczych. Istotna w tym temacie jest również</w:t>
      </w:r>
      <w:r w:rsidR="00B40F5F" w:rsidRPr="003478AF">
        <w:rPr>
          <w:szCs w:val="20"/>
        </w:rPr>
        <w:t>,</w:t>
      </w:r>
      <w:r w:rsidRPr="003478AF">
        <w:rPr>
          <w:szCs w:val="20"/>
        </w:rPr>
        <w:t xml:space="preserve"> wciąż niewystarczająca</w:t>
      </w:r>
      <w:r w:rsidR="00B40F5F" w:rsidRPr="003478AF">
        <w:rPr>
          <w:szCs w:val="20"/>
        </w:rPr>
        <w:t>,</w:t>
      </w:r>
      <w:r w:rsidRPr="003478AF">
        <w:rPr>
          <w:szCs w:val="20"/>
        </w:rPr>
        <w:t xml:space="preserve"> współpraca </w:t>
      </w:r>
      <w:r w:rsidR="007C14CB" w:rsidRPr="003478AF">
        <w:rPr>
          <w:szCs w:val="20"/>
        </w:rPr>
        <w:br/>
      </w:r>
      <w:r w:rsidRPr="003478AF">
        <w:rPr>
          <w:szCs w:val="20"/>
        </w:rPr>
        <w:t>z jednostkami badawczymi, które są w po</w:t>
      </w:r>
      <w:r w:rsidR="00B40F5F" w:rsidRPr="003478AF">
        <w:rPr>
          <w:szCs w:val="20"/>
        </w:rPr>
        <w:t>siadaniu odpowiedniego zaplecza</w:t>
      </w:r>
      <w:r w:rsidRPr="003478AF">
        <w:rPr>
          <w:szCs w:val="20"/>
        </w:rPr>
        <w:t xml:space="preserve"> często wykorzystywanego na potrzeby własnych badań. </w:t>
      </w:r>
      <w:r w:rsidR="00CA40FB" w:rsidRPr="003478AF">
        <w:rPr>
          <w:szCs w:val="20"/>
        </w:rPr>
        <w:t>W związku z tym</w:t>
      </w:r>
      <w:r w:rsidRPr="003478AF">
        <w:rPr>
          <w:szCs w:val="20"/>
        </w:rPr>
        <w:t xml:space="preserve"> w kwestiach likwidacji </w:t>
      </w:r>
      <w:r w:rsidRPr="003478AF">
        <w:rPr>
          <w:szCs w:val="20"/>
        </w:rPr>
        <w:lastRenderedPageBreak/>
        <w:t xml:space="preserve">ograniczeń barier infrastrukturalnych istotny jest nacisk na dofinansowanie rozwoju zaplecza badawczego mikro- i małych podmiotów, promowanie zawiązywania konsorcjów </w:t>
      </w:r>
      <w:r w:rsidR="00B40F5F" w:rsidRPr="003478AF">
        <w:rPr>
          <w:szCs w:val="20"/>
        </w:rPr>
        <w:t>po</w:t>
      </w:r>
      <w:r w:rsidRPr="003478AF">
        <w:rPr>
          <w:szCs w:val="20"/>
        </w:rPr>
        <w:t xml:space="preserve">między jednostkami B+R i przedsiębiorstwami, a także tworzenie oraz rozbudowa infrastruktury </w:t>
      </w:r>
      <w:r w:rsidR="00B40F5F" w:rsidRPr="003478AF">
        <w:rPr>
          <w:szCs w:val="20"/>
        </w:rPr>
        <w:t>dedykowanej działalności związanej z GOZ w ramach uczelni wyższych i w ośrodkach badawczych</w:t>
      </w:r>
      <w:r w:rsidRPr="003478AF">
        <w:rPr>
          <w:szCs w:val="20"/>
        </w:rPr>
        <w:t xml:space="preserve">. Przykładem dobrej praktyki na terenie Wielkopolski jest konsorcjum GWDA </w:t>
      </w:r>
      <w:r w:rsidR="00B40F5F" w:rsidRPr="003478AF">
        <w:rPr>
          <w:szCs w:val="20"/>
        </w:rPr>
        <w:br/>
      </w:r>
      <w:r w:rsidRPr="003478AF">
        <w:rPr>
          <w:szCs w:val="20"/>
        </w:rPr>
        <w:t xml:space="preserve">sp. z o.o., Państwowej Wyższej Szkoły Zawodowej im. Stanisława Staszica w Pile i Izby Gospodarczej Północnej Wielkopolski w Pile, </w:t>
      </w:r>
      <w:r w:rsidR="0014365E" w:rsidRPr="003478AF">
        <w:rPr>
          <w:szCs w:val="20"/>
        </w:rPr>
        <w:t xml:space="preserve">w ramach którego </w:t>
      </w:r>
      <w:r w:rsidRPr="003478AF">
        <w:rPr>
          <w:szCs w:val="20"/>
        </w:rPr>
        <w:t>utworz</w:t>
      </w:r>
      <w:r w:rsidR="0014365E" w:rsidRPr="003478AF">
        <w:rPr>
          <w:szCs w:val="20"/>
        </w:rPr>
        <w:t>ono</w:t>
      </w:r>
      <w:r w:rsidRPr="003478AF">
        <w:rPr>
          <w:szCs w:val="20"/>
        </w:rPr>
        <w:t xml:space="preserve"> Ośrodek Badawczo-Rozwojowy Odnawialnych Źródeł Energii</w:t>
      </w:r>
      <w:r w:rsidRPr="003478AF">
        <w:rPr>
          <w:rStyle w:val="Odwoanieprzypisudolnego"/>
        </w:rPr>
        <w:footnoteReference w:id="139"/>
      </w:r>
      <w:r w:rsidRPr="003478AF">
        <w:rPr>
          <w:szCs w:val="20"/>
        </w:rPr>
        <w:t>.</w:t>
      </w:r>
    </w:p>
    <w:p w14:paraId="061FFB1C" w14:textId="77777777" w:rsidR="00325EF6" w:rsidRPr="003478AF" w:rsidRDefault="00325EF6" w:rsidP="00325EF6">
      <w:pPr>
        <w:ind w:firstLine="0"/>
        <w:rPr>
          <w:b/>
          <w:bCs/>
        </w:rPr>
      </w:pPr>
    </w:p>
    <w:p w14:paraId="7C318711" w14:textId="3212FF43" w:rsidR="00504FAB" w:rsidRPr="003478AF" w:rsidRDefault="00D56E2B" w:rsidP="00545239">
      <w:pPr>
        <w:ind w:firstLine="0"/>
        <w:rPr>
          <w:b/>
          <w:bCs/>
        </w:rPr>
      </w:pPr>
      <w:r w:rsidRPr="003478AF">
        <w:rPr>
          <w:b/>
          <w:bCs/>
        </w:rPr>
        <w:t>Bariery prawne</w:t>
      </w:r>
    </w:p>
    <w:p w14:paraId="50DBE0ED" w14:textId="76BC42D9" w:rsidR="00D56E2B" w:rsidRPr="003478AF" w:rsidRDefault="00D56E2B" w:rsidP="00D56E2B">
      <w:pPr>
        <w:rPr>
          <w:rFonts w:cs="Arial"/>
          <w:szCs w:val="20"/>
        </w:rPr>
      </w:pPr>
      <w:r w:rsidRPr="003478AF">
        <w:t>Bariery prawne związane są ze zróżnicowanym tempem wprowadzenia zmian legislacyjnych</w:t>
      </w:r>
      <w:r w:rsidR="009E6530" w:rsidRPr="003478AF">
        <w:t xml:space="preserve"> i</w:t>
      </w:r>
      <w:r w:rsidRPr="003478AF">
        <w:t xml:space="preserve"> niestabilnością prawa, w tym w </w:t>
      </w:r>
      <w:r w:rsidRPr="003478AF">
        <w:rPr>
          <w:rFonts w:cstheme="majorHAnsi"/>
          <w:lang w:eastAsia="pl-PL"/>
        </w:rPr>
        <w:t>sektorach powiązanych z gospodarką cyrkularną (np. OZE)</w:t>
      </w:r>
      <w:r w:rsidRPr="003478AF">
        <w:rPr>
          <w:rFonts w:cs="Arial"/>
          <w:lang w:eastAsia="pl-PL"/>
        </w:rPr>
        <w:t>.</w:t>
      </w:r>
      <w:r w:rsidRPr="003478AF">
        <w:rPr>
          <w:rFonts w:cs="Arial"/>
        </w:rPr>
        <w:t xml:space="preserve"> </w:t>
      </w:r>
      <w:r w:rsidRPr="003478AF">
        <w:t xml:space="preserve">Wskazywanym ograniczeniem jest zbyt długi czas przejścia procedur </w:t>
      </w:r>
      <w:r w:rsidR="007C14CB" w:rsidRPr="003478AF">
        <w:br/>
      </w:r>
      <w:r w:rsidRPr="003478AF">
        <w:t xml:space="preserve">i implementacji GOZ w praktyce. </w:t>
      </w:r>
      <w:r w:rsidRPr="003478AF">
        <w:rPr>
          <w:rFonts w:cs="Arial"/>
        </w:rPr>
        <w:t>Zmiany</w:t>
      </w:r>
      <w:r w:rsidRPr="003478AF">
        <w:t xml:space="preserve"> dyrektyw unijnych wymuszają zmiany dokumentów krajowych, natomiast modyfikacje w prawodawstwie krajowym wpływają </w:t>
      </w:r>
      <w:r w:rsidRPr="003478AF">
        <w:rPr>
          <w:rFonts w:cs="Arial"/>
          <w:szCs w:val="20"/>
        </w:rPr>
        <w:t>na strategie</w:t>
      </w:r>
      <w:r w:rsidR="009E6530" w:rsidRPr="003478AF">
        <w:rPr>
          <w:rFonts w:cs="Arial"/>
          <w:szCs w:val="20"/>
        </w:rPr>
        <w:t xml:space="preserve"> i</w:t>
      </w:r>
      <w:r w:rsidRPr="003478AF">
        <w:rPr>
          <w:rFonts w:cs="Arial"/>
          <w:szCs w:val="20"/>
        </w:rPr>
        <w:t xml:space="preserve"> plany na poziomie wojewódzkim. Wydłużenie wdrożenia zmian na poziomie krajowym może wpłynąć na implementacje nowych regulacji przez samorządy, co </w:t>
      </w:r>
      <w:r w:rsidR="009E6530" w:rsidRPr="003478AF">
        <w:rPr>
          <w:rFonts w:cs="Arial"/>
          <w:szCs w:val="20"/>
        </w:rPr>
        <w:t>oddziałuje</w:t>
      </w:r>
      <w:r w:rsidRPr="003478AF">
        <w:rPr>
          <w:rFonts w:cs="Arial"/>
          <w:szCs w:val="20"/>
        </w:rPr>
        <w:t xml:space="preserve"> bezpośrednio na przedsiębiorców i podejmowane przez nich decyzje. Koniecznie jest </w:t>
      </w:r>
      <w:r w:rsidR="00995864" w:rsidRPr="003478AF">
        <w:rPr>
          <w:rFonts w:cs="Arial"/>
          <w:szCs w:val="20"/>
        </w:rPr>
        <w:t xml:space="preserve">przyśpieszenie </w:t>
      </w:r>
      <w:r w:rsidRPr="003478AF">
        <w:rPr>
          <w:rFonts w:cs="Arial"/>
          <w:szCs w:val="20"/>
        </w:rPr>
        <w:t>prac związanych z wprowadzaniem nowych wymagań unijnych.</w:t>
      </w:r>
      <w:r w:rsidR="009E6530" w:rsidRPr="003478AF">
        <w:rPr>
          <w:rFonts w:cs="Arial"/>
          <w:szCs w:val="20"/>
        </w:rPr>
        <w:t xml:space="preserve"> </w:t>
      </w:r>
      <w:r w:rsidRPr="003478AF">
        <w:rPr>
          <w:rFonts w:eastAsia="Times New Roman" w:cs="Arial"/>
          <w:szCs w:val="20"/>
          <w:lang w:eastAsia="pl-PL"/>
        </w:rPr>
        <w:t xml:space="preserve">Ponadto </w:t>
      </w:r>
      <w:r w:rsidR="003B6F3E" w:rsidRPr="003478AF">
        <w:rPr>
          <w:rFonts w:eastAsia="Times New Roman" w:cs="Arial"/>
          <w:szCs w:val="20"/>
          <w:lang w:eastAsia="pl-PL"/>
        </w:rPr>
        <w:t>widoczna jest potrzeba</w:t>
      </w:r>
      <w:r w:rsidRPr="003478AF">
        <w:rPr>
          <w:rFonts w:eastAsia="Times New Roman" w:cs="Arial"/>
          <w:szCs w:val="20"/>
          <w:lang w:eastAsia="pl-PL"/>
        </w:rPr>
        <w:t xml:space="preserve"> nie tylko uaktualni</w:t>
      </w:r>
      <w:r w:rsidR="003B6F3E" w:rsidRPr="003478AF">
        <w:rPr>
          <w:rFonts w:eastAsia="Times New Roman" w:cs="Arial"/>
          <w:szCs w:val="20"/>
          <w:lang w:eastAsia="pl-PL"/>
        </w:rPr>
        <w:t>ania</w:t>
      </w:r>
      <w:r w:rsidRPr="003478AF">
        <w:rPr>
          <w:rFonts w:eastAsia="Times New Roman" w:cs="Arial"/>
          <w:szCs w:val="20"/>
          <w:lang w:eastAsia="pl-PL"/>
        </w:rPr>
        <w:t xml:space="preserve"> map</w:t>
      </w:r>
      <w:r w:rsidR="003B6F3E" w:rsidRPr="003478AF">
        <w:rPr>
          <w:rFonts w:eastAsia="Times New Roman" w:cs="Arial"/>
          <w:szCs w:val="20"/>
          <w:lang w:eastAsia="pl-PL"/>
        </w:rPr>
        <w:t>y</w:t>
      </w:r>
      <w:r w:rsidRPr="003478AF">
        <w:rPr>
          <w:rFonts w:eastAsia="Times New Roman" w:cs="Arial"/>
          <w:szCs w:val="20"/>
          <w:lang w:eastAsia="pl-PL"/>
        </w:rPr>
        <w:t xml:space="preserve"> drogow</w:t>
      </w:r>
      <w:r w:rsidR="003B6F3E" w:rsidRPr="003478AF">
        <w:rPr>
          <w:rFonts w:eastAsia="Times New Roman" w:cs="Arial"/>
          <w:szCs w:val="20"/>
          <w:lang w:eastAsia="pl-PL"/>
        </w:rPr>
        <w:t>ej</w:t>
      </w:r>
      <w:r w:rsidRPr="003478AF">
        <w:rPr>
          <w:rFonts w:eastAsia="Times New Roman" w:cs="Arial"/>
          <w:szCs w:val="20"/>
          <w:lang w:eastAsia="pl-PL"/>
        </w:rPr>
        <w:t xml:space="preserve"> GOZ dla kraju, ale również</w:t>
      </w:r>
      <w:r w:rsidR="009E6530" w:rsidRPr="003478AF">
        <w:rPr>
          <w:rFonts w:eastAsia="Times New Roman" w:cs="Arial"/>
          <w:szCs w:val="20"/>
          <w:lang w:eastAsia="pl-PL"/>
        </w:rPr>
        <w:t xml:space="preserve"> </w:t>
      </w:r>
      <w:r w:rsidR="003B6F3E" w:rsidRPr="003478AF">
        <w:rPr>
          <w:rFonts w:eastAsia="Times New Roman" w:cs="Arial"/>
          <w:szCs w:val="20"/>
          <w:lang w:eastAsia="pl-PL"/>
        </w:rPr>
        <w:t xml:space="preserve">utworzenie </w:t>
      </w:r>
      <w:r w:rsidR="0014365E" w:rsidRPr="003478AF">
        <w:rPr>
          <w:rFonts w:eastAsia="Times New Roman" w:cs="Arial"/>
          <w:szCs w:val="20"/>
          <w:lang w:eastAsia="pl-PL"/>
        </w:rPr>
        <w:t xml:space="preserve">takich </w:t>
      </w:r>
      <w:r w:rsidR="009E6530" w:rsidRPr="003478AF">
        <w:rPr>
          <w:rFonts w:eastAsia="Times New Roman" w:cs="Arial"/>
          <w:szCs w:val="20"/>
          <w:lang w:eastAsia="pl-PL"/>
        </w:rPr>
        <w:t>map</w:t>
      </w:r>
      <w:r w:rsidRPr="003478AF">
        <w:rPr>
          <w:rFonts w:eastAsia="Times New Roman" w:cs="Arial"/>
          <w:szCs w:val="20"/>
          <w:lang w:eastAsia="pl-PL"/>
        </w:rPr>
        <w:t xml:space="preserve"> dla regionów. Władze regionalne powinny współpracować ze sobą w obszarach GOZ tworząc ekosystemy.</w:t>
      </w:r>
    </w:p>
    <w:p w14:paraId="1909A394" w14:textId="1CBFBE77" w:rsidR="00D56E2B" w:rsidRPr="003478AF" w:rsidRDefault="00D56E2B" w:rsidP="00D56E2B">
      <w:pPr>
        <w:rPr>
          <w:rFonts w:cs="Arial"/>
          <w:szCs w:val="20"/>
        </w:rPr>
      </w:pPr>
      <w:r w:rsidRPr="003478AF">
        <w:t xml:space="preserve">Niezbędne są nowe regulacje prawne i aktualizacje obecnych strategii </w:t>
      </w:r>
      <w:r w:rsidR="00075829" w:rsidRPr="003478AF">
        <w:br/>
      </w:r>
      <w:r w:rsidRPr="003478AF">
        <w:t xml:space="preserve">z uwzględnieniem GOZ, w tym dotyczące wydłużania cyklu życia produktów i ich ponownego wykorzystania. </w:t>
      </w:r>
      <w:r w:rsidRPr="003478AF">
        <w:rPr>
          <w:rFonts w:cs="Arial"/>
          <w:szCs w:val="20"/>
        </w:rPr>
        <w:t>Istotne jest prawne przeciwdziałanie sztucznemu skracaniu życia produktów. UE podejmuje w tym kierunku kroki m.in. poprzez pakiet dyrektyw odnośnie wydłużenia żywotności, konserwacji, ponownego użycia i napraw popularnych sprzętów RTV-AGD</w:t>
      </w:r>
      <w:r w:rsidRPr="003478AF">
        <w:rPr>
          <w:rStyle w:val="Odwoanieprzypisudolnego"/>
        </w:rPr>
        <w:footnoteReference w:id="140"/>
      </w:r>
      <w:r w:rsidRPr="003478AF">
        <w:rPr>
          <w:rFonts w:cs="Arial"/>
          <w:szCs w:val="20"/>
        </w:rPr>
        <w:t xml:space="preserve"> oraz zobowiązania do zaopatrzenia rynku w części zamienne do sprzętów. Ważne są zmiany prawne na rzecz </w:t>
      </w:r>
      <w:r w:rsidR="00995864" w:rsidRPr="003478AF">
        <w:rPr>
          <w:rFonts w:cs="Arial"/>
          <w:szCs w:val="20"/>
        </w:rPr>
        <w:t xml:space="preserve">rozszerzenia </w:t>
      </w:r>
      <w:r w:rsidRPr="003478AF">
        <w:rPr>
          <w:rFonts w:cs="Arial"/>
          <w:szCs w:val="20"/>
        </w:rPr>
        <w:t>odpowiedzialności producenta.</w:t>
      </w:r>
    </w:p>
    <w:p w14:paraId="7FA5AFFE" w14:textId="0ADBD14F" w:rsidR="00E842AA" w:rsidRPr="003478AF" w:rsidRDefault="00D56E2B" w:rsidP="00421B03">
      <w:pPr>
        <w:rPr>
          <w:rStyle w:val="Pogrubienie"/>
        </w:rPr>
      </w:pPr>
      <w:r w:rsidRPr="003478AF">
        <w:t>Rozwiązaniem z punktu widzenia możliwości sektora publicznego jest utworzeni</w:t>
      </w:r>
      <w:r w:rsidR="0014365E" w:rsidRPr="003478AF">
        <w:t>e</w:t>
      </w:r>
      <w:r w:rsidRPr="003478AF">
        <w:t xml:space="preserve"> systemu stymulującego i nakazującego, m.in. wprowadzenie systemu zachęt finansowych promujących produkty z recyklingu (np. poprzez niższy podatek VAT), aplikacja współdzielenia (symbioza gospodarcza), w tym przeznaczenie terenów/parków inwestycyjnych pod działania proGOZ</w:t>
      </w:r>
      <w:r w:rsidRPr="003478AF">
        <w:rPr>
          <w:rFonts w:cs="Arial"/>
          <w:szCs w:val="20"/>
        </w:rPr>
        <w:t>owe</w:t>
      </w:r>
      <w:r w:rsidRPr="003478AF">
        <w:t xml:space="preserve">, rozwój </w:t>
      </w:r>
      <w:r w:rsidRPr="003478AF">
        <w:rPr>
          <w:rFonts w:cs="Arial"/>
          <w:szCs w:val="20"/>
        </w:rPr>
        <w:t xml:space="preserve">systemów narzędzi ekonomicznych, w tym kar za działania niezgodne </w:t>
      </w:r>
      <w:r w:rsidR="0014365E" w:rsidRPr="003478AF">
        <w:rPr>
          <w:rFonts w:cs="Arial"/>
          <w:szCs w:val="20"/>
        </w:rPr>
        <w:br/>
      </w:r>
      <w:r w:rsidR="00995864" w:rsidRPr="003478AF">
        <w:rPr>
          <w:rFonts w:cs="Arial"/>
          <w:szCs w:val="20"/>
        </w:rPr>
        <w:t>z</w:t>
      </w:r>
      <w:r w:rsidR="0014365E" w:rsidRPr="003478AF">
        <w:rPr>
          <w:rFonts w:cs="Arial"/>
          <w:szCs w:val="20"/>
        </w:rPr>
        <w:t xml:space="preserve"> </w:t>
      </w:r>
      <w:r w:rsidRPr="003478AF">
        <w:rPr>
          <w:rFonts w:cs="Arial"/>
          <w:szCs w:val="20"/>
        </w:rPr>
        <w:t xml:space="preserve">modelem GOZ. Istotnymi w tym zakresie są zakazy wykorzystywania określonych materiałów, surowców i produktów, co </w:t>
      </w:r>
      <w:r w:rsidR="00351831" w:rsidRPr="003478AF">
        <w:rPr>
          <w:rFonts w:cs="Arial"/>
          <w:szCs w:val="20"/>
        </w:rPr>
        <w:t>stymuluje rynek w odpowiednim kierunku</w:t>
      </w:r>
      <w:r w:rsidRPr="003478AF">
        <w:rPr>
          <w:rFonts w:cs="Arial"/>
          <w:szCs w:val="20"/>
        </w:rPr>
        <w:t>. Zobowiązania dostosowania się do uwarunkowań prawnych stanowi</w:t>
      </w:r>
      <w:r w:rsidR="0014365E" w:rsidRPr="003478AF">
        <w:rPr>
          <w:rFonts w:cs="Arial"/>
          <w:szCs w:val="20"/>
        </w:rPr>
        <w:t>ą</w:t>
      </w:r>
      <w:r w:rsidRPr="003478AF">
        <w:rPr>
          <w:rFonts w:cs="Arial"/>
          <w:szCs w:val="20"/>
        </w:rPr>
        <w:t xml:space="preserve"> silną motywację dla transformacji przedsiębiorstw, przy założeniu dostosowania przepisów do realiów rynkowych.</w:t>
      </w:r>
      <w:r w:rsidR="00E842AA" w:rsidRPr="003478AF">
        <w:rPr>
          <w:rStyle w:val="Pogrubienie"/>
        </w:rPr>
        <w:br w:type="page"/>
      </w:r>
    </w:p>
    <w:p w14:paraId="1862D0F7" w14:textId="77777777" w:rsidR="00C977E8" w:rsidRPr="003478AF" w:rsidRDefault="00C977E8" w:rsidP="00C977E8"/>
    <w:p w14:paraId="489768D4" w14:textId="6D895AAA" w:rsidR="00421B03" w:rsidRPr="003478AF" w:rsidRDefault="00421B03">
      <w:pPr>
        <w:pStyle w:val="Nagwek1"/>
      </w:pPr>
      <w:bookmarkStart w:id="65" w:name="_Toc82160002"/>
      <w:r w:rsidRPr="003478AF">
        <w:t xml:space="preserve">Wskaźniki oceny stopnia rozwoju GOZ oraz ich analiza </w:t>
      </w:r>
      <w:r w:rsidR="00A22359">
        <w:br/>
      </w:r>
      <w:r w:rsidRPr="003478AF">
        <w:t>w odniesieniu do województwa wielkopolskiego</w:t>
      </w:r>
      <w:bookmarkEnd w:id="65"/>
    </w:p>
    <w:p w14:paraId="1007A212" w14:textId="3C6F2A43" w:rsidR="005F43F3" w:rsidRPr="003478AF" w:rsidRDefault="00A01BEB">
      <w:pPr>
        <w:pStyle w:val="Nagwek2"/>
        <w:rPr>
          <w:rFonts w:eastAsia="Arial" w:cs="Arial"/>
          <w:szCs w:val="20"/>
        </w:rPr>
      </w:pPr>
      <w:bookmarkStart w:id="66" w:name="_Toc82160003"/>
      <w:r w:rsidRPr="003478AF">
        <w:t xml:space="preserve">8.1. </w:t>
      </w:r>
      <w:r w:rsidR="00186656" w:rsidRPr="003478AF">
        <w:t>Wskaźniki oceny stopnia rozwoju GOZ</w:t>
      </w:r>
      <w:bookmarkEnd w:id="66"/>
    </w:p>
    <w:p w14:paraId="4DD2B0F2" w14:textId="784F166C" w:rsidR="005F43F3" w:rsidRPr="003478AF" w:rsidRDefault="005F43F3" w:rsidP="005F43F3">
      <w:pPr>
        <w:rPr>
          <w:rFonts w:eastAsia="Arial" w:cs="Arial"/>
          <w:b/>
          <w:bCs/>
          <w:szCs w:val="20"/>
        </w:rPr>
      </w:pPr>
      <w:r w:rsidRPr="003478AF">
        <w:rPr>
          <w:rFonts w:eastAsia="Arial" w:cs="Arial"/>
          <w:szCs w:val="20"/>
        </w:rPr>
        <w:t>Wskaźniki mają kluczowe znaczenie dla oceny GOZ we wszystkich skalach, od poziomu mikro (biznesowego) p</w:t>
      </w:r>
      <w:r w:rsidR="00E36EF7" w:rsidRPr="003478AF">
        <w:rPr>
          <w:rFonts w:eastAsia="Arial" w:cs="Arial"/>
          <w:szCs w:val="20"/>
        </w:rPr>
        <w:t>rzez</w:t>
      </w:r>
      <w:r w:rsidRPr="003478AF">
        <w:rPr>
          <w:rFonts w:eastAsia="Arial" w:cs="Arial"/>
          <w:szCs w:val="20"/>
        </w:rPr>
        <w:t xml:space="preserve"> makro (regionalny i krajowy) </w:t>
      </w:r>
      <w:r w:rsidR="00E36EF7" w:rsidRPr="003478AF">
        <w:rPr>
          <w:rFonts w:eastAsia="Arial" w:cs="Arial"/>
          <w:szCs w:val="20"/>
        </w:rPr>
        <w:t>po</w:t>
      </w:r>
      <w:r w:rsidRPr="003478AF">
        <w:rPr>
          <w:rFonts w:eastAsia="Arial" w:cs="Arial"/>
          <w:szCs w:val="20"/>
        </w:rPr>
        <w:t xml:space="preserve"> globaln</w:t>
      </w:r>
      <w:r w:rsidR="008B3FF2" w:rsidRPr="003478AF">
        <w:rPr>
          <w:rFonts w:eastAsia="Arial" w:cs="Arial"/>
          <w:szCs w:val="20"/>
        </w:rPr>
        <w:t>y</w:t>
      </w:r>
      <w:r w:rsidRPr="003478AF">
        <w:rPr>
          <w:rFonts w:eastAsia="Arial" w:cs="Arial"/>
          <w:szCs w:val="20"/>
        </w:rPr>
        <w:t>. Wiele z nich jest gromadzonych zgodnie z międzynarodowymi standardami i stanowi podstawę, na której podejmowane są decyzje zarówno w sektorze publicznym, jak i prywatnym. Celem tego rozdziału</w:t>
      </w:r>
      <w:r w:rsidR="00964161" w:rsidRPr="003478AF">
        <w:rPr>
          <w:rFonts w:eastAsia="Arial" w:cs="Arial"/>
          <w:szCs w:val="20"/>
        </w:rPr>
        <w:t xml:space="preserve"> jest</w:t>
      </w:r>
      <w:r w:rsidRPr="003478AF">
        <w:rPr>
          <w:rFonts w:eastAsia="Arial" w:cs="Arial"/>
          <w:szCs w:val="20"/>
        </w:rPr>
        <w:t xml:space="preserve"> przegląd szerokiego zakresu obecnie stosowanych wskaźników GOZ. Ważne jest jednak, aby uznać kluczową rolę niektórych </w:t>
      </w:r>
      <w:r w:rsidR="00964161" w:rsidRPr="003478AF">
        <w:rPr>
          <w:rFonts w:eastAsia="Arial" w:cs="Arial"/>
          <w:szCs w:val="20"/>
        </w:rPr>
        <w:t xml:space="preserve">wskaźników stosowanych do analiz </w:t>
      </w:r>
      <w:r w:rsidRPr="003478AF">
        <w:rPr>
          <w:rFonts w:eastAsia="Arial" w:cs="Arial"/>
          <w:szCs w:val="20"/>
        </w:rPr>
        <w:t>gospodar</w:t>
      </w:r>
      <w:r w:rsidR="00964161" w:rsidRPr="003478AF">
        <w:rPr>
          <w:rFonts w:eastAsia="Arial" w:cs="Arial"/>
          <w:szCs w:val="20"/>
        </w:rPr>
        <w:t>ki</w:t>
      </w:r>
      <w:r w:rsidRPr="003478AF">
        <w:rPr>
          <w:rFonts w:eastAsia="Arial" w:cs="Arial"/>
          <w:szCs w:val="20"/>
        </w:rPr>
        <w:t xml:space="preserve"> liniowej, jeśli mamy rozważyć nowe (które należy dodać lub zastąpić </w:t>
      </w:r>
      <w:r w:rsidR="00964161" w:rsidRPr="003478AF">
        <w:rPr>
          <w:rFonts w:eastAsia="Arial" w:cs="Arial"/>
          <w:szCs w:val="20"/>
        </w:rPr>
        <w:t xml:space="preserve">nimi </w:t>
      </w:r>
      <w:r w:rsidRPr="003478AF">
        <w:rPr>
          <w:rFonts w:eastAsia="Arial" w:cs="Arial"/>
          <w:szCs w:val="20"/>
        </w:rPr>
        <w:t xml:space="preserve">obecnie </w:t>
      </w:r>
      <w:r w:rsidR="00964161" w:rsidRPr="003478AF">
        <w:rPr>
          <w:rFonts w:eastAsia="Arial" w:cs="Arial"/>
          <w:szCs w:val="20"/>
        </w:rPr>
        <w:t>wykorzystywane</w:t>
      </w:r>
      <w:r w:rsidRPr="003478AF">
        <w:rPr>
          <w:rFonts w:eastAsia="Arial" w:cs="Arial"/>
          <w:szCs w:val="20"/>
        </w:rPr>
        <w:t>)</w:t>
      </w:r>
      <w:r w:rsidR="00964161" w:rsidRPr="003478AF">
        <w:rPr>
          <w:rFonts w:eastAsia="Arial" w:cs="Arial"/>
          <w:szCs w:val="20"/>
        </w:rPr>
        <w:t>,</w:t>
      </w:r>
      <w:r w:rsidRPr="003478AF">
        <w:rPr>
          <w:rFonts w:eastAsia="Arial" w:cs="Arial"/>
          <w:szCs w:val="20"/>
        </w:rPr>
        <w:t xml:space="preserve"> odpowiednie do pomiaru postępu w kierunku </w:t>
      </w:r>
      <w:r w:rsidR="008B3FF2" w:rsidRPr="003478AF">
        <w:rPr>
          <w:rFonts w:eastAsia="Arial" w:cs="Arial"/>
          <w:szCs w:val="20"/>
        </w:rPr>
        <w:t>GOZ</w:t>
      </w:r>
      <w:r w:rsidRPr="003478AF">
        <w:rPr>
          <w:rFonts w:eastAsia="Arial" w:cs="Arial"/>
          <w:szCs w:val="20"/>
        </w:rPr>
        <w:t xml:space="preserve">. Dokonanie zmian </w:t>
      </w:r>
      <w:r w:rsidR="001B0CB3" w:rsidRPr="003478AF">
        <w:rPr>
          <w:rFonts w:eastAsia="Arial" w:cs="Arial"/>
          <w:szCs w:val="20"/>
        </w:rPr>
        <w:br/>
      </w:r>
      <w:r w:rsidRPr="003478AF">
        <w:rPr>
          <w:rFonts w:eastAsia="Arial" w:cs="Arial"/>
          <w:szCs w:val="20"/>
        </w:rPr>
        <w:t xml:space="preserve">w </w:t>
      </w:r>
      <w:r w:rsidR="00964161" w:rsidRPr="003478AF">
        <w:rPr>
          <w:rFonts w:eastAsia="Arial" w:cs="Arial"/>
          <w:szCs w:val="20"/>
        </w:rPr>
        <w:t xml:space="preserve">dostępnych </w:t>
      </w:r>
      <w:r w:rsidRPr="003478AF">
        <w:rPr>
          <w:rFonts w:eastAsia="Arial" w:cs="Arial"/>
          <w:szCs w:val="20"/>
        </w:rPr>
        <w:t>obecn</w:t>
      </w:r>
      <w:r w:rsidR="00964161" w:rsidRPr="003478AF">
        <w:rPr>
          <w:rFonts w:eastAsia="Arial" w:cs="Arial"/>
          <w:szCs w:val="20"/>
        </w:rPr>
        <w:t>ie</w:t>
      </w:r>
      <w:r w:rsidRPr="003478AF">
        <w:rPr>
          <w:rFonts w:eastAsia="Arial" w:cs="Arial"/>
          <w:szCs w:val="20"/>
        </w:rPr>
        <w:t xml:space="preserve"> wskaźnikach zintegrowanych z </w:t>
      </w:r>
      <w:r w:rsidR="00964161" w:rsidRPr="003478AF">
        <w:rPr>
          <w:rFonts w:eastAsia="Arial" w:cs="Arial"/>
          <w:szCs w:val="20"/>
        </w:rPr>
        <w:t xml:space="preserve">metodologią </w:t>
      </w:r>
      <w:r w:rsidRPr="003478AF">
        <w:rPr>
          <w:rFonts w:eastAsia="Arial" w:cs="Arial"/>
          <w:szCs w:val="20"/>
        </w:rPr>
        <w:t>urzęd</w:t>
      </w:r>
      <w:r w:rsidR="00964161" w:rsidRPr="003478AF">
        <w:rPr>
          <w:rFonts w:eastAsia="Arial" w:cs="Arial"/>
          <w:szCs w:val="20"/>
        </w:rPr>
        <w:t>ów</w:t>
      </w:r>
      <w:r w:rsidRPr="003478AF">
        <w:rPr>
          <w:rFonts w:eastAsia="Arial" w:cs="Arial"/>
          <w:szCs w:val="20"/>
        </w:rPr>
        <w:t xml:space="preserve"> statystyczny</w:t>
      </w:r>
      <w:r w:rsidR="00964161" w:rsidRPr="003478AF">
        <w:rPr>
          <w:rFonts w:eastAsia="Arial" w:cs="Arial"/>
          <w:szCs w:val="20"/>
        </w:rPr>
        <w:t>ch</w:t>
      </w:r>
      <w:r w:rsidRPr="003478AF">
        <w:rPr>
          <w:rFonts w:eastAsia="Arial" w:cs="Arial"/>
          <w:szCs w:val="20"/>
        </w:rPr>
        <w:t xml:space="preserve">, mechanizmami decyzyjnymi w prywatnych przedsiębiorstwach, a także podejmowanymi decyzjami gospodarczymi na poziomie rządowym, może być trudne. Wprowadzenie nowych wskaźników może spotykać się z oporem ze strony instytucji statystycznych, decydentów, badaczy, firm prywatnych, organizacji pozarządowych i innych zainteresowanych stron, które </w:t>
      </w:r>
      <w:r w:rsidR="00964161" w:rsidRPr="003478AF">
        <w:rPr>
          <w:rFonts w:eastAsia="Arial" w:cs="Arial"/>
          <w:szCs w:val="20"/>
        </w:rPr>
        <w:t>bazują na wskaźnikach powszechnie dostępnych</w:t>
      </w:r>
      <w:r w:rsidRPr="003478AF">
        <w:rPr>
          <w:rFonts w:eastAsia="Arial" w:cs="Arial"/>
          <w:szCs w:val="20"/>
        </w:rPr>
        <w:t>.</w:t>
      </w:r>
      <w:r w:rsidRPr="003478AF">
        <w:rPr>
          <w:rFonts w:eastAsia="Arial" w:cs="Arial"/>
          <w:b/>
          <w:bCs/>
          <w:szCs w:val="20"/>
        </w:rPr>
        <w:t xml:space="preserve"> </w:t>
      </w:r>
    </w:p>
    <w:p w14:paraId="26DB2522" w14:textId="01C36F6E" w:rsidR="005F43F3" w:rsidRPr="003478AF" w:rsidRDefault="005F43F3" w:rsidP="005F43F3">
      <w:pPr>
        <w:rPr>
          <w:rFonts w:eastAsia="Arial" w:cs="Arial"/>
          <w:szCs w:val="20"/>
        </w:rPr>
      </w:pPr>
      <w:r w:rsidRPr="003478AF">
        <w:rPr>
          <w:rFonts w:eastAsia="Arial" w:cs="Arial"/>
          <w:szCs w:val="20"/>
        </w:rPr>
        <w:t>Metodę badawczą zastosowaną w</w:t>
      </w:r>
      <w:r w:rsidR="002A4ED7" w:rsidRPr="003478AF">
        <w:rPr>
          <w:rFonts w:eastAsia="Arial" w:cs="Arial"/>
          <w:szCs w:val="20"/>
        </w:rPr>
        <w:t xml:space="preserve"> opracowaniu </w:t>
      </w:r>
      <w:r w:rsidR="00503CAB" w:rsidRPr="003478AF">
        <w:rPr>
          <w:rFonts w:eastAsia="Arial" w:cs="Arial"/>
          <w:szCs w:val="20"/>
        </w:rPr>
        <w:t>o</w:t>
      </w:r>
      <w:r w:rsidRPr="003478AF">
        <w:rPr>
          <w:rFonts w:eastAsia="Arial" w:cs="Arial"/>
          <w:szCs w:val="20"/>
        </w:rPr>
        <w:t xml:space="preserve">parto na systematycznym przeglądzie danych statystycznych, </w:t>
      </w:r>
      <w:r w:rsidR="007A2D07" w:rsidRPr="003478AF">
        <w:rPr>
          <w:rFonts w:eastAsia="Arial" w:cs="Arial"/>
          <w:szCs w:val="20"/>
        </w:rPr>
        <w:t xml:space="preserve">krajowych i regionalnych </w:t>
      </w:r>
      <w:r w:rsidRPr="003478AF">
        <w:rPr>
          <w:rFonts w:eastAsia="Arial" w:cs="Arial"/>
          <w:szCs w:val="20"/>
        </w:rPr>
        <w:t xml:space="preserve">strategii rozwoju oraz </w:t>
      </w:r>
      <w:r w:rsidR="007A2D07" w:rsidRPr="003478AF">
        <w:rPr>
          <w:rFonts w:eastAsia="Arial" w:cs="Arial"/>
          <w:szCs w:val="20"/>
        </w:rPr>
        <w:t xml:space="preserve">krajowych </w:t>
      </w:r>
      <w:r w:rsidR="001B0CB3" w:rsidRPr="003478AF">
        <w:rPr>
          <w:rFonts w:eastAsia="Arial" w:cs="Arial"/>
          <w:szCs w:val="20"/>
        </w:rPr>
        <w:br/>
      </w:r>
      <w:r w:rsidR="007A2D07" w:rsidRPr="003478AF">
        <w:rPr>
          <w:rFonts w:eastAsia="Arial" w:cs="Arial"/>
          <w:szCs w:val="20"/>
        </w:rPr>
        <w:t xml:space="preserve">i europejskich </w:t>
      </w:r>
      <w:r w:rsidRPr="003478AF">
        <w:rPr>
          <w:rFonts w:eastAsia="Arial" w:cs="Arial"/>
          <w:szCs w:val="20"/>
        </w:rPr>
        <w:t>polityk. Proces selekcji polegał na odrzuceniu tych, któr</w:t>
      </w:r>
      <w:r w:rsidR="00716054" w:rsidRPr="003478AF">
        <w:rPr>
          <w:rFonts w:eastAsia="Arial" w:cs="Arial"/>
          <w:szCs w:val="20"/>
        </w:rPr>
        <w:t>e</w:t>
      </w:r>
      <w:r w:rsidRPr="003478AF">
        <w:rPr>
          <w:rFonts w:eastAsia="Arial" w:cs="Arial"/>
          <w:szCs w:val="20"/>
        </w:rPr>
        <w:t xml:space="preserve"> nie wpisywały się </w:t>
      </w:r>
      <w:r w:rsidR="002A4150" w:rsidRPr="003478AF">
        <w:rPr>
          <w:rFonts w:eastAsia="Arial" w:cs="Arial"/>
          <w:szCs w:val="20"/>
        </w:rPr>
        <w:br/>
      </w:r>
      <w:r w:rsidRPr="003478AF">
        <w:rPr>
          <w:rFonts w:eastAsia="Arial" w:cs="Arial"/>
          <w:szCs w:val="20"/>
        </w:rPr>
        <w:t>w GOZ. Następnie</w:t>
      </w:r>
      <w:r w:rsidR="00716054" w:rsidRPr="003478AF">
        <w:rPr>
          <w:rFonts w:eastAsia="Arial" w:cs="Arial"/>
          <w:szCs w:val="20"/>
        </w:rPr>
        <w:t xml:space="preserve"> przeanalizowano</w:t>
      </w:r>
      <w:r w:rsidRPr="003478AF">
        <w:rPr>
          <w:rFonts w:eastAsia="Arial" w:cs="Arial"/>
          <w:szCs w:val="20"/>
        </w:rPr>
        <w:t xml:space="preserve"> te, które bezpośrednio lub pośredni</w:t>
      </w:r>
      <w:r w:rsidR="00503CAB" w:rsidRPr="003478AF">
        <w:rPr>
          <w:rFonts w:eastAsia="Arial" w:cs="Arial"/>
          <w:szCs w:val="20"/>
        </w:rPr>
        <w:t>o</w:t>
      </w:r>
      <w:r w:rsidRPr="003478AF">
        <w:rPr>
          <w:rFonts w:eastAsia="Arial" w:cs="Arial"/>
          <w:szCs w:val="20"/>
        </w:rPr>
        <w:t xml:space="preserve"> powiązane były </w:t>
      </w:r>
      <w:r w:rsidR="001B0CB3" w:rsidRPr="003478AF">
        <w:rPr>
          <w:rFonts w:eastAsia="Arial" w:cs="Arial"/>
          <w:szCs w:val="20"/>
        </w:rPr>
        <w:br/>
      </w:r>
      <w:r w:rsidRPr="003478AF">
        <w:rPr>
          <w:rFonts w:eastAsia="Arial" w:cs="Arial"/>
          <w:szCs w:val="20"/>
        </w:rPr>
        <w:t>z pomiarem efektywności ekonomicznej</w:t>
      </w:r>
      <w:r w:rsidR="00716054" w:rsidRPr="003478AF">
        <w:rPr>
          <w:rFonts w:eastAsia="Arial" w:cs="Arial"/>
          <w:szCs w:val="20"/>
        </w:rPr>
        <w:t>.</w:t>
      </w:r>
    </w:p>
    <w:p w14:paraId="402C4E70" w14:textId="15484980" w:rsidR="005F43F3" w:rsidRPr="003478AF" w:rsidRDefault="005F43F3" w:rsidP="005F43F3">
      <w:pPr>
        <w:rPr>
          <w:rFonts w:eastAsia="Arial" w:cs="Arial"/>
          <w:szCs w:val="20"/>
        </w:rPr>
      </w:pPr>
      <w:r w:rsidRPr="003478AF">
        <w:rPr>
          <w:rFonts w:eastAsia="Arial" w:cs="Arial"/>
          <w:szCs w:val="20"/>
        </w:rPr>
        <w:t xml:space="preserve">Należy zauważyć, że nie ma wskaźnika, który mógłby być pojedynczym pomiarem dla </w:t>
      </w:r>
      <w:r w:rsidR="00716054" w:rsidRPr="003478AF">
        <w:rPr>
          <w:rFonts w:eastAsia="Arial" w:cs="Arial"/>
          <w:szCs w:val="20"/>
        </w:rPr>
        <w:t>gospodarki cyrkularnej</w:t>
      </w:r>
      <w:r w:rsidRPr="003478AF">
        <w:rPr>
          <w:rFonts w:eastAsia="Arial" w:cs="Arial"/>
          <w:szCs w:val="20"/>
        </w:rPr>
        <w:t xml:space="preserve">. Jednak szereg istniejących wskaźników może pomóc w pomiarze wyników w kilku obszarach, które bezpośrednio lub pośrednio przyczyniają się do rozwoju </w:t>
      </w:r>
      <w:r w:rsidR="00716054" w:rsidRPr="003478AF">
        <w:rPr>
          <w:rFonts w:eastAsia="Arial" w:cs="Arial"/>
          <w:szCs w:val="20"/>
        </w:rPr>
        <w:t>GOZ</w:t>
      </w:r>
      <w:r w:rsidRPr="003478AF">
        <w:rPr>
          <w:rFonts w:eastAsia="Arial" w:cs="Arial"/>
          <w:szCs w:val="20"/>
        </w:rPr>
        <w:t xml:space="preserve">. Wskaźniki można podzielić według poziomu europejskiego, krajowego i regionalnego. </w:t>
      </w:r>
    </w:p>
    <w:p w14:paraId="7EC9E44B" w14:textId="68E57690" w:rsidR="005F43F3" w:rsidRPr="003478AF" w:rsidRDefault="005F43F3" w:rsidP="005F43F3">
      <w:pPr>
        <w:rPr>
          <w:rFonts w:eastAsia="Arial" w:cs="Arial"/>
          <w:szCs w:val="20"/>
        </w:rPr>
      </w:pPr>
      <w:r w:rsidRPr="003478AF">
        <w:rPr>
          <w:rFonts w:eastAsia="Arial" w:cs="Arial"/>
          <w:szCs w:val="20"/>
        </w:rPr>
        <w:t>Poniżej zaprezentowano sposób wyboru dwudziestu trzech wskaźników dla Wielkopolski oraz propozycję nowych</w:t>
      </w:r>
      <w:r w:rsidR="002A4ED7" w:rsidRPr="003478AF">
        <w:rPr>
          <w:rFonts w:eastAsia="Arial" w:cs="Arial"/>
          <w:szCs w:val="20"/>
        </w:rPr>
        <w:t xml:space="preserve"> (Tab. </w:t>
      </w:r>
      <w:r w:rsidR="00863BE9" w:rsidRPr="003478AF">
        <w:rPr>
          <w:rFonts w:eastAsia="Arial" w:cs="Arial"/>
          <w:szCs w:val="20"/>
        </w:rPr>
        <w:t>8</w:t>
      </w:r>
      <w:r w:rsidR="002A4ED7" w:rsidRPr="003478AF">
        <w:rPr>
          <w:rFonts w:eastAsia="Arial" w:cs="Arial"/>
          <w:szCs w:val="20"/>
        </w:rPr>
        <w:t xml:space="preserve">.3, </w:t>
      </w:r>
      <w:r w:rsidR="00863BE9" w:rsidRPr="003478AF">
        <w:rPr>
          <w:rFonts w:eastAsia="Arial" w:cs="Arial"/>
          <w:szCs w:val="20"/>
        </w:rPr>
        <w:t>8</w:t>
      </w:r>
      <w:r w:rsidR="002A4ED7" w:rsidRPr="003478AF">
        <w:rPr>
          <w:rFonts w:eastAsia="Arial" w:cs="Arial"/>
          <w:szCs w:val="20"/>
        </w:rPr>
        <w:t>.4)</w:t>
      </w:r>
      <w:r w:rsidRPr="003478AF">
        <w:rPr>
          <w:rFonts w:eastAsia="Arial" w:cs="Arial"/>
          <w:szCs w:val="20"/>
        </w:rPr>
        <w:t xml:space="preserve">, które można zaimplementować do systemu pomiaru gospodarki cyrkularnej. </w:t>
      </w:r>
    </w:p>
    <w:p w14:paraId="224807A3" w14:textId="77777777" w:rsidR="005F43F3" w:rsidRPr="003478AF" w:rsidRDefault="005F43F3" w:rsidP="005F43F3">
      <w:pPr>
        <w:rPr>
          <w:rFonts w:eastAsia="Arial" w:cs="Arial"/>
          <w:szCs w:val="20"/>
        </w:rPr>
      </w:pPr>
    </w:p>
    <w:p w14:paraId="57444C02" w14:textId="77777777" w:rsidR="00B518C8" w:rsidRPr="003478AF" w:rsidRDefault="00B518C8">
      <w:pPr>
        <w:spacing w:line="240" w:lineRule="auto"/>
        <w:ind w:firstLine="0"/>
        <w:jc w:val="left"/>
        <w:rPr>
          <w:rFonts w:eastAsia="Arial" w:cs="Arial"/>
          <w:b/>
          <w:bCs/>
          <w:sz w:val="16"/>
          <w:szCs w:val="16"/>
        </w:rPr>
      </w:pPr>
      <w:r w:rsidRPr="003478AF">
        <w:br w:type="page"/>
      </w:r>
    </w:p>
    <w:p w14:paraId="48466918" w14:textId="18C4F6FF" w:rsidR="00B518C8" w:rsidRPr="003478AF" w:rsidRDefault="00EA1321" w:rsidP="00986D40">
      <w:pPr>
        <w:pStyle w:val="ARYCINA"/>
      </w:pPr>
      <w:r w:rsidRPr="003478AF">
        <w:lastRenderedPageBreak/>
        <w:t xml:space="preserve">Ryc. </w:t>
      </w:r>
      <w:r w:rsidR="00863BE9" w:rsidRPr="003478AF">
        <w:t xml:space="preserve">8.1. </w:t>
      </w:r>
      <w:r w:rsidRPr="003478AF">
        <w:t>Metoda wyboru 23 wskaźników dla województwa wielkopolskiego</w:t>
      </w:r>
    </w:p>
    <w:p w14:paraId="4059AB64" w14:textId="11388088" w:rsidR="005F43F3" w:rsidRPr="003478AF" w:rsidRDefault="00402D58" w:rsidP="00986D40">
      <w:pPr>
        <w:pStyle w:val="ARYCINA"/>
      </w:pPr>
      <w:r w:rsidRPr="003478AF">
        <w:br/>
      </w:r>
      <w:r w:rsidR="005F43F3" w:rsidRPr="003478AF">
        <w:rPr>
          <w:noProof/>
          <w:lang w:eastAsia="pl-PL"/>
        </w:rPr>
        <w:drawing>
          <wp:inline distT="0" distB="0" distL="0" distR="0" wp14:anchorId="28A48102" wp14:editId="517A6F90">
            <wp:extent cx="3850613" cy="4420969"/>
            <wp:effectExtent l="0" t="0" r="0" b="0"/>
            <wp:docPr id="44" name="Obraz 3">
              <a:extLst xmlns:a="http://schemas.openxmlformats.org/drawingml/2006/main">
                <a:ext uri="{FF2B5EF4-FFF2-40B4-BE49-F238E27FC236}">
                  <a16:creationId xmlns:a16="http://schemas.microsoft.com/office/drawing/2014/main" id="{8F21D11E-1E13-410F-BA52-5FC95B7ED59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Obraz 3">
                      <a:extLst>
                        <a:ext uri="{FF2B5EF4-FFF2-40B4-BE49-F238E27FC236}">
                          <a16:creationId xmlns:a16="http://schemas.microsoft.com/office/drawing/2014/main" id="{8F21D11E-1E13-410F-BA52-5FC95B7ED596}"/>
                        </a:ext>
                      </a:extLst>
                    </pic:cNvPr>
                    <pic:cNvPicPr>
                      <a:picLocks noChangeAspect="1"/>
                    </pic:cNvPicPr>
                  </pic:nvPicPr>
                  <pic:blipFill>
                    <a:blip r:embed="rId78" cstate="print">
                      <a:extLst>
                        <a:ext uri="{28A0092B-C50C-407E-A947-70E740481C1C}">
                          <a14:useLocalDpi xmlns:a14="http://schemas.microsoft.com/office/drawing/2010/main" val="0"/>
                        </a:ext>
                      </a:extLst>
                    </a:blip>
                    <a:stretch>
                      <a:fillRect/>
                    </a:stretch>
                  </pic:blipFill>
                  <pic:spPr>
                    <a:xfrm>
                      <a:off x="0" y="0"/>
                      <a:ext cx="3850613" cy="4420969"/>
                    </a:xfrm>
                    <a:prstGeom prst="rect">
                      <a:avLst/>
                    </a:prstGeom>
                  </pic:spPr>
                </pic:pic>
              </a:graphicData>
            </a:graphic>
          </wp:inline>
        </w:drawing>
      </w:r>
    </w:p>
    <w:p w14:paraId="67C19D3E" w14:textId="3FA78A64" w:rsidR="005F43F3" w:rsidRPr="003478AF" w:rsidRDefault="005F43F3" w:rsidP="00986D40">
      <w:pPr>
        <w:pStyle w:val="AZRODLO"/>
      </w:pPr>
      <w:r w:rsidRPr="003478AF">
        <w:t>Źródło: Opracowanie własne</w:t>
      </w:r>
    </w:p>
    <w:p w14:paraId="4C2AD83E" w14:textId="77777777" w:rsidR="005F43F3" w:rsidRPr="003478AF" w:rsidRDefault="005F43F3" w:rsidP="005F43F3">
      <w:pPr>
        <w:rPr>
          <w:rFonts w:eastAsia="Arial" w:cs="Arial"/>
          <w:szCs w:val="20"/>
        </w:rPr>
      </w:pPr>
    </w:p>
    <w:p w14:paraId="22B69BEA" w14:textId="0D827013" w:rsidR="005F43F3" w:rsidRPr="003478AF" w:rsidRDefault="005F43F3" w:rsidP="005F43F3">
      <w:pPr>
        <w:rPr>
          <w:rFonts w:eastAsia="Arial" w:cs="Arial"/>
          <w:szCs w:val="20"/>
        </w:rPr>
      </w:pPr>
      <w:r w:rsidRPr="003478AF">
        <w:rPr>
          <w:rFonts w:eastAsia="Arial" w:cs="Arial"/>
          <w:szCs w:val="20"/>
        </w:rPr>
        <w:t>Na poziomie UE wskaźniki GOZ podzielono na następujące grupy</w:t>
      </w:r>
      <w:r w:rsidRPr="003478AF">
        <w:rPr>
          <w:rStyle w:val="Odwoanieprzypisudolnego"/>
        </w:rPr>
        <w:footnoteReference w:id="141"/>
      </w:r>
      <w:r w:rsidRPr="003478AF">
        <w:rPr>
          <w:rFonts w:eastAsia="Arial" w:cs="Arial"/>
          <w:szCs w:val="20"/>
        </w:rPr>
        <w:t xml:space="preserve">: </w:t>
      </w:r>
    </w:p>
    <w:p w14:paraId="4D627F8D" w14:textId="197505E2" w:rsidR="005F43F3" w:rsidRPr="003478AF" w:rsidRDefault="005F43F3" w:rsidP="00B13D49">
      <w:pPr>
        <w:pStyle w:val="Akapitzlist"/>
        <w:numPr>
          <w:ilvl w:val="0"/>
          <w:numId w:val="41"/>
        </w:numPr>
        <w:ind w:left="284" w:hanging="284"/>
        <w:rPr>
          <w:rFonts w:eastAsia="Arial" w:cs="Arial"/>
          <w:i/>
          <w:iCs/>
          <w:szCs w:val="20"/>
        </w:rPr>
      </w:pPr>
      <w:r w:rsidRPr="003478AF">
        <w:rPr>
          <w:rFonts w:eastAsia="Arial" w:cs="Arial"/>
          <w:i/>
          <w:iCs/>
          <w:szCs w:val="20"/>
        </w:rPr>
        <w:t xml:space="preserve">Zrównoważone zarządzanie zasobami </w:t>
      </w:r>
      <w:r w:rsidR="00716054" w:rsidRPr="003478AF">
        <w:rPr>
          <w:rFonts w:eastAsia="Arial" w:cs="Arial"/>
          <w:iCs/>
          <w:szCs w:val="20"/>
        </w:rPr>
        <w:t>–</w:t>
      </w:r>
      <w:r w:rsidRPr="003478AF">
        <w:rPr>
          <w:rFonts w:eastAsia="Arial" w:cs="Arial"/>
          <w:i/>
          <w:iCs/>
          <w:szCs w:val="20"/>
        </w:rPr>
        <w:t xml:space="preserve"> </w:t>
      </w:r>
      <w:r w:rsidRPr="003478AF">
        <w:rPr>
          <w:rFonts w:eastAsia="Arial" w:cs="Arial"/>
          <w:szCs w:val="20"/>
        </w:rPr>
        <w:t xml:space="preserve">analiza wyników państw członkowskich UE </w:t>
      </w:r>
      <w:r w:rsidR="007C14CB" w:rsidRPr="003478AF">
        <w:rPr>
          <w:rFonts w:eastAsia="Arial" w:cs="Arial"/>
          <w:szCs w:val="20"/>
        </w:rPr>
        <w:br/>
      </w:r>
      <w:r w:rsidRPr="003478AF">
        <w:rPr>
          <w:rFonts w:eastAsia="Arial" w:cs="Arial"/>
          <w:szCs w:val="20"/>
        </w:rPr>
        <w:t xml:space="preserve">w przekształcaniu ich gospodarek w kierunku obiegu zamkniętego poprzez zmniejszenie zapotrzebowania na zasoby, a tym samym zwiększenie bezpieczeństwa zasobów </w:t>
      </w:r>
      <w:r w:rsidR="007C14CB" w:rsidRPr="003478AF">
        <w:rPr>
          <w:rFonts w:eastAsia="Arial" w:cs="Arial"/>
          <w:szCs w:val="20"/>
        </w:rPr>
        <w:br/>
      </w:r>
      <w:r w:rsidRPr="003478AF">
        <w:rPr>
          <w:rFonts w:eastAsia="Arial" w:cs="Arial"/>
          <w:szCs w:val="20"/>
        </w:rPr>
        <w:t xml:space="preserve">i zmniejszenie presji na środowisko w kraju i za granicą. </w:t>
      </w:r>
    </w:p>
    <w:p w14:paraId="3AAE5569" w14:textId="79BFB089" w:rsidR="005F43F3" w:rsidRPr="003478AF" w:rsidRDefault="005F43F3" w:rsidP="00B13D49">
      <w:pPr>
        <w:pStyle w:val="Akapitzlist"/>
        <w:numPr>
          <w:ilvl w:val="0"/>
          <w:numId w:val="41"/>
        </w:numPr>
        <w:ind w:left="284" w:hanging="284"/>
        <w:rPr>
          <w:rFonts w:eastAsia="Arial" w:cs="Arial"/>
          <w:szCs w:val="20"/>
        </w:rPr>
      </w:pPr>
      <w:r w:rsidRPr="003478AF">
        <w:rPr>
          <w:rFonts w:eastAsia="Arial" w:cs="Arial"/>
          <w:i/>
          <w:iCs/>
          <w:szCs w:val="20"/>
        </w:rPr>
        <w:t xml:space="preserve">Zachowania społeczne </w:t>
      </w:r>
      <w:r w:rsidR="00716054" w:rsidRPr="003478AF">
        <w:rPr>
          <w:rFonts w:eastAsia="Arial" w:cs="Arial"/>
          <w:szCs w:val="20"/>
        </w:rPr>
        <w:t>–</w:t>
      </w:r>
      <w:r w:rsidRPr="003478AF">
        <w:rPr>
          <w:rFonts w:eastAsia="Arial" w:cs="Arial"/>
          <w:szCs w:val="20"/>
        </w:rPr>
        <w:t xml:space="preserve"> ten zestaw wskaźników odzwierciedla świadomość, zaangażowanie i uczestnictwo obywateli w </w:t>
      </w:r>
      <w:r w:rsidR="00716054" w:rsidRPr="003478AF">
        <w:rPr>
          <w:rFonts w:eastAsia="Arial" w:cs="Arial"/>
          <w:szCs w:val="20"/>
        </w:rPr>
        <w:t>GOZ</w:t>
      </w:r>
      <w:r w:rsidRPr="003478AF">
        <w:rPr>
          <w:rFonts w:eastAsia="Arial" w:cs="Arial"/>
          <w:szCs w:val="20"/>
        </w:rPr>
        <w:t xml:space="preserve">. Zaangażowanie obywateli, zmiana zachowań i normy społeczne są integralną częścią sukcesu przejścia na gospodarkę </w:t>
      </w:r>
      <w:r w:rsidR="00716054" w:rsidRPr="003478AF">
        <w:rPr>
          <w:rFonts w:eastAsia="Arial" w:cs="Arial"/>
          <w:szCs w:val="20"/>
        </w:rPr>
        <w:t>cyrkularną</w:t>
      </w:r>
      <w:r w:rsidRPr="003478AF">
        <w:rPr>
          <w:rFonts w:eastAsia="Arial" w:cs="Arial"/>
          <w:szCs w:val="20"/>
        </w:rPr>
        <w:t>. Oznacza to, że ludzie uczestniczą w nowych formach konsumpcji (np. współdzielenie, systemy produktu-usługi, gotowość płacenia więcej za trwałość),</w:t>
      </w:r>
      <w:r w:rsidR="0075734A" w:rsidRPr="003478AF">
        <w:rPr>
          <w:rFonts w:eastAsia="Arial" w:cs="Arial"/>
          <w:szCs w:val="20"/>
        </w:rPr>
        <w:t xml:space="preserve"> a istotne staje się</w:t>
      </w:r>
      <w:r w:rsidRPr="003478AF">
        <w:rPr>
          <w:rFonts w:eastAsia="Arial" w:cs="Arial"/>
          <w:szCs w:val="20"/>
        </w:rPr>
        <w:t xml:space="preserve"> ponowne wykorzystanie </w:t>
      </w:r>
      <w:r w:rsidR="0075734A" w:rsidRPr="003478AF">
        <w:rPr>
          <w:rFonts w:eastAsia="Arial" w:cs="Arial"/>
          <w:szCs w:val="20"/>
        </w:rPr>
        <w:t xml:space="preserve">produktów </w:t>
      </w:r>
      <w:r w:rsidRPr="003478AF">
        <w:rPr>
          <w:rFonts w:eastAsia="Arial" w:cs="Arial"/>
          <w:szCs w:val="20"/>
        </w:rPr>
        <w:t xml:space="preserve">(wymagające zmiany nastawienia w zakresie napraw </w:t>
      </w:r>
      <w:r w:rsidR="00995864" w:rsidRPr="003478AF">
        <w:rPr>
          <w:rFonts w:eastAsia="Arial" w:cs="Arial"/>
          <w:szCs w:val="20"/>
        </w:rPr>
        <w:t>i</w:t>
      </w:r>
      <w:r w:rsidR="00716054" w:rsidRPr="003478AF">
        <w:rPr>
          <w:rFonts w:eastAsia="Arial" w:cs="Arial"/>
          <w:szCs w:val="20"/>
        </w:rPr>
        <w:t xml:space="preserve"> </w:t>
      </w:r>
      <w:r w:rsidRPr="003478AF">
        <w:rPr>
          <w:rFonts w:eastAsia="Arial" w:cs="Arial"/>
          <w:szCs w:val="20"/>
        </w:rPr>
        <w:t xml:space="preserve">renowacji) oraz </w:t>
      </w:r>
      <w:r w:rsidR="0075734A" w:rsidRPr="003478AF">
        <w:rPr>
          <w:rFonts w:eastAsia="Arial" w:cs="Arial"/>
          <w:szCs w:val="20"/>
        </w:rPr>
        <w:t xml:space="preserve">ich </w:t>
      </w:r>
      <w:r w:rsidRPr="003478AF">
        <w:rPr>
          <w:rFonts w:eastAsia="Arial" w:cs="Arial"/>
          <w:szCs w:val="20"/>
        </w:rPr>
        <w:t xml:space="preserve">utylizacja (oddzielanie strumieni odpadów i przynoszenie „odpadów” do miejsc regeneracji/recyklingu/sortowania). </w:t>
      </w:r>
    </w:p>
    <w:p w14:paraId="64885C66" w14:textId="49E47FEA" w:rsidR="005F43F3" w:rsidRPr="003478AF" w:rsidRDefault="005F43F3" w:rsidP="00B13D49">
      <w:pPr>
        <w:pStyle w:val="Akapitzlist"/>
        <w:numPr>
          <w:ilvl w:val="0"/>
          <w:numId w:val="41"/>
        </w:numPr>
        <w:ind w:left="284" w:hanging="284"/>
        <w:rPr>
          <w:rFonts w:eastAsia="Arial" w:cs="Arial"/>
          <w:szCs w:val="20"/>
        </w:rPr>
      </w:pPr>
      <w:r w:rsidRPr="003478AF">
        <w:rPr>
          <w:rFonts w:eastAsia="Arial" w:cs="Arial"/>
          <w:i/>
          <w:iCs/>
          <w:szCs w:val="20"/>
        </w:rPr>
        <w:lastRenderedPageBreak/>
        <w:t xml:space="preserve">Operacje biznesowe </w:t>
      </w:r>
      <w:r w:rsidR="008C64FA" w:rsidRPr="003478AF">
        <w:rPr>
          <w:rFonts w:eastAsia="Arial" w:cs="Arial"/>
          <w:szCs w:val="20"/>
        </w:rPr>
        <w:t>–</w:t>
      </w:r>
      <w:r w:rsidRPr="003478AF">
        <w:rPr>
          <w:rFonts w:eastAsia="Arial" w:cs="Arial"/>
          <w:szCs w:val="20"/>
        </w:rPr>
        <w:t xml:space="preserve"> działania ekoinnowacyjne zmierzające do zmiany i dostosowania modeli biznesowych zgodnie z zasadami GOZ. Przedsiębiorstwa są motorem transformacji GOZ. Sprzyjają cyrkularności w całym cyklu użytkowania materiałów, począwszy od tego, jak i jakie materiały są pozyskiwane (normy jakości, ochrony środowiska i zdrowia). Etap projektowania ma szczególne znaczenie dla umożliwienia ponownego użycia/ponownego wytworzenia/recyklingu i zwiększenia trwałości towarów w gospodarce. </w:t>
      </w:r>
    </w:p>
    <w:p w14:paraId="5E4DA67F" w14:textId="034A7062" w:rsidR="005F43F3" w:rsidRPr="003478AF" w:rsidRDefault="005F43F3" w:rsidP="005F43F3">
      <w:pPr>
        <w:rPr>
          <w:rFonts w:eastAsia="Arial" w:cs="Arial"/>
          <w:szCs w:val="20"/>
        </w:rPr>
      </w:pPr>
      <w:r w:rsidRPr="003478AF">
        <w:rPr>
          <w:rFonts w:eastAsia="Arial" w:cs="Arial"/>
          <w:szCs w:val="20"/>
        </w:rPr>
        <w:t xml:space="preserve">Ramy monitorowania ustanowione przez Komisję Europejską składają się z dziesięciu wskaźników, z których niektóre są podzielone na wskaźniki </w:t>
      </w:r>
      <w:r w:rsidR="00887865" w:rsidRPr="003478AF">
        <w:rPr>
          <w:rFonts w:eastAsia="Arial" w:cs="Arial"/>
          <w:szCs w:val="20"/>
        </w:rPr>
        <w:t>podrzędne.</w:t>
      </w:r>
    </w:p>
    <w:p w14:paraId="63F93020" w14:textId="77777777" w:rsidR="005F43F3" w:rsidRPr="003478AF" w:rsidRDefault="005F43F3" w:rsidP="005F43F3">
      <w:pPr>
        <w:rPr>
          <w:rFonts w:eastAsia="Arial" w:cs="Arial"/>
          <w:szCs w:val="20"/>
        </w:rPr>
      </w:pPr>
      <w:r w:rsidRPr="003478AF">
        <w:rPr>
          <w:rFonts w:eastAsia="Arial" w:cs="Arial"/>
          <w:szCs w:val="20"/>
        </w:rPr>
        <w:t>Te dziesięć wskaźników, dla których dane są dostępne w bazie danych, podzielono na następujące cztery obszary tematyczne:</w:t>
      </w:r>
    </w:p>
    <w:p w14:paraId="69B81B3B" w14:textId="77777777" w:rsidR="005F43F3" w:rsidRPr="003478AF" w:rsidRDefault="005F43F3" w:rsidP="00B13D49">
      <w:pPr>
        <w:pStyle w:val="Akapitzlist"/>
        <w:numPr>
          <w:ilvl w:val="0"/>
          <w:numId w:val="42"/>
        </w:numPr>
        <w:rPr>
          <w:rFonts w:eastAsia="Arial" w:cs="Arial"/>
          <w:i/>
          <w:iCs/>
          <w:szCs w:val="20"/>
        </w:rPr>
      </w:pPr>
      <w:r w:rsidRPr="003478AF">
        <w:rPr>
          <w:rFonts w:eastAsia="Arial" w:cs="Arial"/>
          <w:i/>
          <w:iCs/>
          <w:szCs w:val="20"/>
        </w:rPr>
        <w:t>Produkcja i konsumpcja:</w:t>
      </w:r>
    </w:p>
    <w:p w14:paraId="56F99DF1" w14:textId="77777777" w:rsidR="005F43F3" w:rsidRPr="003478AF" w:rsidRDefault="005F43F3" w:rsidP="00B13D49">
      <w:pPr>
        <w:numPr>
          <w:ilvl w:val="0"/>
          <w:numId w:val="13"/>
        </w:numPr>
        <w:rPr>
          <w:rFonts w:eastAsia="Arial" w:cs="Arial"/>
          <w:szCs w:val="20"/>
        </w:rPr>
      </w:pPr>
      <w:r w:rsidRPr="003478AF">
        <w:rPr>
          <w:rFonts w:eastAsia="Arial" w:cs="Arial"/>
          <w:szCs w:val="20"/>
        </w:rPr>
        <w:t>Samowystarczalność surowców do produkcji w UE,</w:t>
      </w:r>
    </w:p>
    <w:p w14:paraId="412D1BE4" w14:textId="77777777" w:rsidR="005F43F3" w:rsidRPr="003478AF" w:rsidRDefault="005F43F3" w:rsidP="00B13D49">
      <w:pPr>
        <w:numPr>
          <w:ilvl w:val="0"/>
          <w:numId w:val="13"/>
        </w:numPr>
        <w:rPr>
          <w:rFonts w:eastAsia="Arial" w:cs="Arial"/>
          <w:szCs w:val="20"/>
        </w:rPr>
      </w:pPr>
      <w:r w:rsidRPr="003478AF">
        <w:rPr>
          <w:rFonts w:eastAsia="Arial" w:cs="Arial"/>
          <w:szCs w:val="20"/>
        </w:rPr>
        <w:t>Zielone zamówienia publiczne (jako wskaźnik aspektów finansowania),</w:t>
      </w:r>
    </w:p>
    <w:p w14:paraId="7A93BE89" w14:textId="77777777" w:rsidR="005F43F3" w:rsidRPr="003478AF" w:rsidRDefault="005F43F3" w:rsidP="00B13D49">
      <w:pPr>
        <w:numPr>
          <w:ilvl w:val="0"/>
          <w:numId w:val="13"/>
        </w:numPr>
        <w:rPr>
          <w:rFonts w:eastAsia="Arial" w:cs="Arial"/>
          <w:szCs w:val="20"/>
        </w:rPr>
      </w:pPr>
      <w:r w:rsidRPr="003478AF">
        <w:rPr>
          <w:rFonts w:eastAsia="Arial" w:cs="Arial"/>
          <w:szCs w:val="20"/>
        </w:rPr>
        <w:t>Wytwarzanie odpadów (jako wskaźnik aspektów konsumpcyjnych):</w:t>
      </w:r>
    </w:p>
    <w:p w14:paraId="11017D44" w14:textId="77777777" w:rsidR="005F43F3" w:rsidRPr="003478AF" w:rsidRDefault="005F43F3" w:rsidP="00626E84">
      <w:pPr>
        <w:numPr>
          <w:ilvl w:val="1"/>
          <w:numId w:val="13"/>
        </w:numPr>
        <w:ind w:left="1134"/>
        <w:rPr>
          <w:rFonts w:eastAsia="Arial" w:cs="Arial"/>
          <w:szCs w:val="20"/>
        </w:rPr>
      </w:pPr>
      <w:r w:rsidRPr="003478AF">
        <w:rPr>
          <w:rFonts w:eastAsia="Arial" w:cs="Arial"/>
          <w:szCs w:val="20"/>
        </w:rPr>
        <w:t>Wytwarzanie odpadów komunalnych,</w:t>
      </w:r>
    </w:p>
    <w:p w14:paraId="012F57F9" w14:textId="2DAD60EA" w:rsidR="005F43F3" w:rsidRPr="003478AF" w:rsidRDefault="005F43F3" w:rsidP="00626E84">
      <w:pPr>
        <w:numPr>
          <w:ilvl w:val="1"/>
          <w:numId w:val="13"/>
        </w:numPr>
        <w:ind w:left="1134"/>
        <w:rPr>
          <w:rFonts w:eastAsia="Arial" w:cs="Arial"/>
          <w:szCs w:val="20"/>
        </w:rPr>
      </w:pPr>
      <w:r w:rsidRPr="003478AF">
        <w:rPr>
          <w:rFonts w:eastAsia="Arial" w:cs="Arial"/>
          <w:szCs w:val="20"/>
        </w:rPr>
        <w:t xml:space="preserve">Wytwarzanie odpadów </w:t>
      </w:r>
      <w:r w:rsidR="00937BC9" w:rsidRPr="003478AF">
        <w:rPr>
          <w:rFonts w:eastAsia="Arial" w:cs="Arial"/>
          <w:szCs w:val="20"/>
        </w:rPr>
        <w:t>(</w:t>
      </w:r>
      <w:r w:rsidRPr="003478AF">
        <w:rPr>
          <w:rFonts w:eastAsia="Arial" w:cs="Arial"/>
          <w:szCs w:val="20"/>
        </w:rPr>
        <w:t>z wyłączeniem głównych odpadów mineralnych</w:t>
      </w:r>
      <w:r w:rsidR="00937BC9" w:rsidRPr="003478AF">
        <w:rPr>
          <w:rFonts w:eastAsia="Arial" w:cs="Arial"/>
          <w:szCs w:val="20"/>
        </w:rPr>
        <w:t>)</w:t>
      </w:r>
      <w:r w:rsidRPr="003478AF">
        <w:rPr>
          <w:rFonts w:eastAsia="Arial" w:cs="Arial"/>
          <w:szCs w:val="20"/>
        </w:rPr>
        <w:t xml:space="preserve"> na jednostkę PKB,</w:t>
      </w:r>
    </w:p>
    <w:p w14:paraId="104E9CC3" w14:textId="13CE35B7" w:rsidR="005F43F3" w:rsidRPr="003478AF" w:rsidRDefault="005F43F3" w:rsidP="00626E84">
      <w:pPr>
        <w:numPr>
          <w:ilvl w:val="1"/>
          <w:numId w:val="13"/>
        </w:numPr>
        <w:ind w:left="1134"/>
        <w:rPr>
          <w:rFonts w:eastAsia="Arial" w:cs="Arial"/>
          <w:szCs w:val="20"/>
        </w:rPr>
      </w:pPr>
      <w:r w:rsidRPr="003478AF">
        <w:rPr>
          <w:rFonts w:eastAsia="Arial" w:cs="Arial"/>
          <w:szCs w:val="20"/>
        </w:rPr>
        <w:t xml:space="preserve">Wytwarzanie odpadów </w:t>
      </w:r>
      <w:r w:rsidR="00937BC9" w:rsidRPr="003478AF">
        <w:rPr>
          <w:rFonts w:eastAsia="Arial" w:cs="Arial"/>
          <w:szCs w:val="20"/>
        </w:rPr>
        <w:t>(</w:t>
      </w:r>
      <w:r w:rsidRPr="003478AF">
        <w:rPr>
          <w:rFonts w:eastAsia="Arial" w:cs="Arial"/>
          <w:szCs w:val="20"/>
        </w:rPr>
        <w:t>z wyłączeniem głównych odpadów mineralnych</w:t>
      </w:r>
      <w:r w:rsidR="00937BC9" w:rsidRPr="003478AF">
        <w:rPr>
          <w:rFonts w:eastAsia="Arial" w:cs="Arial"/>
          <w:szCs w:val="20"/>
        </w:rPr>
        <w:t>)</w:t>
      </w:r>
      <w:r w:rsidRPr="003478AF">
        <w:rPr>
          <w:rFonts w:eastAsia="Arial" w:cs="Arial"/>
          <w:szCs w:val="20"/>
        </w:rPr>
        <w:t xml:space="preserve"> </w:t>
      </w:r>
      <w:r w:rsidR="007C14CB" w:rsidRPr="003478AF">
        <w:rPr>
          <w:rFonts w:eastAsia="Arial" w:cs="Arial"/>
          <w:szCs w:val="20"/>
        </w:rPr>
        <w:br/>
      </w:r>
      <w:r w:rsidRPr="003478AF">
        <w:rPr>
          <w:rFonts w:eastAsia="Arial" w:cs="Arial"/>
          <w:szCs w:val="20"/>
        </w:rPr>
        <w:t>w przeliczeniu na domowe zużycie materiałów,</w:t>
      </w:r>
    </w:p>
    <w:p w14:paraId="32E0AC40" w14:textId="5E0C0F7E" w:rsidR="005F43F3" w:rsidRPr="003478AF" w:rsidRDefault="005F43F3" w:rsidP="00B13D49">
      <w:pPr>
        <w:numPr>
          <w:ilvl w:val="0"/>
          <w:numId w:val="13"/>
        </w:numPr>
        <w:rPr>
          <w:rFonts w:eastAsia="Arial" w:cs="Arial"/>
          <w:szCs w:val="20"/>
        </w:rPr>
      </w:pPr>
      <w:r w:rsidRPr="003478AF">
        <w:rPr>
          <w:rFonts w:eastAsia="Arial" w:cs="Arial"/>
          <w:szCs w:val="20"/>
        </w:rPr>
        <w:t>Marnowanie jedzenia</w:t>
      </w:r>
      <w:r w:rsidR="00937BC9" w:rsidRPr="003478AF">
        <w:rPr>
          <w:rFonts w:eastAsia="Arial" w:cs="Arial"/>
          <w:szCs w:val="20"/>
        </w:rPr>
        <w:t>;</w:t>
      </w:r>
    </w:p>
    <w:p w14:paraId="703CD632" w14:textId="77777777" w:rsidR="005F43F3" w:rsidRPr="003478AF" w:rsidRDefault="005F43F3" w:rsidP="00B13D49">
      <w:pPr>
        <w:pStyle w:val="Akapitzlist"/>
        <w:numPr>
          <w:ilvl w:val="0"/>
          <w:numId w:val="42"/>
        </w:numPr>
        <w:rPr>
          <w:rFonts w:eastAsia="Arial" w:cs="Arial"/>
          <w:i/>
          <w:iCs/>
          <w:szCs w:val="20"/>
        </w:rPr>
      </w:pPr>
      <w:r w:rsidRPr="003478AF">
        <w:rPr>
          <w:rFonts w:eastAsia="Arial" w:cs="Arial"/>
          <w:i/>
          <w:iCs/>
          <w:szCs w:val="20"/>
        </w:rPr>
        <w:t>Gospodarowanie odpadami:</w:t>
      </w:r>
    </w:p>
    <w:p w14:paraId="68F23489" w14:textId="77777777" w:rsidR="005F43F3" w:rsidRPr="003478AF" w:rsidRDefault="005F43F3" w:rsidP="00B13D49">
      <w:pPr>
        <w:numPr>
          <w:ilvl w:val="0"/>
          <w:numId w:val="13"/>
        </w:numPr>
        <w:rPr>
          <w:rFonts w:eastAsia="Arial" w:cs="Arial"/>
          <w:szCs w:val="20"/>
        </w:rPr>
      </w:pPr>
      <w:r w:rsidRPr="003478AF">
        <w:rPr>
          <w:rFonts w:eastAsia="Arial" w:cs="Arial"/>
          <w:szCs w:val="20"/>
        </w:rPr>
        <w:t>Wskaźniki recyklingu (udział odpadów poddawanych recyklingowi):</w:t>
      </w:r>
    </w:p>
    <w:p w14:paraId="2ED65173" w14:textId="77777777" w:rsidR="005F43F3" w:rsidRPr="003478AF" w:rsidRDefault="005F43F3" w:rsidP="00626E84">
      <w:pPr>
        <w:numPr>
          <w:ilvl w:val="1"/>
          <w:numId w:val="13"/>
        </w:numPr>
        <w:ind w:left="1134"/>
        <w:rPr>
          <w:rFonts w:eastAsia="Arial" w:cs="Arial"/>
          <w:szCs w:val="20"/>
        </w:rPr>
      </w:pPr>
      <w:r w:rsidRPr="003478AF">
        <w:rPr>
          <w:rFonts w:eastAsia="Arial" w:cs="Arial"/>
          <w:szCs w:val="20"/>
        </w:rPr>
        <w:t>Wskaźnik recyklingu odpadów komunalnych,</w:t>
      </w:r>
    </w:p>
    <w:p w14:paraId="6EFF6EE8" w14:textId="77777777" w:rsidR="005F43F3" w:rsidRPr="003478AF" w:rsidRDefault="005F43F3" w:rsidP="00626E84">
      <w:pPr>
        <w:numPr>
          <w:ilvl w:val="1"/>
          <w:numId w:val="13"/>
        </w:numPr>
        <w:ind w:left="1134"/>
        <w:rPr>
          <w:rFonts w:eastAsia="Arial" w:cs="Arial"/>
          <w:szCs w:val="20"/>
        </w:rPr>
      </w:pPr>
      <w:r w:rsidRPr="003478AF">
        <w:rPr>
          <w:rFonts w:eastAsia="Arial" w:cs="Arial"/>
          <w:szCs w:val="20"/>
        </w:rPr>
        <w:t>Wskaźnik recyklingu wszystkich odpadów z wyłączeniem głównych odpadów mineralnych,</w:t>
      </w:r>
    </w:p>
    <w:p w14:paraId="584EBB15" w14:textId="77777777" w:rsidR="005F43F3" w:rsidRPr="003478AF" w:rsidRDefault="005F43F3" w:rsidP="00B13D49">
      <w:pPr>
        <w:numPr>
          <w:ilvl w:val="0"/>
          <w:numId w:val="13"/>
        </w:numPr>
        <w:rPr>
          <w:rFonts w:eastAsia="Arial" w:cs="Arial"/>
          <w:szCs w:val="20"/>
        </w:rPr>
      </w:pPr>
      <w:r w:rsidRPr="003478AF">
        <w:rPr>
          <w:rFonts w:eastAsia="Arial" w:cs="Arial"/>
          <w:szCs w:val="20"/>
        </w:rPr>
        <w:t>Określone strumienie odpadów (odpady opakowaniowe, bioodpady, e-odpady itp.):</w:t>
      </w:r>
    </w:p>
    <w:p w14:paraId="5F6BF7C2" w14:textId="77777777" w:rsidR="005F43F3" w:rsidRPr="003478AF" w:rsidRDefault="005F43F3" w:rsidP="00626E84">
      <w:pPr>
        <w:numPr>
          <w:ilvl w:val="1"/>
          <w:numId w:val="13"/>
        </w:numPr>
        <w:ind w:left="1134"/>
        <w:rPr>
          <w:rFonts w:eastAsia="Arial" w:cs="Arial"/>
          <w:szCs w:val="20"/>
        </w:rPr>
      </w:pPr>
      <w:r w:rsidRPr="003478AF">
        <w:rPr>
          <w:rFonts w:eastAsia="Arial" w:cs="Arial"/>
          <w:szCs w:val="20"/>
        </w:rPr>
        <w:t>Recykling opakowań,</w:t>
      </w:r>
    </w:p>
    <w:p w14:paraId="4C0CB33B" w14:textId="77777777" w:rsidR="005F43F3" w:rsidRPr="003478AF" w:rsidRDefault="005F43F3" w:rsidP="00626E84">
      <w:pPr>
        <w:numPr>
          <w:ilvl w:val="1"/>
          <w:numId w:val="13"/>
        </w:numPr>
        <w:ind w:left="1134"/>
        <w:rPr>
          <w:rFonts w:eastAsia="Arial" w:cs="Arial"/>
          <w:szCs w:val="20"/>
        </w:rPr>
      </w:pPr>
      <w:r w:rsidRPr="003478AF">
        <w:rPr>
          <w:rFonts w:eastAsia="Arial" w:cs="Arial"/>
          <w:szCs w:val="20"/>
        </w:rPr>
        <w:t>Recykling opakowań z tworzyw sztucznych,</w:t>
      </w:r>
    </w:p>
    <w:p w14:paraId="1E44AB8A" w14:textId="77777777" w:rsidR="005F43F3" w:rsidRPr="003478AF" w:rsidRDefault="005F43F3" w:rsidP="00626E84">
      <w:pPr>
        <w:numPr>
          <w:ilvl w:val="1"/>
          <w:numId w:val="13"/>
        </w:numPr>
        <w:ind w:left="1134"/>
        <w:rPr>
          <w:rFonts w:eastAsia="Arial" w:cs="Arial"/>
          <w:szCs w:val="20"/>
        </w:rPr>
      </w:pPr>
      <w:r w:rsidRPr="003478AF">
        <w:rPr>
          <w:rFonts w:eastAsia="Arial" w:cs="Arial"/>
          <w:szCs w:val="20"/>
        </w:rPr>
        <w:t>Recykling opakowań drewnianych,</w:t>
      </w:r>
    </w:p>
    <w:p w14:paraId="4B757D16" w14:textId="77777777" w:rsidR="005F43F3" w:rsidRPr="003478AF" w:rsidRDefault="005F43F3" w:rsidP="00626E84">
      <w:pPr>
        <w:numPr>
          <w:ilvl w:val="1"/>
          <w:numId w:val="13"/>
        </w:numPr>
        <w:ind w:left="1134"/>
        <w:rPr>
          <w:rFonts w:eastAsia="Arial" w:cs="Arial"/>
          <w:szCs w:val="20"/>
        </w:rPr>
      </w:pPr>
      <w:r w:rsidRPr="003478AF">
        <w:rPr>
          <w:rFonts w:eastAsia="Arial" w:cs="Arial"/>
          <w:szCs w:val="20"/>
        </w:rPr>
        <w:t>Recykling e-odpadów,</w:t>
      </w:r>
    </w:p>
    <w:p w14:paraId="754C986B" w14:textId="77777777" w:rsidR="005F43F3" w:rsidRPr="003478AF" w:rsidRDefault="005F43F3" w:rsidP="00626E84">
      <w:pPr>
        <w:numPr>
          <w:ilvl w:val="1"/>
          <w:numId w:val="13"/>
        </w:numPr>
        <w:ind w:left="1134"/>
        <w:rPr>
          <w:rFonts w:eastAsia="Arial" w:cs="Arial"/>
          <w:szCs w:val="20"/>
        </w:rPr>
      </w:pPr>
      <w:r w:rsidRPr="003478AF">
        <w:rPr>
          <w:rFonts w:eastAsia="Arial" w:cs="Arial"/>
          <w:szCs w:val="20"/>
        </w:rPr>
        <w:t>Recykling bioodpadów,</w:t>
      </w:r>
    </w:p>
    <w:p w14:paraId="16804280" w14:textId="0FBB4CA9" w:rsidR="005F43F3" w:rsidRPr="003478AF" w:rsidRDefault="005F43F3" w:rsidP="00626E84">
      <w:pPr>
        <w:numPr>
          <w:ilvl w:val="1"/>
          <w:numId w:val="13"/>
        </w:numPr>
        <w:ind w:left="1134"/>
        <w:rPr>
          <w:rFonts w:eastAsia="Arial" w:cs="Arial"/>
          <w:szCs w:val="20"/>
        </w:rPr>
      </w:pPr>
      <w:r w:rsidRPr="003478AF">
        <w:rPr>
          <w:rFonts w:eastAsia="Arial" w:cs="Arial"/>
          <w:szCs w:val="20"/>
        </w:rPr>
        <w:t>Odzysk odpadów budowlanych i rozbiórkowych</w:t>
      </w:r>
      <w:r w:rsidR="00937BC9" w:rsidRPr="003478AF">
        <w:rPr>
          <w:rFonts w:eastAsia="Arial" w:cs="Arial"/>
          <w:szCs w:val="20"/>
        </w:rPr>
        <w:t>;</w:t>
      </w:r>
    </w:p>
    <w:p w14:paraId="5183E544" w14:textId="77777777" w:rsidR="005F43F3" w:rsidRPr="003478AF" w:rsidRDefault="005F43F3" w:rsidP="00B13D49">
      <w:pPr>
        <w:pStyle w:val="Akapitzlist"/>
        <w:numPr>
          <w:ilvl w:val="0"/>
          <w:numId w:val="42"/>
        </w:numPr>
        <w:rPr>
          <w:rFonts w:eastAsia="Arial" w:cs="Arial"/>
          <w:i/>
          <w:iCs/>
          <w:szCs w:val="20"/>
        </w:rPr>
      </w:pPr>
      <w:r w:rsidRPr="003478AF">
        <w:rPr>
          <w:rFonts w:eastAsia="Arial" w:cs="Arial"/>
          <w:i/>
          <w:iCs/>
          <w:szCs w:val="20"/>
        </w:rPr>
        <w:t xml:space="preserve"> Surowce wtórne: </w:t>
      </w:r>
    </w:p>
    <w:p w14:paraId="4BFF4775" w14:textId="77777777" w:rsidR="005F43F3" w:rsidRPr="003478AF" w:rsidRDefault="005F43F3" w:rsidP="00B13D49">
      <w:pPr>
        <w:numPr>
          <w:ilvl w:val="0"/>
          <w:numId w:val="13"/>
        </w:numPr>
        <w:rPr>
          <w:rFonts w:eastAsia="Arial" w:cs="Arial"/>
          <w:szCs w:val="20"/>
        </w:rPr>
      </w:pPr>
      <w:r w:rsidRPr="003478AF">
        <w:rPr>
          <w:rFonts w:eastAsia="Arial" w:cs="Arial"/>
          <w:szCs w:val="20"/>
        </w:rPr>
        <w:t xml:space="preserve">Wkład materiałów pochodzących z recyklingu w zapotrzebowanie na surowce: </w:t>
      </w:r>
    </w:p>
    <w:p w14:paraId="1B65209C" w14:textId="77777777" w:rsidR="005F43F3" w:rsidRPr="003478AF" w:rsidRDefault="005F43F3" w:rsidP="00626E84">
      <w:pPr>
        <w:numPr>
          <w:ilvl w:val="1"/>
          <w:numId w:val="13"/>
        </w:numPr>
        <w:ind w:left="1134"/>
        <w:rPr>
          <w:rFonts w:eastAsia="Arial" w:cs="Arial"/>
          <w:szCs w:val="20"/>
        </w:rPr>
      </w:pPr>
      <w:r w:rsidRPr="003478AF">
        <w:rPr>
          <w:rFonts w:eastAsia="Arial" w:cs="Arial"/>
          <w:szCs w:val="20"/>
        </w:rPr>
        <w:t>Wskaźniki wejściowe do recyklingu po wycofaniu z eksploatacji (EOL-RIR),</w:t>
      </w:r>
    </w:p>
    <w:p w14:paraId="11A0B0A1" w14:textId="77777777" w:rsidR="005F43F3" w:rsidRPr="003478AF" w:rsidRDefault="005F43F3" w:rsidP="00626E84">
      <w:pPr>
        <w:numPr>
          <w:ilvl w:val="1"/>
          <w:numId w:val="13"/>
        </w:numPr>
        <w:ind w:left="1134"/>
        <w:rPr>
          <w:rFonts w:eastAsia="Arial" w:cs="Arial"/>
          <w:szCs w:val="20"/>
        </w:rPr>
      </w:pPr>
      <w:r w:rsidRPr="003478AF">
        <w:rPr>
          <w:rFonts w:eastAsia="Arial" w:cs="Arial"/>
          <w:szCs w:val="20"/>
        </w:rPr>
        <w:t>Wskaźnik wykorzystania materiałów z recyklingu,</w:t>
      </w:r>
    </w:p>
    <w:p w14:paraId="5CA4CD8E" w14:textId="77777777" w:rsidR="005F43F3" w:rsidRPr="003478AF" w:rsidRDefault="005F43F3" w:rsidP="00B13D49">
      <w:pPr>
        <w:numPr>
          <w:ilvl w:val="0"/>
          <w:numId w:val="13"/>
        </w:numPr>
        <w:rPr>
          <w:rFonts w:eastAsia="Arial" w:cs="Arial"/>
          <w:szCs w:val="20"/>
        </w:rPr>
      </w:pPr>
      <w:r w:rsidRPr="003478AF">
        <w:rPr>
          <w:rFonts w:eastAsia="Arial" w:cs="Arial"/>
          <w:szCs w:val="20"/>
        </w:rPr>
        <w:t>Handel surowcami nadającymi się do recyklingu między państwami członkowskimi UE a resztą świata:</w:t>
      </w:r>
    </w:p>
    <w:p w14:paraId="396E9BD9" w14:textId="1F78BADA" w:rsidR="005F43F3" w:rsidRPr="003478AF" w:rsidRDefault="005F43F3" w:rsidP="00626E84">
      <w:pPr>
        <w:numPr>
          <w:ilvl w:val="1"/>
          <w:numId w:val="13"/>
        </w:numPr>
        <w:ind w:left="1134"/>
        <w:rPr>
          <w:rFonts w:eastAsia="Arial" w:cs="Arial"/>
          <w:szCs w:val="20"/>
        </w:rPr>
      </w:pPr>
      <w:r w:rsidRPr="003478AF">
        <w:rPr>
          <w:rFonts w:eastAsia="Arial" w:cs="Arial"/>
          <w:szCs w:val="20"/>
        </w:rPr>
        <w:t>Import z krajów spoza UE (</w:t>
      </w:r>
      <w:r w:rsidR="008C64FA" w:rsidRPr="003478AF">
        <w:rPr>
          <w:rFonts w:eastAsia="Arial" w:cs="Arial"/>
          <w:szCs w:val="20"/>
        </w:rPr>
        <w:t>d</w:t>
      </w:r>
      <w:r w:rsidRPr="003478AF">
        <w:rPr>
          <w:rFonts w:eastAsia="Arial" w:cs="Arial"/>
          <w:szCs w:val="20"/>
        </w:rPr>
        <w:t>la UE27),</w:t>
      </w:r>
    </w:p>
    <w:p w14:paraId="635DB6CF" w14:textId="75A4ED4C" w:rsidR="005F43F3" w:rsidRPr="003478AF" w:rsidRDefault="005F43F3" w:rsidP="00626E84">
      <w:pPr>
        <w:numPr>
          <w:ilvl w:val="1"/>
          <w:numId w:val="13"/>
        </w:numPr>
        <w:ind w:left="1134"/>
        <w:rPr>
          <w:rFonts w:eastAsia="Arial" w:cs="Arial"/>
          <w:szCs w:val="20"/>
        </w:rPr>
      </w:pPr>
      <w:r w:rsidRPr="003478AF">
        <w:rPr>
          <w:rFonts w:eastAsia="Arial" w:cs="Arial"/>
          <w:szCs w:val="20"/>
        </w:rPr>
        <w:t>Eksport do krajów spoza UE (</w:t>
      </w:r>
      <w:r w:rsidR="008C64FA" w:rsidRPr="003478AF">
        <w:rPr>
          <w:rFonts w:eastAsia="Arial" w:cs="Arial"/>
          <w:szCs w:val="20"/>
        </w:rPr>
        <w:t>d</w:t>
      </w:r>
      <w:r w:rsidRPr="003478AF">
        <w:rPr>
          <w:rFonts w:eastAsia="Arial" w:cs="Arial"/>
          <w:szCs w:val="20"/>
        </w:rPr>
        <w:t>la UE27),</w:t>
      </w:r>
    </w:p>
    <w:p w14:paraId="1D3B2162" w14:textId="53306DFA" w:rsidR="005F43F3" w:rsidRPr="003478AF" w:rsidRDefault="005F43F3" w:rsidP="00626E84">
      <w:pPr>
        <w:numPr>
          <w:ilvl w:val="1"/>
          <w:numId w:val="13"/>
        </w:numPr>
        <w:ind w:left="1134"/>
        <w:rPr>
          <w:rFonts w:eastAsia="Arial" w:cs="Arial"/>
          <w:szCs w:val="20"/>
        </w:rPr>
      </w:pPr>
      <w:r w:rsidRPr="003478AF">
        <w:rPr>
          <w:rFonts w:eastAsia="Arial" w:cs="Arial"/>
          <w:szCs w:val="20"/>
        </w:rPr>
        <w:t>Handel wewnątrz UE</w:t>
      </w:r>
      <w:r w:rsidR="00937BC9" w:rsidRPr="003478AF">
        <w:rPr>
          <w:rFonts w:eastAsia="Arial" w:cs="Arial"/>
          <w:szCs w:val="20"/>
        </w:rPr>
        <w:t>;</w:t>
      </w:r>
    </w:p>
    <w:p w14:paraId="007C5B96" w14:textId="77777777" w:rsidR="005F43F3" w:rsidRPr="003478AF" w:rsidRDefault="005F43F3" w:rsidP="00B13D49">
      <w:pPr>
        <w:pStyle w:val="Akapitzlist"/>
        <w:numPr>
          <w:ilvl w:val="0"/>
          <w:numId w:val="42"/>
        </w:numPr>
        <w:rPr>
          <w:rFonts w:eastAsia="Arial" w:cs="Arial"/>
          <w:i/>
          <w:iCs/>
          <w:szCs w:val="20"/>
        </w:rPr>
      </w:pPr>
      <w:r w:rsidRPr="003478AF">
        <w:rPr>
          <w:rFonts w:eastAsia="Arial" w:cs="Arial"/>
          <w:i/>
          <w:iCs/>
          <w:szCs w:val="20"/>
        </w:rPr>
        <w:t>Konkurencyjność i innowacyjność:</w:t>
      </w:r>
    </w:p>
    <w:p w14:paraId="3DD238B3" w14:textId="77777777" w:rsidR="005F43F3" w:rsidRPr="003478AF" w:rsidRDefault="005F43F3" w:rsidP="00B13D49">
      <w:pPr>
        <w:numPr>
          <w:ilvl w:val="0"/>
          <w:numId w:val="13"/>
        </w:numPr>
        <w:rPr>
          <w:rFonts w:eastAsia="Arial" w:cs="Arial"/>
          <w:szCs w:val="20"/>
        </w:rPr>
      </w:pPr>
      <w:r w:rsidRPr="003478AF">
        <w:rPr>
          <w:rFonts w:eastAsia="Arial" w:cs="Arial"/>
          <w:szCs w:val="20"/>
        </w:rPr>
        <w:t xml:space="preserve">Inwestycje prywatne, miejsca pracy i wartość dodana brutto: </w:t>
      </w:r>
    </w:p>
    <w:p w14:paraId="44D5EF23" w14:textId="77777777" w:rsidR="005F43F3" w:rsidRPr="003478AF" w:rsidRDefault="005F43F3" w:rsidP="00626E84">
      <w:pPr>
        <w:numPr>
          <w:ilvl w:val="1"/>
          <w:numId w:val="13"/>
        </w:numPr>
        <w:ind w:left="1134"/>
        <w:rPr>
          <w:rFonts w:eastAsia="Arial" w:cs="Arial"/>
          <w:szCs w:val="20"/>
        </w:rPr>
      </w:pPr>
      <w:r w:rsidRPr="003478AF">
        <w:rPr>
          <w:rFonts w:eastAsia="Arial" w:cs="Arial"/>
          <w:szCs w:val="20"/>
        </w:rPr>
        <w:t>Inwestycje brutto w dobra materialne,</w:t>
      </w:r>
    </w:p>
    <w:p w14:paraId="5E43FB4A" w14:textId="77777777" w:rsidR="005F43F3" w:rsidRPr="003478AF" w:rsidRDefault="005F43F3" w:rsidP="00626E84">
      <w:pPr>
        <w:numPr>
          <w:ilvl w:val="1"/>
          <w:numId w:val="13"/>
        </w:numPr>
        <w:ind w:left="1134"/>
        <w:rPr>
          <w:rFonts w:eastAsia="Arial" w:cs="Arial"/>
          <w:szCs w:val="20"/>
        </w:rPr>
      </w:pPr>
      <w:r w:rsidRPr="003478AF">
        <w:rPr>
          <w:rFonts w:eastAsia="Arial" w:cs="Arial"/>
          <w:szCs w:val="20"/>
        </w:rPr>
        <w:t>Osoby zatrudnione,</w:t>
      </w:r>
    </w:p>
    <w:p w14:paraId="710C1D19" w14:textId="77777777" w:rsidR="005F43F3" w:rsidRPr="003478AF" w:rsidRDefault="005F43F3" w:rsidP="00626E84">
      <w:pPr>
        <w:numPr>
          <w:ilvl w:val="1"/>
          <w:numId w:val="13"/>
        </w:numPr>
        <w:ind w:left="1134"/>
        <w:rPr>
          <w:rFonts w:eastAsia="Arial" w:cs="Arial"/>
          <w:szCs w:val="20"/>
        </w:rPr>
      </w:pPr>
      <w:r w:rsidRPr="003478AF">
        <w:rPr>
          <w:rFonts w:eastAsia="Arial" w:cs="Arial"/>
          <w:szCs w:val="20"/>
        </w:rPr>
        <w:lastRenderedPageBreak/>
        <w:t>Wartość dodana po kosztach czynników produkcji,</w:t>
      </w:r>
    </w:p>
    <w:p w14:paraId="78C53267" w14:textId="77777777" w:rsidR="005F43F3" w:rsidRPr="003478AF" w:rsidRDefault="005F43F3" w:rsidP="00B13D49">
      <w:pPr>
        <w:numPr>
          <w:ilvl w:val="0"/>
          <w:numId w:val="13"/>
        </w:numPr>
        <w:rPr>
          <w:rFonts w:eastAsia="Arial" w:cs="Arial"/>
          <w:b/>
          <w:bCs/>
          <w:szCs w:val="20"/>
        </w:rPr>
      </w:pPr>
      <w:r w:rsidRPr="003478AF">
        <w:rPr>
          <w:rFonts w:eastAsia="Arial" w:cs="Arial"/>
          <w:szCs w:val="20"/>
        </w:rPr>
        <w:t>Patenty związane z recyklingiem i surowcami wtórnymi jako wskaźnik innowacji:</w:t>
      </w:r>
    </w:p>
    <w:p w14:paraId="402B9008" w14:textId="77777777" w:rsidR="005F43F3" w:rsidRPr="003478AF" w:rsidRDefault="005F43F3" w:rsidP="00626E84">
      <w:pPr>
        <w:numPr>
          <w:ilvl w:val="1"/>
          <w:numId w:val="13"/>
        </w:numPr>
        <w:ind w:left="1134"/>
        <w:rPr>
          <w:rFonts w:eastAsia="Arial" w:cs="Arial"/>
          <w:szCs w:val="20"/>
        </w:rPr>
      </w:pPr>
      <w:r w:rsidRPr="003478AF">
        <w:rPr>
          <w:rFonts w:eastAsia="Arial" w:cs="Arial"/>
          <w:szCs w:val="20"/>
        </w:rPr>
        <w:t>Liczba patentów związanych z recyklingiem i surowcami wtórnymi.</w:t>
      </w:r>
    </w:p>
    <w:p w14:paraId="62414B0F" w14:textId="77777777" w:rsidR="005F43F3" w:rsidRPr="003478AF" w:rsidRDefault="005F43F3" w:rsidP="005F43F3">
      <w:pPr>
        <w:rPr>
          <w:rFonts w:eastAsia="Arial" w:cs="Arial"/>
          <w:szCs w:val="20"/>
        </w:rPr>
      </w:pPr>
    </w:p>
    <w:p w14:paraId="73566AA4" w14:textId="48667BB8" w:rsidR="00EA1321" w:rsidRPr="003478AF" w:rsidRDefault="00EA1321" w:rsidP="00EA1321">
      <w:pPr>
        <w:pStyle w:val="Legenda"/>
        <w:keepNext/>
      </w:pPr>
      <w:r w:rsidRPr="003478AF">
        <w:t>Tab</w:t>
      </w:r>
      <w:r w:rsidR="005D34A6" w:rsidRPr="003478AF">
        <w:t>.</w:t>
      </w:r>
      <w:r w:rsidRPr="003478AF">
        <w:t xml:space="preserve"> </w:t>
      </w:r>
      <w:r w:rsidR="00863BE9" w:rsidRPr="003478AF">
        <w:rPr>
          <w:noProof/>
        </w:rPr>
        <w:t>8.1</w:t>
      </w:r>
      <w:r w:rsidR="00863BE9" w:rsidRPr="003478AF">
        <w:t xml:space="preserve"> </w:t>
      </w:r>
      <w:r w:rsidRPr="003478AF">
        <w:t>Wskaźniki GOZ na poziomie europejskim</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705"/>
        <w:gridCol w:w="4960"/>
        <w:gridCol w:w="2602"/>
      </w:tblGrid>
      <w:tr w:rsidR="00EA1321" w:rsidRPr="003478AF" w14:paraId="2B45A615" w14:textId="77777777" w:rsidTr="001B0CB3">
        <w:trPr>
          <w:trHeight w:val="283"/>
          <w:tblHeader/>
          <w:jc w:val="center"/>
        </w:trPr>
        <w:tc>
          <w:tcPr>
            <w:tcW w:w="426" w:type="pct"/>
            <w:shd w:val="clear" w:color="auto" w:fill="CCA879"/>
            <w:vAlign w:val="center"/>
          </w:tcPr>
          <w:p w14:paraId="315E67BA" w14:textId="77777777" w:rsidR="00EA1321" w:rsidRPr="003478AF" w:rsidRDefault="00EA1321" w:rsidP="00532CE7">
            <w:pPr>
              <w:spacing w:line="240" w:lineRule="auto"/>
              <w:ind w:firstLine="0"/>
              <w:jc w:val="center"/>
              <w:rPr>
                <w:rFonts w:eastAsia="Times New Roman" w:cs="Arial"/>
                <w:b/>
                <w:bCs/>
                <w:sz w:val="18"/>
                <w:szCs w:val="18"/>
                <w:lang w:eastAsia="pl-PL"/>
              </w:rPr>
            </w:pPr>
            <w:r w:rsidRPr="003478AF">
              <w:rPr>
                <w:rFonts w:eastAsia="Times New Roman" w:cs="Arial"/>
                <w:b/>
                <w:bCs/>
                <w:sz w:val="18"/>
                <w:szCs w:val="18"/>
                <w:lang w:eastAsia="pl-PL"/>
              </w:rPr>
              <w:t>Lp.</w:t>
            </w:r>
          </w:p>
        </w:tc>
        <w:tc>
          <w:tcPr>
            <w:tcW w:w="3000" w:type="pct"/>
            <w:shd w:val="clear" w:color="auto" w:fill="CCA879"/>
            <w:tcMar>
              <w:top w:w="30" w:type="dxa"/>
              <w:left w:w="45" w:type="dxa"/>
              <w:bottom w:w="30" w:type="dxa"/>
              <w:right w:w="45" w:type="dxa"/>
            </w:tcMar>
            <w:vAlign w:val="center"/>
          </w:tcPr>
          <w:p w14:paraId="0DBE07CA" w14:textId="77777777" w:rsidR="00EA1321" w:rsidRPr="003478AF" w:rsidRDefault="00EA1321" w:rsidP="00532CE7">
            <w:pPr>
              <w:spacing w:line="240" w:lineRule="auto"/>
              <w:ind w:firstLine="0"/>
              <w:jc w:val="center"/>
              <w:rPr>
                <w:rFonts w:eastAsia="Times New Roman" w:cs="Arial"/>
                <w:b/>
                <w:bCs/>
                <w:sz w:val="18"/>
                <w:szCs w:val="18"/>
                <w:lang w:eastAsia="pl-PL"/>
              </w:rPr>
            </w:pPr>
            <w:r w:rsidRPr="003478AF">
              <w:rPr>
                <w:rFonts w:eastAsia="Times New Roman" w:cs="Arial"/>
                <w:b/>
                <w:bCs/>
                <w:sz w:val="18"/>
                <w:szCs w:val="18"/>
                <w:lang w:eastAsia="pl-PL"/>
              </w:rPr>
              <w:t>Wskaźnik</w:t>
            </w:r>
          </w:p>
        </w:tc>
        <w:tc>
          <w:tcPr>
            <w:tcW w:w="1574" w:type="pct"/>
            <w:shd w:val="clear" w:color="auto" w:fill="CCA879"/>
            <w:tcMar>
              <w:top w:w="30" w:type="dxa"/>
              <w:left w:w="45" w:type="dxa"/>
              <w:bottom w:w="30" w:type="dxa"/>
              <w:right w:w="45" w:type="dxa"/>
            </w:tcMar>
            <w:vAlign w:val="center"/>
          </w:tcPr>
          <w:p w14:paraId="4E3D9338" w14:textId="303170D4" w:rsidR="00EA1321" w:rsidRPr="003478AF" w:rsidRDefault="00EA1321" w:rsidP="00532CE7">
            <w:pPr>
              <w:spacing w:line="240" w:lineRule="auto"/>
              <w:ind w:firstLine="0"/>
              <w:jc w:val="center"/>
              <w:rPr>
                <w:rFonts w:eastAsia="Times New Roman" w:cs="Arial"/>
                <w:b/>
                <w:bCs/>
                <w:sz w:val="18"/>
                <w:szCs w:val="18"/>
                <w:lang w:eastAsia="pl-PL"/>
              </w:rPr>
            </w:pPr>
            <w:r w:rsidRPr="003478AF">
              <w:rPr>
                <w:rFonts w:eastAsia="Times New Roman" w:cs="Arial"/>
                <w:b/>
                <w:bCs/>
                <w:sz w:val="18"/>
                <w:szCs w:val="18"/>
                <w:lang w:eastAsia="pl-PL"/>
              </w:rPr>
              <w:t xml:space="preserve">Jednostka miary </w:t>
            </w:r>
            <w:r w:rsidR="002A4150" w:rsidRPr="003478AF">
              <w:rPr>
                <w:rFonts w:eastAsia="Times New Roman" w:cs="Arial"/>
                <w:b/>
                <w:bCs/>
                <w:sz w:val="18"/>
                <w:szCs w:val="18"/>
                <w:lang w:eastAsia="pl-PL"/>
              </w:rPr>
              <w:br/>
            </w:r>
            <w:r w:rsidRPr="003478AF">
              <w:rPr>
                <w:rFonts w:eastAsia="Times New Roman" w:cs="Arial"/>
                <w:b/>
                <w:bCs/>
                <w:sz w:val="18"/>
                <w:szCs w:val="18"/>
                <w:lang w:eastAsia="pl-PL"/>
              </w:rPr>
              <w:t>(wartość, rok)</w:t>
            </w:r>
          </w:p>
        </w:tc>
      </w:tr>
      <w:tr w:rsidR="00EA1321" w:rsidRPr="003478AF" w14:paraId="6E902B7F" w14:textId="77777777" w:rsidTr="001B0CB3">
        <w:trPr>
          <w:trHeight w:val="283"/>
          <w:jc w:val="center"/>
        </w:trPr>
        <w:tc>
          <w:tcPr>
            <w:tcW w:w="426" w:type="pct"/>
            <w:shd w:val="clear" w:color="auto" w:fill="auto"/>
            <w:vAlign w:val="center"/>
          </w:tcPr>
          <w:p w14:paraId="2A014C32" w14:textId="77777777" w:rsidR="00EA1321" w:rsidRPr="003478AF" w:rsidRDefault="00EA1321" w:rsidP="00532CE7">
            <w:pPr>
              <w:spacing w:line="240" w:lineRule="auto"/>
              <w:ind w:firstLine="0"/>
              <w:jc w:val="center"/>
              <w:rPr>
                <w:rFonts w:cs="Arial"/>
                <w:sz w:val="18"/>
                <w:szCs w:val="18"/>
              </w:rPr>
            </w:pPr>
            <w:r w:rsidRPr="003478AF">
              <w:rPr>
                <w:rFonts w:cs="Arial"/>
                <w:sz w:val="18"/>
                <w:szCs w:val="18"/>
              </w:rPr>
              <w:t>1</w:t>
            </w:r>
          </w:p>
        </w:tc>
        <w:tc>
          <w:tcPr>
            <w:tcW w:w="3000" w:type="pct"/>
            <w:shd w:val="clear" w:color="auto" w:fill="auto"/>
            <w:tcMar>
              <w:top w:w="30" w:type="dxa"/>
              <w:left w:w="45" w:type="dxa"/>
              <w:bottom w:w="30" w:type="dxa"/>
              <w:right w:w="45" w:type="dxa"/>
            </w:tcMar>
            <w:vAlign w:val="center"/>
          </w:tcPr>
          <w:p w14:paraId="0ED4E878" w14:textId="77777777" w:rsidR="00EA1321" w:rsidRPr="003478AF" w:rsidRDefault="00EA1321" w:rsidP="00532CE7">
            <w:pPr>
              <w:spacing w:line="240" w:lineRule="auto"/>
              <w:ind w:firstLine="0"/>
              <w:jc w:val="left"/>
              <w:rPr>
                <w:rFonts w:eastAsia="Times New Roman" w:cs="Arial"/>
                <w:sz w:val="18"/>
                <w:szCs w:val="18"/>
                <w:lang w:eastAsia="pl-PL"/>
              </w:rPr>
            </w:pPr>
            <w:r w:rsidRPr="003478AF">
              <w:rPr>
                <w:rFonts w:cs="Arial"/>
                <w:sz w:val="18"/>
                <w:szCs w:val="18"/>
              </w:rPr>
              <w:t>Samowystarczalność surowców do produkcji w UE</w:t>
            </w:r>
          </w:p>
        </w:tc>
        <w:tc>
          <w:tcPr>
            <w:tcW w:w="1574" w:type="pct"/>
            <w:shd w:val="clear" w:color="auto" w:fill="auto"/>
            <w:tcMar>
              <w:top w:w="30" w:type="dxa"/>
              <w:left w:w="45" w:type="dxa"/>
              <w:bottom w:w="30" w:type="dxa"/>
              <w:right w:w="45" w:type="dxa"/>
            </w:tcMar>
            <w:vAlign w:val="center"/>
          </w:tcPr>
          <w:p w14:paraId="18E6EFF4" w14:textId="77777777" w:rsidR="00EA1321" w:rsidRPr="003478AF" w:rsidRDefault="00EA1321" w:rsidP="004C3B0B">
            <w:pPr>
              <w:spacing w:line="240" w:lineRule="auto"/>
              <w:ind w:firstLine="0"/>
              <w:jc w:val="center"/>
              <w:rPr>
                <w:rFonts w:eastAsia="Times New Roman" w:cs="Arial"/>
                <w:sz w:val="18"/>
                <w:szCs w:val="18"/>
                <w:lang w:eastAsia="pl-PL"/>
              </w:rPr>
            </w:pPr>
            <w:r w:rsidRPr="003478AF">
              <w:rPr>
                <w:rFonts w:eastAsia="Times New Roman" w:cs="Arial"/>
                <w:sz w:val="18"/>
                <w:szCs w:val="18"/>
                <w:lang w:eastAsia="pl-PL"/>
              </w:rPr>
              <w:t>%</w:t>
            </w:r>
          </w:p>
        </w:tc>
      </w:tr>
      <w:tr w:rsidR="00EA1321" w:rsidRPr="003478AF" w14:paraId="0775E858" w14:textId="77777777" w:rsidTr="001B0CB3">
        <w:trPr>
          <w:trHeight w:val="283"/>
          <w:jc w:val="center"/>
        </w:trPr>
        <w:tc>
          <w:tcPr>
            <w:tcW w:w="426" w:type="pct"/>
            <w:shd w:val="clear" w:color="auto" w:fill="auto"/>
            <w:vAlign w:val="center"/>
          </w:tcPr>
          <w:p w14:paraId="2BE18865" w14:textId="77777777" w:rsidR="00EA1321" w:rsidRPr="003478AF" w:rsidRDefault="00EA1321" w:rsidP="00532CE7">
            <w:pPr>
              <w:spacing w:line="240" w:lineRule="auto"/>
              <w:ind w:firstLine="0"/>
              <w:jc w:val="center"/>
              <w:rPr>
                <w:rFonts w:eastAsia="Times New Roman" w:cs="Arial"/>
                <w:sz w:val="18"/>
                <w:szCs w:val="18"/>
                <w:lang w:eastAsia="pl-PL"/>
              </w:rPr>
            </w:pPr>
            <w:r w:rsidRPr="003478AF">
              <w:rPr>
                <w:rFonts w:eastAsia="Times New Roman" w:cs="Arial"/>
                <w:sz w:val="18"/>
                <w:szCs w:val="18"/>
                <w:lang w:eastAsia="pl-PL"/>
              </w:rPr>
              <w:t>2</w:t>
            </w:r>
          </w:p>
        </w:tc>
        <w:tc>
          <w:tcPr>
            <w:tcW w:w="3000" w:type="pct"/>
            <w:shd w:val="clear" w:color="auto" w:fill="auto"/>
            <w:tcMar>
              <w:top w:w="30" w:type="dxa"/>
              <w:left w:w="45" w:type="dxa"/>
              <w:bottom w:w="30" w:type="dxa"/>
              <w:right w:w="45" w:type="dxa"/>
            </w:tcMar>
            <w:vAlign w:val="center"/>
          </w:tcPr>
          <w:p w14:paraId="063A5BD8" w14:textId="77777777" w:rsidR="00EA1321" w:rsidRPr="003478AF" w:rsidRDefault="00EA1321" w:rsidP="00532CE7">
            <w:pPr>
              <w:spacing w:line="240" w:lineRule="auto"/>
              <w:ind w:firstLine="0"/>
              <w:jc w:val="left"/>
              <w:rPr>
                <w:rFonts w:eastAsia="Times New Roman" w:cs="Arial"/>
                <w:sz w:val="18"/>
                <w:szCs w:val="18"/>
                <w:lang w:eastAsia="pl-PL"/>
              </w:rPr>
            </w:pPr>
            <w:r w:rsidRPr="003478AF">
              <w:rPr>
                <w:rFonts w:eastAsia="Times New Roman" w:cs="Arial"/>
                <w:sz w:val="18"/>
                <w:szCs w:val="18"/>
                <w:lang w:eastAsia="pl-PL"/>
              </w:rPr>
              <w:t>Zielone zamówienia publiczne</w:t>
            </w:r>
          </w:p>
        </w:tc>
        <w:tc>
          <w:tcPr>
            <w:tcW w:w="1574" w:type="pct"/>
            <w:shd w:val="clear" w:color="auto" w:fill="auto"/>
            <w:tcMar>
              <w:top w:w="30" w:type="dxa"/>
              <w:left w:w="45" w:type="dxa"/>
              <w:bottom w:w="30" w:type="dxa"/>
              <w:right w:w="45" w:type="dxa"/>
            </w:tcMar>
            <w:vAlign w:val="center"/>
          </w:tcPr>
          <w:p w14:paraId="07E21615" w14:textId="0D2A6AAE" w:rsidR="00EA1321" w:rsidRPr="003478AF" w:rsidRDefault="00E659F0" w:rsidP="00E659F0">
            <w:pPr>
              <w:spacing w:line="240" w:lineRule="auto"/>
              <w:ind w:firstLine="0"/>
              <w:jc w:val="center"/>
              <w:rPr>
                <w:rFonts w:eastAsia="Times New Roman" w:cs="Arial"/>
                <w:sz w:val="18"/>
                <w:szCs w:val="18"/>
                <w:lang w:eastAsia="pl-PL"/>
              </w:rPr>
            </w:pPr>
            <w:r w:rsidRPr="003478AF">
              <w:rPr>
                <w:rFonts w:eastAsia="Times New Roman" w:cs="Arial"/>
                <w:sz w:val="18"/>
                <w:szCs w:val="18"/>
                <w:lang w:eastAsia="pl-PL"/>
              </w:rPr>
              <w:t>szt.</w:t>
            </w:r>
          </w:p>
        </w:tc>
      </w:tr>
      <w:tr w:rsidR="00EA1321" w:rsidRPr="003478AF" w14:paraId="0E76479D" w14:textId="77777777" w:rsidTr="001B0CB3">
        <w:trPr>
          <w:trHeight w:val="283"/>
          <w:jc w:val="center"/>
        </w:trPr>
        <w:tc>
          <w:tcPr>
            <w:tcW w:w="426" w:type="pct"/>
            <w:shd w:val="clear" w:color="auto" w:fill="auto"/>
            <w:vAlign w:val="center"/>
          </w:tcPr>
          <w:p w14:paraId="515F1ABC" w14:textId="77777777" w:rsidR="00EA1321" w:rsidRPr="003478AF" w:rsidRDefault="00EA1321" w:rsidP="00532CE7">
            <w:pPr>
              <w:spacing w:line="240" w:lineRule="auto"/>
              <w:ind w:firstLine="0"/>
              <w:jc w:val="center"/>
              <w:rPr>
                <w:rFonts w:eastAsia="Times New Roman" w:cs="Arial"/>
                <w:sz w:val="18"/>
                <w:szCs w:val="18"/>
                <w:lang w:eastAsia="pl-PL"/>
              </w:rPr>
            </w:pPr>
            <w:r w:rsidRPr="003478AF">
              <w:rPr>
                <w:rFonts w:eastAsia="Times New Roman" w:cs="Arial"/>
                <w:sz w:val="18"/>
                <w:szCs w:val="18"/>
                <w:lang w:eastAsia="pl-PL"/>
              </w:rPr>
              <w:t>3</w:t>
            </w:r>
          </w:p>
        </w:tc>
        <w:tc>
          <w:tcPr>
            <w:tcW w:w="3000" w:type="pct"/>
            <w:shd w:val="clear" w:color="auto" w:fill="auto"/>
            <w:tcMar>
              <w:top w:w="30" w:type="dxa"/>
              <w:left w:w="45" w:type="dxa"/>
              <w:bottom w:w="30" w:type="dxa"/>
              <w:right w:w="45" w:type="dxa"/>
            </w:tcMar>
            <w:vAlign w:val="center"/>
            <w:hideMark/>
          </w:tcPr>
          <w:p w14:paraId="489182ED" w14:textId="2F54D19C" w:rsidR="00EA1321" w:rsidRPr="003478AF" w:rsidRDefault="00EA1321" w:rsidP="00532CE7">
            <w:pPr>
              <w:spacing w:line="240" w:lineRule="auto"/>
              <w:ind w:firstLine="0"/>
              <w:jc w:val="left"/>
              <w:rPr>
                <w:rFonts w:eastAsia="Times New Roman" w:cs="Arial"/>
                <w:sz w:val="18"/>
                <w:szCs w:val="18"/>
                <w:lang w:eastAsia="pl-PL"/>
              </w:rPr>
            </w:pPr>
            <w:r w:rsidRPr="003478AF">
              <w:rPr>
                <w:rFonts w:eastAsia="Times New Roman" w:cs="Arial"/>
                <w:sz w:val="18"/>
                <w:szCs w:val="18"/>
                <w:lang w:eastAsia="pl-PL"/>
              </w:rPr>
              <w:t>Wytwarzanie odpadów</w:t>
            </w:r>
          </w:p>
        </w:tc>
        <w:tc>
          <w:tcPr>
            <w:tcW w:w="1574" w:type="pct"/>
            <w:shd w:val="clear" w:color="auto" w:fill="auto"/>
            <w:tcMar>
              <w:top w:w="30" w:type="dxa"/>
              <w:left w:w="45" w:type="dxa"/>
              <w:bottom w:w="30" w:type="dxa"/>
              <w:right w:w="45" w:type="dxa"/>
            </w:tcMar>
            <w:vAlign w:val="center"/>
            <w:hideMark/>
          </w:tcPr>
          <w:p w14:paraId="115895C4" w14:textId="0D3270A1" w:rsidR="00EA1321" w:rsidRPr="003478AF" w:rsidRDefault="00805E8E" w:rsidP="004C3B0B">
            <w:pPr>
              <w:spacing w:line="240" w:lineRule="auto"/>
              <w:ind w:firstLine="0"/>
              <w:jc w:val="center"/>
              <w:rPr>
                <w:rFonts w:eastAsia="Times New Roman" w:cs="Arial"/>
                <w:sz w:val="18"/>
                <w:szCs w:val="18"/>
                <w:lang w:eastAsia="pl-PL"/>
              </w:rPr>
            </w:pPr>
            <w:r w:rsidRPr="003478AF">
              <w:rPr>
                <w:rFonts w:eastAsia="Times New Roman" w:cs="Arial"/>
                <w:sz w:val="18"/>
                <w:szCs w:val="18"/>
                <w:lang w:eastAsia="pl-PL"/>
              </w:rPr>
              <w:t>k</w:t>
            </w:r>
            <w:r w:rsidR="00EA1321" w:rsidRPr="003478AF">
              <w:rPr>
                <w:rFonts w:eastAsia="Times New Roman" w:cs="Arial"/>
                <w:sz w:val="18"/>
                <w:szCs w:val="18"/>
                <w:lang w:eastAsia="pl-PL"/>
              </w:rPr>
              <w:t>g</w:t>
            </w:r>
            <w:r w:rsidRPr="003478AF">
              <w:rPr>
                <w:rFonts w:eastAsia="Times New Roman" w:cs="Arial"/>
                <w:sz w:val="18"/>
                <w:szCs w:val="18"/>
                <w:lang w:eastAsia="pl-PL"/>
              </w:rPr>
              <w:t>/</w:t>
            </w:r>
            <w:r w:rsidR="00EA1321" w:rsidRPr="003478AF">
              <w:rPr>
                <w:rFonts w:eastAsia="Times New Roman" w:cs="Arial"/>
                <w:sz w:val="18"/>
                <w:szCs w:val="18"/>
                <w:lang w:eastAsia="pl-PL"/>
              </w:rPr>
              <w:t>osobę</w:t>
            </w:r>
          </w:p>
        </w:tc>
      </w:tr>
      <w:tr w:rsidR="00EA1321" w:rsidRPr="003478AF" w14:paraId="7D7F4A0D" w14:textId="77777777" w:rsidTr="001B0CB3">
        <w:trPr>
          <w:trHeight w:val="283"/>
          <w:jc w:val="center"/>
        </w:trPr>
        <w:tc>
          <w:tcPr>
            <w:tcW w:w="426" w:type="pct"/>
            <w:shd w:val="clear" w:color="auto" w:fill="auto"/>
            <w:vAlign w:val="center"/>
          </w:tcPr>
          <w:p w14:paraId="6AA6097B" w14:textId="77777777" w:rsidR="00EA1321" w:rsidRPr="003478AF" w:rsidRDefault="00EA1321" w:rsidP="00532CE7">
            <w:pPr>
              <w:spacing w:line="240" w:lineRule="auto"/>
              <w:ind w:firstLine="0"/>
              <w:jc w:val="center"/>
              <w:rPr>
                <w:rFonts w:eastAsia="Times New Roman" w:cs="Arial"/>
                <w:sz w:val="18"/>
                <w:szCs w:val="18"/>
                <w:lang w:eastAsia="pl-PL"/>
              </w:rPr>
            </w:pPr>
            <w:r w:rsidRPr="003478AF">
              <w:rPr>
                <w:rFonts w:eastAsia="Times New Roman" w:cs="Arial"/>
                <w:sz w:val="18"/>
                <w:szCs w:val="18"/>
                <w:lang w:eastAsia="pl-PL"/>
              </w:rPr>
              <w:t>4</w:t>
            </w:r>
          </w:p>
        </w:tc>
        <w:tc>
          <w:tcPr>
            <w:tcW w:w="3000" w:type="pct"/>
            <w:shd w:val="clear" w:color="auto" w:fill="auto"/>
            <w:tcMar>
              <w:top w:w="30" w:type="dxa"/>
              <w:left w:w="45" w:type="dxa"/>
              <w:bottom w:w="30" w:type="dxa"/>
              <w:right w:w="45" w:type="dxa"/>
            </w:tcMar>
            <w:vAlign w:val="center"/>
            <w:hideMark/>
          </w:tcPr>
          <w:p w14:paraId="7EC69D67" w14:textId="5C424E66" w:rsidR="00EA1321" w:rsidRPr="003478AF" w:rsidRDefault="00EA1321" w:rsidP="00532CE7">
            <w:pPr>
              <w:spacing w:line="240" w:lineRule="auto"/>
              <w:ind w:firstLine="0"/>
              <w:jc w:val="left"/>
              <w:rPr>
                <w:rFonts w:eastAsia="Times New Roman" w:cs="Arial"/>
                <w:sz w:val="18"/>
                <w:szCs w:val="18"/>
                <w:lang w:eastAsia="pl-PL"/>
              </w:rPr>
            </w:pPr>
            <w:r w:rsidRPr="003478AF">
              <w:rPr>
                <w:rFonts w:eastAsia="Times New Roman" w:cs="Arial"/>
                <w:sz w:val="18"/>
                <w:szCs w:val="18"/>
                <w:lang w:eastAsia="pl-PL"/>
              </w:rPr>
              <w:t xml:space="preserve">Wytwarzanie odpadów </w:t>
            </w:r>
            <w:r w:rsidR="00937BC9" w:rsidRPr="003478AF">
              <w:rPr>
                <w:rFonts w:eastAsia="Times New Roman" w:cs="Arial"/>
                <w:sz w:val="18"/>
                <w:szCs w:val="18"/>
                <w:lang w:eastAsia="pl-PL"/>
              </w:rPr>
              <w:t>(</w:t>
            </w:r>
            <w:r w:rsidRPr="003478AF">
              <w:rPr>
                <w:rFonts w:eastAsia="Times New Roman" w:cs="Arial"/>
                <w:sz w:val="18"/>
                <w:szCs w:val="18"/>
                <w:lang w:eastAsia="pl-PL"/>
              </w:rPr>
              <w:t>z wyłączeniem głównych odpadów mineralnych</w:t>
            </w:r>
            <w:r w:rsidR="00937BC9" w:rsidRPr="003478AF">
              <w:rPr>
                <w:rFonts w:eastAsia="Times New Roman" w:cs="Arial"/>
                <w:sz w:val="18"/>
                <w:szCs w:val="18"/>
                <w:lang w:eastAsia="pl-PL"/>
              </w:rPr>
              <w:t>)</w:t>
            </w:r>
            <w:r w:rsidRPr="003478AF">
              <w:rPr>
                <w:rFonts w:eastAsia="Times New Roman" w:cs="Arial"/>
                <w:sz w:val="18"/>
                <w:szCs w:val="18"/>
                <w:lang w:eastAsia="pl-PL"/>
              </w:rPr>
              <w:t xml:space="preserve"> na jednostkę PKB</w:t>
            </w:r>
          </w:p>
        </w:tc>
        <w:tc>
          <w:tcPr>
            <w:tcW w:w="1574" w:type="pct"/>
            <w:shd w:val="clear" w:color="auto" w:fill="auto"/>
            <w:tcMar>
              <w:top w:w="30" w:type="dxa"/>
              <w:left w:w="45" w:type="dxa"/>
              <w:bottom w:w="30" w:type="dxa"/>
              <w:right w:w="45" w:type="dxa"/>
            </w:tcMar>
            <w:vAlign w:val="center"/>
            <w:hideMark/>
          </w:tcPr>
          <w:p w14:paraId="249183F0" w14:textId="4606CC94" w:rsidR="00EA1321" w:rsidRPr="003478AF" w:rsidRDefault="00805E8E" w:rsidP="004C3B0B">
            <w:pPr>
              <w:spacing w:line="240" w:lineRule="auto"/>
              <w:ind w:firstLine="0"/>
              <w:jc w:val="center"/>
              <w:rPr>
                <w:rFonts w:eastAsia="Times New Roman" w:cs="Arial"/>
                <w:sz w:val="18"/>
                <w:szCs w:val="18"/>
                <w:lang w:eastAsia="pl-PL"/>
              </w:rPr>
            </w:pPr>
            <w:r w:rsidRPr="003478AF">
              <w:rPr>
                <w:rFonts w:eastAsia="Times New Roman" w:cs="Arial"/>
                <w:sz w:val="18"/>
                <w:szCs w:val="18"/>
                <w:lang w:eastAsia="pl-PL"/>
              </w:rPr>
              <w:t>k</w:t>
            </w:r>
            <w:r w:rsidR="00EA1321" w:rsidRPr="003478AF">
              <w:rPr>
                <w:rFonts w:eastAsia="Times New Roman" w:cs="Arial"/>
                <w:sz w:val="18"/>
                <w:szCs w:val="18"/>
                <w:lang w:eastAsia="pl-PL"/>
              </w:rPr>
              <w:t>g</w:t>
            </w:r>
            <w:r w:rsidRPr="003478AF">
              <w:rPr>
                <w:rFonts w:eastAsia="Times New Roman" w:cs="Arial"/>
                <w:sz w:val="18"/>
                <w:szCs w:val="18"/>
                <w:lang w:eastAsia="pl-PL"/>
              </w:rPr>
              <w:t>/zł</w:t>
            </w:r>
          </w:p>
        </w:tc>
      </w:tr>
      <w:tr w:rsidR="00EA1321" w:rsidRPr="003478AF" w14:paraId="05CF5D99" w14:textId="77777777" w:rsidTr="001B0CB3">
        <w:trPr>
          <w:trHeight w:val="283"/>
          <w:jc w:val="center"/>
        </w:trPr>
        <w:tc>
          <w:tcPr>
            <w:tcW w:w="426" w:type="pct"/>
            <w:shd w:val="clear" w:color="auto" w:fill="auto"/>
            <w:vAlign w:val="center"/>
          </w:tcPr>
          <w:p w14:paraId="1748D9F3" w14:textId="77777777" w:rsidR="00EA1321" w:rsidRPr="003478AF" w:rsidRDefault="00EA1321" w:rsidP="00532CE7">
            <w:pPr>
              <w:spacing w:line="240" w:lineRule="auto"/>
              <w:ind w:firstLine="0"/>
              <w:jc w:val="center"/>
              <w:rPr>
                <w:rFonts w:eastAsia="Times New Roman" w:cs="Arial"/>
                <w:sz w:val="18"/>
                <w:szCs w:val="18"/>
                <w:lang w:eastAsia="pl-PL"/>
              </w:rPr>
            </w:pPr>
            <w:r w:rsidRPr="003478AF">
              <w:rPr>
                <w:rFonts w:eastAsia="Times New Roman" w:cs="Arial"/>
                <w:sz w:val="18"/>
                <w:szCs w:val="18"/>
                <w:lang w:eastAsia="pl-PL"/>
              </w:rPr>
              <w:t>5</w:t>
            </w:r>
          </w:p>
        </w:tc>
        <w:tc>
          <w:tcPr>
            <w:tcW w:w="3000" w:type="pct"/>
            <w:shd w:val="clear" w:color="auto" w:fill="auto"/>
            <w:tcMar>
              <w:top w:w="30" w:type="dxa"/>
              <w:left w:w="45" w:type="dxa"/>
              <w:bottom w:w="30" w:type="dxa"/>
              <w:right w:w="45" w:type="dxa"/>
            </w:tcMar>
            <w:vAlign w:val="center"/>
            <w:hideMark/>
          </w:tcPr>
          <w:p w14:paraId="60DDF141" w14:textId="3614F865" w:rsidR="00EA1321" w:rsidRPr="003478AF" w:rsidRDefault="00EA1321" w:rsidP="00532CE7">
            <w:pPr>
              <w:spacing w:line="240" w:lineRule="auto"/>
              <w:ind w:firstLine="0"/>
              <w:jc w:val="left"/>
              <w:rPr>
                <w:rFonts w:eastAsia="Times New Roman" w:cs="Arial"/>
                <w:sz w:val="18"/>
                <w:szCs w:val="18"/>
                <w:lang w:eastAsia="pl-PL"/>
              </w:rPr>
            </w:pPr>
            <w:r w:rsidRPr="003478AF">
              <w:rPr>
                <w:rFonts w:eastAsia="Times New Roman" w:cs="Arial"/>
                <w:sz w:val="18"/>
                <w:szCs w:val="18"/>
                <w:lang w:eastAsia="pl-PL"/>
              </w:rPr>
              <w:t xml:space="preserve">Wytwarzanie odpadów </w:t>
            </w:r>
            <w:r w:rsidR="00937BC9" w:rsidRPr="003478AF">
              <w:rPr>
                <w:rFonts w:eastAsia="Times New Roman" w:cs="Arial"/>
                <w:sz w:val="18"/>
                <w:szCs w:val="18"/>
                <w:lang w:eastAsia="pl-PL"/>
              </w:rPr>
              <w:t>(</w:t>
            </w:r>
            <w:r w:rsidRPr="003478AF">
              <w:rPr>
                <w:rFonts w:eastAsia="Times New Roman" w:cs="Arial"/>
                <w:sz w:val="18"/>
                <w:szCs w:val="18"/>
                <w:lang w:eastAsia="pl-PL"/>
              </w:rPr>
              <w:t>z wyłączeniem głównych odpadów mineralnych</w:t>
            </w:r>
            <w:r w:rsidR="00937BC9" w:rsidRPr="003478AF">
              <w:rPr>
                <w:rFonts w:eastAsia="Times New Roman" w:cs="Arial"/>
                <w:sz w:val="18"/>
                <w:szCs w:val="18"/>
                <w:lang w:eastAsia="pl-PL"/>
              </w:rPr>
              <w:t>)</w:t>
            </w:r>
            <w:r w:rsidRPr="003478AF">
              <w:rPr>
                <w:rFonts w:eastAsia="Times New Roman" w:cs="Arial"/>
                <w:sz w:val="18"/>
                <w:szCs w:val="18"/>
                <w:lang w:eastAsia="pl-PL"/>
              </w:rPr>
              <w:t xml:space="preserve"> w przeliczeniu na domowe zużycie materiałów</w:t>
            </w:r>
          </w:p>
        </w:tc>
        <w:tc>
          <w:tcPr>
            <w:tcW w:w="1574" w:type="pct"/>
            <w:shd w:val="clear" w:color="auto" w:fill="auto"/>
            <w:tcMar>
              <w:top w:w="30" w:type="dxa"/>
              <w:left w:w="45" w:type="dxa"/>
              <w:bottom w:w="30" w:type="dxa"/>
              <w:right w:w="45" w:type="dxa"/>
            </w:tcMar>
            <w:vAlign w:val="center"/>
            <w:hideMark/>
          </w:tcPr>
          <w:p w14:paraId="3D7D2A5F" w14:textId="77777777" w:rsidR="00EA1321" w:rsidRPr="003478AF" w:rsidRDefault="00EA1321" w:rsidP="004C3B0B">
            <w:pPr>
              <w:spacing w:line="240" w:lineRule="auto"/>
              <w:ind w:firstLine="0"/>
              <w:jc w:val="center"/>
              <w:rPr>
                <w:rFonts w:eastAsia="Times New Roman" w:cs="Arial"/>
                <w:sz w:val="18"/>
                <w:szCs w:val="18"/>
                <w:lang w:eastAsia="pl-PL"/>
              </w:rPr>
            </w:pPr>
            <w:r w:rsidRPr="003478AF">
              <w:rPr>
                <w:rFonts w:eastAsia="Times New Roman" w:cs="Arial"/>
                <w:sz w:val="18"/>
                <w:szCs w:val="18"/>
                <w:lang w:eastAsia="pl-PL"/>
              </w:rPr>
              <w:t>%</w:t>
            </w:r>
          </w:p>
        </w:tc>
      </w:tr>
      <w:tr w:rsidR="00EA1321" w:rsidRPr="003478AF" w14:paraId="436569E0" w14:textId="77777777" w:rsidTr="001B0CB3">
        <w:trPr>
          <w:trHeight w:val="283"/>
          <w:jc w:val="center"/>
        </w:trPr>
        <w:tc>
          <w:tcPr>
            <w:tcW w:w="426" w:type="pct"/>
            <w:shd w:val="clear" w:color="auto" w:fill="auto"/>
            <w:vAlign w:val="center"/>
          </w:tcPr>
          <w:p w14:paraId="7F467D50" w14:textId="77777777" w:rsidR="00EA1321" w:rsidRPr="003478AF" w:rsidRDefault="00EA1321" w:rsidP="00532CE7">
            <w:pPr>
              <w:spacing w:line="240" w:lineRule="auto"/>
              <w:ind w:firstLine="0"/>
              <w:jc w:val="center"/>
              <w:rPr>
                <w:rFonts w:eastAsia="Times New Roman" w:cs="Arial"/>
                <w:sz w:val="18"/>
                <w:szCs w:val="18"/>
                <w:lang w:eastAsia="pl-PL"/>
              </w:rPr>
            </w:pPr>
            <w:r w:rsidRPr="003478AF">
              <w:rPr>
                <w:rFonts w:eastAsia="Times New Roman" w:cs="Arial"/>
                <w:sz w:val="18"/>
                <w:szCs w:val="18"/>
                <w:lang w:eastAsia="pl-PL"/>
              </w:rPr>
              <w:t>6</w:t>
            </w:r>
          </w:p>
        </w:tc>
        <w:tc>
          <w:tcPr>
            <w:tcW w:w="3000" w:type="pct"/>
            <w:shd w:val="clear" w:color="auto" w:fill="auto"/>
            <w:tcMar>
              <w:top w:w="30" w:type="dxa"/>
              <w:left w:w="45" w:type="dxa"/>
              <w:bottom w:w="30" w:type="dxa"/>
              <w:right w:w="45" w:type="dxa"/>
            </w:tcMar>
            <w:vAlign w:val="center"/>
            <w:hideMark/>
          </w:tcPr>
          <w:p w14:paraId="4E4251E2" w14:textId="77777777" w:rsidR="00EA1321" w:rsidRPr="003478AF" w:rsidRDefault="00EA1321" w:rsidP="00532CE7">
            <w:pPr>
              <w:spacing w:line="240" w:lineRule="auto"/>
              <w:ind w:firstLine="0"/>
              <w:jc w:val="left"/>
              <w:rPr>
                <w:rFonts w:eastAsia="Times New Roman" w:cs="Arial"/>
                <w:sz w:val="18"/>
                <w:szCs w:val="18"/>
                <w:lang w:eastAsia="pl-PL"/>
              </w:rPr>
            </w:pPr>
            <w:r w:rsidRPr="003478AF">
              <w:rPr>
                <w:rFonts w:eastAsia="Times New Roman" w:cs="Arial"/>
                <w:sz w:val="18"/>
                <w:szCs w:val="18"/>
                <w:lang w:eastAsia="pl-PL"/>
              </w:rPr>
              <w:t>Marnotrawienie żywności</w:t>
            </w:r>
          </w:p>
        </w:tc>
        <w:tc>
          <w:tcPr>
            <w:tcW w:w="1574" w:type="pct"/>
            <w:shd w:val="clear" w:color="auto" w:fill="auto"/>
            <w:tcMar>
              <w:top w:w="30" w:type="dxa"/>
              <w:left w:w="45" w:type="dxa"/>
              <w:bottom w:w="30" w:type="dxa"/>
              <w:right w:w="45" w:type="dxa"/>
            </w:tcMar>
            <w:vAlign w:val="center"/>
            <w:hideMark/>
          </w:tcPr>
          <w:p w14:paraId="614C33A0" w14:textId="7D066CD6" w:rsidR="00EA1321" w:rsidRPr="003478AF" w:rsidRDefault="00E659F0" w:rsidP="004C3B0B">
            <w:pPr>
              <w:spacing w:line="240" w:lineRule="auto"/>
              <w:ind w:firstLine="0"/>
              <w:jc w:val="center"/>
              <w:rPr>
                <w:rFonts w:eastAsia="Times New Roman" w:cs="Arial"/>
                <w:sz w:val="18"/>
                <w:szCs w:val="18"/>
                <w:lang w:eastAsia="pl-PL"/>
              </w:rPr>
            </w:pPr>
            <w:r w:rsidRPr="003478AF">
              <w:rPr>
                <w:rFonts w:eastAsia="Times New Roman" w:cs="Arial"/>
                <w:sz w:val="18"/>
                <w:szCs w:val="18"/>
                <w:lang w:eastAsia="pl-PL"/>
              </w:rPr>
              <w:t>t</w:t>
            </w:r>
          </w:p>
        </w:tc>
      </w:tr>
      <w:tr w:rsidR="00EA1321" w:rsidRPr="003478AF" w14:paraId="17145DDC" w14:textId="77777777" w:rsidTr="001B0CB3">
        <w:trPr>
          <w:trHeight w:val="283"/>
          <w:jc w:val="center"/>
        </w:trPr>
        <w:tc>
          <w:tcPr>
            <w:tcW w:w="426" w:type="pct"/>
            <w:shd w:val="clear" w:color="auto" w:fill="auto"/>
            <w:vAlign w:val="center"/>
          </w:tcPr>
          <w:p w14:paraId="249B8DAB" w14:textId="77777777" w:rsidR="00EA1321" w:rsidRPr="003478AF" w:rsidRDefault="00EA1321" w:rsidP="00532CE7">
            <w:pPr>
              <w:spacing w:line="240" w:lineRule="auto"/>
              <w:ind w:firstLine="0"/>
              <w:jc w:val="center"/>
              <w:rPr>
                <w:rFonts w:eastAsia="Times New Roman" w:cs="Arial"/>
                <w:sz w:val="18"/>
                <w:szCs w:val="18"/>
                <w:lang w:eastAsia="pl-PL"/>
              </w:rPr>
            </w:pPr>
            <w:r w:rsidRPr="003478AF">
              <w:rPr>
                <w:rFonts w:eastAsia="Times New Roman" w:cs="Arial"/>
                <w:sz w:val="18"/>
                <w:szCs w:val="18"/>
                <w:lang w:eastAsia="pl-PL"/>
              </w:rPr>
              <w:t>7</w:t>
            </w:r>
          </w:p>
        </w:tc>
        <w:tc>
          <w:tcPr>
            <w:tcW w:w="3000" w:type="pct"/>
            <w:shd w:val="clear" w:color="auto" w:fill="auto"/>
            <w:tcMar>
              <w:top w:w="30" w:type="dxa"/>
              <w:left w:w="45" w:type="dxa"/>
              <w:bottom w:w="30" w:type="dxa"/>
              <w:right w:w="45" w:type="dxa"/>
            </w:tcMar>
            <w:vAlign w:val="center"/>
            <w:hideMark/>
          </w:tcPr>
          <w:p w14:paraId="7E96A40C" w14:textId="77777777" w:rsidR="00EA1321" w:rsidRPr="003478AF" w:rsidRDefault="00EA1321" w:rsidP="00532CE7">
            <w:pPr>
              <w:spacing w:line="240" w:lineRule="auto"/>
              <w:ind w:firstLine="0"/>
              <w:jc w:val="left"/>
              <w:rPr>
                <w:rFonts w:eastAsia="Times New Roman" w:cs="Arial"/>
                <w:sz w:val="18"/>
                <w:szCs w:val="18"/>
                <w:lang w:eastAsia="pl-PL"/>
              </w:rPr>
            </w:pPr>
            <w:r w:rsidRPr="003478AF">
              <w:rPr>
                <w:rFonts w:eastAsia="Times New Roman" w:cs="Arial"/>
                <w:sz w:val="18"/>
                <w:szCs w:val="18"/>
                <w:lang w:eastAsia="pl-PL"/>
              </w:rPr>
              <w:t>Wskaźnik recyklingu odpadów komunalnych</w:t>
            </w:r>
          </w:p>
        </w:tc>
        <w:tc>
          <w:tcPr>
            <w:tcW w:w="1574" w:type="pct"/>
            <w:shd w:val="clear" w:color="auto" w:fill="auto"/>
            <w:tcMar>
              <w:top w:w="30" w:type="dxa"/>
              <w:left w:w="45" w:type="dxa"/>
              <w:bottom w:w="30" w:type="dxa"/>
              <w:right w:w="45" w:type="dxa"/>
            </w:tcMar>
            <w:vAlign w:val="center"/>
            <w:hideMark/>
          </w:tcPr>
          <w:p w14:paraId="742052C6" w14:textId="77777777" w:rsidR="00EA1321" w:rsidRPr="003478AF" w:rsidRDefault="00EA1321" w:rsidP="004C3B0B">
            <w:pPr>
              <w:spacing w:line="240" w:lineRule="auto"/>
              <w:ind w:firstLine="0"/>
              <w:jc w:val="center"/>
              <w:rPr>
                <w:rFonts w:eastAsia="Times New Roman" w:cs="Arial"/>
                <w:sz w:val="18"/>
                <w:szCs w:val="18"/>
                <w:lang w:eastAsia="pl-PL"/>
              </w:rPr>
            </w:pPr>
            <w:r w:rsidRPr="003478AF">
              <w:rPr>
                <w:rFonts w:eastAsia="Times New Roman" w:cs="Arial"/>
                <w:sz w:val="18"/>
                <w:szCs w:val="18"/>
                <w:lang w:eastAsia="pl-PL"/>
              </w:rPr>
              <w:t>%</w:t>
            </w:r>
          </w:p>
        </w:tc>
      </w:tr>
      <w:tr w:rsidR="00EA1321" w:rsidRPr="003478AF" w14:paraId="588C2B1A" w14:textId="77777777" w:rsidTr="001B0CB3">
        <w:trPr>
          <w:trHeight w:val="283"/>
          <w:jc w:val="center"/>
        </w:trPr>
        <w:tc>
          <w:tcPr>
            <w:tcW w:w="426" w:type="pct"/>
            <w:shd w:val="clear" w:color="auto" w:fill="auto"/>
            <w:vAlign w:val="center"/>
          </w:tcPr>
          <w:p w14:paraId="03617201" w14:textId="77777777" w:rsidR="00EA1321" w:rsidRPr="003478AF" w:rsidRDefault="00EA1321" w:rsidP="00532CE7">
            <w:pPr>
              <w:spacing w:line="240" w:lineRule="auto"/>
              <w:ind w:firstLine="0"/>
              <w:jc w:val="center"/>
              <w:rPr>
                <w:rFonts w:eastAsia="Times New Roman" w:cs="Arial"/>
                <w:sz w:val="18"/>
                <w:szCs w:val="18"/>
                <w:lang w:eastAsia="pl-PL"/>
              </w:rPr>
            </w:pPr>
            <w:r w:rsidRPr="003478AF">
              <w:rPr>
                <w:rFonts w:eastAsia="Times New Roman" w:cs="Arial"/>
                <w:sz w:val="18"/>
                <w:szCs w:val="18"/>
                <w:lang w:eastAsia="pl-PL"/>
              </w:rPr>
              <w:t>8</w:t>
            </w:r>
          </w:p>
        </w:tc>
        <w:tc>
          <w:tcPr>
            <w:tcW w:w="3000" w:type="pct"/>
            <w:shd w:val="clear" w:color="auto" w:fill="auto"/>
            <w:tcMar>
              <w:top w:w="30" w:type="dxa"/>
              <w:left w:w="45" w:type="dxa"/>
              <w:bottom w:w="30" w:type="dxa"/>
              <w:right w:w="45" w:type="dxa"/>
            </w:tcMar>
            <w:vAlign w:val="center"/>
            <w:hideMark/>
          </w:tcPr>
          <w:p w14:paraId="4C5F42DD" w14:textId="2C50C284" w:rsidR="00EA1321" w:rsidRPr="003478AF" w:rsidRDefault="00EA1321" w:rsidP="00532CE7">
            <w:pPr>
              <w:spacing w:line="240" w:lineRule="auto"/>
              <w:ind w:firstLine="0"/>
              <w:jc w:val="left"/>
              <w:rPr>
                <w:rFonts w:eastAsia="Times New Roman" w:cs="Arial"/>
                <w:sz w:val="18"/>
                <w:szCs w:val="18"/>
                <w:lang w:eastAsia="pl-PL"/>
              </w:rPr>
            </w:pPr>
            <w:r w:rsidRPr="003478AF">
              <w:rPr>
                <w:rFonts w:eastAsia="Times New Roman" w:cs="Arial"/>
                <w:sz w:val="18"/>
                <w:szCs w:val="18"/>
                <w:lang w:eastAsia="pl-PL"/>
              </w:rPr>
              <w:t xml:space="preserve">Wskaźnik recyklingu wszystkich odpadów </w:t>
            </w:r>
            <w:r w:rsidR="00937BC9" w:rsidRPr="003478AF">
              <w:rPr>
                <w:rFonts w:eastAsia="Times New Roman" w:cs="Arial"/>
                <w:sz w:val="18"/>
                <w:szCs w:val="18"/>
                <w:lang w:eastAsia="pl-PL"/>
              </w:rPr>
              <w:t>(</w:t>
            </w:r>
            <w:r w:rsidRPr="003478AF">
              <w:rPr>
                <w:rFonts w:eastAsia="Times New Roman" w:cs="Arial"/>
                <w:sz w:val="18"/>
                <w:szCs w:val="18"/>
                <w:lang w:eastAsia="pl-PL"/>
              </w:rPr>
              <w:t>z wyłączeniem głównych odpadów mineralnych</w:t>
            </w:r>
            <w:r w:rsidR="00937BC9" w:rsidRPr="003478AF">
              <w:rPr>
                <w:rFonts w:eastAsia="Times New Roman" w:cs="Arial"/>
                <w:sz w:val="18"/>
                <w:szCs w:val="18"/>
                <w:lang w:eastAsia="pl-PL"/>
              </w:rPr>
              <w:t>)</w:t>
            </w:r>
          </w:p>
        </w:tc>
        <w:tc>
          <w:tcPr>
            <w:tcW w:w="1574" w:type="pct"/>
            <w:shd w:val="clear" w:color="auto" w:fill="auto"/>
            <w:tcMar>
              <w:top w:w="30" w:type="dxa"/>
              <w:left w:w="45" w:type="dxa"/>
              <w:bottom w:w="30" w:type="dxa"/>
              <w:right w:w="45" w:type="dxa"/>
            </w:tcMar>
            <w:vAlign w:val="center"/>
            <w:hideMark/>
          </w:tcPr>
          <w:p w14:paraId="7D950275" w14:textId="77777777" w:rsidR="00EA1321" w:rsidRPr="003478AF" w:rsidRDefault="00EA1321" w:rsidP="004C3B0B">
            <w:pPr>
              <w:spacing w:line="240" w:lineRule="auto"/>
              <w:ind w:firstLine="0"/>
              <w:jc w:val="center"/>
              <w:rPr>
                <w:rFonts w:eastAsia="Times New Roman" w:cs="Arial"/>
                <w:sz w:val="18"/>
                <w:szCs w:val="18"/>
                <w:lang w:eastAsia="pl-PL"/>
              </w:rPr>
            </w:pPr>
            <w:r w:rsidRPr="003478AF">
              <w:rPr>
                <w:rFonts w:eastAsia="Times New Roman" w:cs="Arial"/>
                <w:sz w:val="18"/>
                <w:szCs w:val="18"/>
                <w:lang w:eastAsia="pl-PL"/>
              </w:rPr>
              <w:t>%</w:t>
            </w:r>
          </w:p>
        </w:tc>
      </w:tr>
      <w:tr w:rsidR="00EA1321" w:rsidRPr="003478AF" w14:paraId="5AE4963B" w14:textId="77777777" w:rsidTr="001B0CB3">
        <w:trPr>
          <w:trHeight w:val="283"/>
          <w:jc w:val="center"/>
        </w:trPr>
        <w:tc>
          <w:tcPr>
            <w:tcW w:w="426" w:type="pct"/>
            <w:shd w:val="clear" w:color="auto" w:fill="auto"/>
            <w:vAlign w:val="center"/>
          </w:tcPr>
          <w:p w14:paraId="145E742B" w14:textId="77777777" w:rsidR="00EA1321" w:rsidRPr="003478AF" w:rsidRDefault="00EA1321" w:rsidP="00532CE7">
            <w:pPr>
              <w:spacing w:line="240" w:lineRule="auto"/>
              <w:ind w:firstLine="0"/>
              <w:jc w:val="center"/>
              <w:rPr>
                <w:rFonts w:eastAsia="Times New Roman" w:cs="Arial"/>
                <w:sz w:val="18"/>
                <w:szCs w:val="18"/>
                <w:lang w:eastAsia="pl-PL"/>
              </w:rPr>
            </w:pPr>
            <w:r w:rsidRPr="003478AF">
              <w:rPr>
                <w:rFonts w:eastAsia="Times New Roman" w:cs="Arial"/>
                <w:sz w:val="18"/>
                <w:szCs w:val="18"/>
                <w:lang w:eastAsia="pl-PL"/>
              </w:rPr>
              <w:t>9</w:t>
            </w:r>
          </w:p>
        </w:tc>
        <w:tc>
          <w:tcPr>
            <w:tcW w:w="3000" w:type="pct"/>
            <w:shd w:val="clear" w:color="auto" w:fill="auto"/>
            <w:tcMar>
              <w:top w:w="30" w:type="dxa"/>
              <w:left w:w="45" w:type="dxa"/>
              <w:bottom w:w="30" w:type="dxa"/>
              <w:right w:w="45" w:type="dxa"/>
            </w:tcMar>
            <w:vAlign w:val="center"/>
            <w:hideMark/>
          </w:tcPr>
          <w:p w14:paraId="069B426F" w14:textId="77777777" w:rsidR="00EA1321" w:rsidRPr="003478AF" w:rsidRDefault="00EA1321" w:rsidP="00532CE7">
            <w:pPr>
              <w:spacing w:line="240" w:lineRule="auto"/>
              <w:ind w:firstLine="0"/>
              <w:jc w:val="left"/>
              <w:rPr>
                <w:rFonts w:eastAsia="Times New Roman" w:cs="Arial"/>
                <w:sz w:val="18"/>
                <w:szCs w:val="18"/>
                <w:lang w:val="en-GB" w:eastAsia="pl-PL"/>
              </w:rPr>
            </w:pPr>
            <w:r w:rsidRPr="003478AF">
              <w:rPr>
                <w:rFonts w:eastAsia="Times New Roman" w:cs="Arial"/>
                <w:sz w:val="18"/>
                <w:szCs w:val="18"/>
                <w:lang w:val="en-GB" w:eastAsia="pl-PL"/>
              </w:rPr>
              <w:t>Recykling opakowań</w:t>
            </w:r>
          </w:p>
        </w:tc>
        <w:tc>
          <w:tcPr>
            <w:tcW w:w="1574" w:type="pct"/>
            <w:shd w:val="clear" w:color="auto" w:fill="auto"/>
            <w:tcMar>
              <w:top w:w="30" w:type="dxa"/>
              <w:left w:w="45" w:type="dxa"/>
              <w:bottom w:w="30" w:type="dxa"/>
              <w:right w:w="45" w:type="dxa"/>
            </w:tcMar>
            <w:vAlign w:val="center"/>
            <w:hideMark/>
          </w:tcPr>
          <w:p w14:paraId="0D504144" w14:textId="77777777" w:rsidR="00EA1321" w:rsidRPr="003478AF" w:rsidRDefault="00EA1321" w:rsidP="004C3B0B">
            <w:pPr>
              <w:spacing w:line="240" w:lineRule="auto"/>
              <w:ind w:firstLine="0"/>
              <w:jc w:val="center"/>
              <w:rPr>
                <w:rFonts w:eastAsia="Times New Roman" w:cs="Arial"/>
                <w:sz w:val="18"/>
                <w:szCs w:val="18"/>
                <w:lang w:eastAsia="pl-PL"/>
              </w:rPr>
            </w:pPr>
            <w:r w:rsidRPr="003478AF">
              <w:rPr>
                <w:rFonts w:eastAsia="Times New Roman" w:cs="Arial"/>
                <w:sz w:val="18"/>
                <w:szCs w:val="18"/>
                <w:lang w:eastAsia="pl-PL"/>
              </w:rPr>
              <w:t>%</w:t>
            </w:r>
          </w:p>
        </w:tc>
      </w:tr>
      <w:tr w:rsidR="00EA1321" w:rsidRPr="003478AF" w14:paraId="1827ADF1" w14:textId="77777777" w:rsidTr="001B0CB3">
        <w:trPr>
          <w:trHeight w:val="283"/>
          <w:jc w:val="center"/>
        </w:trPr>
        <w:tc>
          <w:tcPr>
            <w:tcW w:w="426" w:type="pct"/>
            <w:shd w:val="clear" w:color="auto" w:fill="auto"/>
            <w:vAlign w:val="center"/>
          </w:tcPr>
          <w:p w14:paraId="0E644F0C" w14:textId="77777777" w:rsidR="00EA1321" w:rsidRPr="003478AF" w:rsidRDefault="00EA1321" w:rsidP="00532CE7">
            <w:pPr>
              <w:spacing w:line="240" w:lineRule="auto"/>
              <w:ind w:firstLine="0"/>
              <w:jc w:val="center"/>
              <w:rPr>
                <w:rFonts w:eastAsia="Times New Roman" w:cs="Arial"/>
                <w:sz w:val="18"/>
                <w:szCs w:val="18"/>
                <w:lang w:eastAsia="pl-PL"/>
              </w:rPr>
            </w:pPr>
            <w:r w:rsidRPr="003478AF">
              <w:rPr>
                <w:rFonts w:eastAsia="Times New Roman" w:cs="Arial"/>
                <w:sz w:val="18"/>
                <w:szCs w:val="18"/>
                <w:lang w:eastAsia="pl-PL"/>
              </w:rPr>
              <w:t>10</w:t>
            </w:r>
          </w:p>
        </w:tc>
        <w:tc>
          <w:tcPr>
            <w:tcW w:w="3000" w:type="pct"/>
            <w:shd w:val="clear" w:color="auto" w:fill="auto"/>
            <w:tcMar>
              <w:top w:w="30" w:type="dxa"/>
              <w:left w:w="45" w:type="dxa"/>
              <w:bottom w:w="30" w:type="dxa"/>
              <w:right w:w="45" w:type="dxa"/>
            </w:tcMar>
            <w:vAlign w:val="center"/>
            <w:hideMark/>
          </w:tcPr>
          <w:p w14:paraId="39392B45" w14:textId="77777777" w:rsidR="00EA1321" w:rsidRPr="003478AF" w:rsidRDefault="00EA1321" w:rsidP="00532CE7">
            <w:pPr>
              <w:spacing w:line="240" w:lineRule="auto"/>
              <w:ind w:firstLine="0"/>
              <w:jc w:val="left"/>
              <w:rPr>
                <w:rFonts w:eastAsia="Times New Roman" w:cs="Arial"/>
                <w:sz w:val="18"/>
                <w:szCs w:val="18"/>
                <w:lang w:eastAsia="pl-PL"/>
              </w:rPr>
            </w:pPr>
            <w:r w:rsidRPr="003478AF">
              <w:rPr>
                <w:rFonts w:eastAsia="Times New Roman" w:cs="Arial"/>
                <w:sz w:val="18"/>
                <w:szCs w:val="18"/>
                <w:lang w:eastAsia="pl-PL"/>
              </w:rPr>
              <w:t>Recykling opakowań z tworzyw sztucznych</w:t>
            </w:r>
          </w:p>
        </w:tc>
        <w:tc>
          <w:tcPr>
            <w:tcW w:w="1574" w:type="pct"/>
            <w:shd w:val="clear" w:color="auto" w:fill="auto"/>
            <w:tcMar>
              <w:top w:w="30" w:type="dxa"/>
              <w:left w:w="45" w:type="dxa"/>
              <w:bottom w:w="30" w:type="dxa"/>
              <w:right w:w="45" w:type="dxa"/>
            </w:tcMar>
            <w:vAlign w:val="center"/>
            <w:hideMark/>
          </w:tcPr>
          <w:p w14:paraId="613DBA79" w14:textId="77777777" w:rsidR="00EA1321" w:rsidRPr="003478AF" w:rsidRDefault="00EA1321" w:rsidP="004C3B0B">
            <w:pPr>
              <w:spacing w:line="240" w:lineRule="auto"/>
              <w:ind w:firstLine="0"/>
              <w:jc w:val="center"/>
              <w:rPr>
                <w:rFonts w:eastAsia="Times New Roman" w:cs="Arial"/>
                <w:sz w:val="18"/>
                <w:szCs w:val="18"/>
                <w:lang w:eastAsia="pl-PL"/>
              </w:rPr>
            </w:pPr>
            <w:r w:rsidRPr="003478AF">
              <w:rPr>
                <w:rFonts w:eastAsia="Times New Roman" w:cs="Arial"/>
                <w:sz w:val="18"/>
                <w:szCs w:val="18"/>
                <w:lang w:eastAsia="pl-PL"/>
              </w:rPr>
              <w:t>%</w:t>
            </w:r>
          </w:p>
        </w:tc>
      </w:tr>
      <w:tr w:rsidR="00EA1321" w:rsidRPr="003478AF" w14:paraId="1DB50F8C" w14:textId="77777777" w:rsidTr="001B0CB3">
        <w:trPr>
          <w:trHeight w:val="283"/>
          <w:jc w:val="center"/>
        </w:trPr>
        <w:tc>
          <w:tcPr>
            <w:tcW w:w="426" w:type="pct"/>
            <w:shd w:val="clear" w:color="auto" w:fill="auto"/>
            <w:vAlign w:val="center"/>
          </w:tcPr>
          <w:p w14:paraId="4548C54D" w14:textId="77777777" w:rsidR="00EA1321" w:rsidRPr="003478AF" w:rsidRDefault="00EA1321" w:rsidP="00532CE7">
            <w:pPr>
              <w:spacing w:line="240" w:lineRule="auto"/>
              <w:ind w:firstLine="0"/>
              <w:jc w:val="center"/>
              <w:rPr>
                <w:rFonts w:eastAsia="Times New Roman" w:cs="Arial"/>
                <w:sz w:val="18"/>
                <w:szCs w:val="18"/>
                <w:lang w:val="en-GB" w:eastAsia="pl-PL"/>
              </w:rPr>
            </w:pPr>
            <w:r w:rsidRPr="003478AF">
              <w:rPr>
                <w:rFonts w:eastAsia="Times New Roman" w:cs="Arial"/>
                <w:sz w:val="18"/>
                <w:szCs w:val="18"/>
                <w:lang w:val="en-GB" w:eastAsia="pl-PL"/>
              </w:rPr>
              <w:t>11</w:t>
            </w:r>
          </w:p>
        </w:tc>
        <w:tc>
          <w:tcPr>
            <w:tcW w:w="3000" w:type="pct"/>
            <w:shd w:val="clear" w:color="auto" w:fill="auto"/>
            <w:tcMar>
              <w:top w:w="30" w:type="dxa"/>
              <w:left w:w="45" w:type="dxa"/>
              <w:bottom w:w="30" w:type="dxa"/>
              <w:right w:w="45" w:type="dxa"/>
            </w:tcMar>
            <w:vAlign w:val="center"/>
            <w:hideMark/>
          </w:tcPr>
          <w:p w14:paraId="13C5F125" w14:textId="77777777" w:rsidR="00EA1321" w:rsidRPr="003478AF" w:rsidRDefault="00EA1321" w:rsidP="00532CE7">
            <w:pPr>
              <w:spacing w:line="240" w:lineRule="auto"/>
              <w:ind w:firstLine="0"/>
              <w:jc w:val="left"/>
              <w:rPr>
                <w:rFonts w:eastAsia="Times New Roman" w:cs="Arial"/>
                <w:sz w:val="18"/>
                <w:szCs w:val="18"/>
                <w:lang w:val="en-GB" w:eastAsia="pl-PL"/>
              </w:rPr>
            </w:pPr>
            <w:r w:rsidRPr="003478AF">
              <w:rPr>
                <w:rFonts w:eastAsia="Times New Roman" w:cs="Arial"/>
                <w:sz w:val="18"/>
                <w:szCs w:val="18"/>
                <w:lang w:val="en-GB" w:eastAsia="pl-PL"/>
              </w:rPr>
              <w:t>Recykling opakowań drewnianych</w:t>
            </w:r>
          </w:p>
        </w:tc>
        <w:tc>
          <w:tcPr>
            <w:tcW w:w="1574" w:type="pct"/>
            <w:shd w:val="clear" w:color="auto" w:fill="auto"/>
            <w:tcMar>
              <w:top w:w="30" w:type="dxa"/>
              <w:left w:w="45" w:type="dxa"/>
              <w:bottom w:w="30" w:type="dxa"/>
              <w:right w:w="45" w:type="dxa"/>
            </w:tcMar>
            <w:vAlign w:val="center"/>
            <w:hideMark/>
          </w:tcPr>
          <w:p w14:paraId="2BC0C793" w14:textId="77777777" w:rsidR="00EA1321" w:rsidRPr="003478AF" w:rsidRDefault="00EA1321" w:rsidP="004C3B0B">
            <w:pPr>
              <w:spacing w:line="240" w:lineRule="auto"/>
              <w:ind w:firstLine="0"/>
              <w:jc w:val="center"/>
              <w:rPr>
                <w:rFonts w:eastAsia="Times New Roman" w:cs="Arial"/>
                <w:sz w:val="18"/>
                <w:szCs w:val="18"/>
                <w:lang w:eastAsia="pl-PL"/>
              </w:rPr>
            </w:pPr>
            <w:r w:rsidRPr="003478AF">
              <w:rPr>
                <w:rFonts w:eastAsia="Times New Roman" w:cs="Arial"/>
                <w:sz w:val="18"/>
                <w:szCs w:val="18"/>
                <w:lang w:eastAsia="pl-PL"/>
              </w:rPr>
              <w:t>%</w:t>
            </w:r>
          </w:p>
        </w:tc>
      </w:tr>
      <w:tr w:rsidR="00EA1321" w:rsidRPr="003478AF" w14:paraId="522828FD" w14:textId="77777777" w:rsidTr="001B0CB3">
        <w:trPr>
          <w:trHeight w:val="283"/>
          <w:jc w:val="center"/>
        </w:trPr>
        <w:tc>
          <w:tcPr>
            <w:tcW w:w="426" w:type="pct"/>
            <w:shd w:val="clear" w:color="auto" w:fill="auto"/>
            <w:vAlign w:val="center"/>
          </w:tcPr>
          <w:p w14:paraId="462229BA" w14:textId="77777777" w:rsidR="00EA1321" w:rsidRPr="003478AF" w:rsidRDefault="00EA1321" w:rsidP="00532CE7">
            <w:pPr>
              <w:spacing w:line="240" w:lineRule="auto"/>
              <w:ind w:firstLine="0"/>
              <w:jc w:val="center"/>
              <w:rPr>
                <w:rFonts w:eastAsia="Times New Roman" w:cs="Arial"/>
                <w:sz w:val="18"/>
                <w:szCs w:val="18"/>
                <w:lang w:eastAsia="pl-PL"/>
              </w:rPr>
            </w:pPr>
            <w:r w:rsidRPr="003478AF">
              <w:rPr>
                <w:rFonts w:eastAsia="Times New Roman" w:cs="Arial"/>
                <w:sz w:val="18"/>
                <w:szCs w:val="18"/>
                <w:lang w:eastAsia="pl-PL"/>
              </w:rPr>
              <w:t>12</w:t>
            </w:r>
          </w:p>
        </w:tc>
        <w:tc>
          <w:tcPr>
            <w:tcW w:w="3000" w:type="pct"/>
            <w:shd w:val="clear" w:color="auto" w:fill="auto"/>
            <w:tcMar>
              <w:top w:w="30" w:type="dxa"/>
              <w:left w:w="45" w:type="dxa"/>
              <w:bottom w:w="30" w:type="dxa"/>
              <w:right w:w="45" w:type="dxa"/>
            </w:tcMar>
            <w:vAlign w:val="center"/>
            <w:hideMark/>
          </w:tcPr>
          <w:p w14:paraId="27A7A36E" w14:textId="77777777" w:rsidR="00EA1321" w:rsidRPr="003478AF" w:rsidRDefault="00EA1321" w:rsidP="00532CE7">
            <w:pPr>
              <w:spacing w:line="240" w:lineRule="auto"/>
              <w:ind w:firstLine="0"/>
              <w:jc w:val="left"/>
              <w:rPr>
                <w:rFonts w:eastAsia="Times New Roman" w:cs="Arial"/>
                <w:sz w:val="18"/>
                <w:szCs w:val="18"/>
                <w:lang w:eastAsia="pl-PL"/>
              </w:rPr>
            </w:pPr>
            <w:r w:rsidRPr="003478AF">
              <w:rPr>
                <w:rFonts w:eastAsia="Times New Roman" w:cs="Arial"/>
                <w:sz w:val="18"/>
                <w:szCs w:val="18"/>
                <w:lang w:eastAsia="pl-PL"/>
              </w:rPr>
              <w:t>Recykling e-odpadów</w:t>
            </w:r>
          </w:p>
        </w:tc>
        <w:tc>
          <w:tcPr>
            <w:tcW w:w="1574" w:type="pct"/>
            <w:shd w:val="clear" w:color="auto" w:fill="auto"/>
            <w:tcMar>
              <w:top w:w="30" w:type="dxa"/>
              <w:left w:w="45" w:type="dxa"/>
              <w:bottom w:w="30" w:type="dxa"/>
              <w:right w:w="45" w:type="dxa"/>
            </w:tcMar>
            <w:vAlign w:val="center"/>
            <w:hideMark/>
          </w:tcPr>
          <w:p w14:paraId="65358B26" w14:textId="77777777" w:rsidR="00EA1321" w:rsidRPr="003478AF" w:rsidRDefault="00EA1321" w:rsidP="004C3B0B">
            <w:pPr>
              <w:spacing w:line="240" w:lineRule="auto"/>
              <w:ind w:firstLine="0"/>
              <w:jc w:val="center"/>
              <w:rPr>
                <w:rFonts w:eastAsia="Times New Roman" w:cs="Arial"/>
                <w:sz w:val="18"/>
                <w:szCs w:val="18"/>
                <w:lang w:eastAsia="pl-PL"/>
              </w:rPr>
            </w:pPr>
            <w:r w:rsidRPr="003478AF">
              <w:rPr>
                <w:rFonts w:eastAsia="Times New Roman" w:cs="Arial"/>
                <w:sz w:val="18"/>
                <w:szCs w:val="18"/>
                <w:lang w:eastAsia="pl-PL"/>
              </w:rPr>
              <w:t>%</w:t>
            </w:r>
          </w:p>
        </w:tc>
      </w:tr>
      <w:tr w:rsidR="00EA1321" w:rsidRPr="003478AF" w14:paraId="6AE21AD9" w14:textId="77777777" w:rsidTr="001B0CB3">
        <w:trPr>
          <w:trHeight w:val="283"/>
          <w:jc w:val="center"/>
        </w:trPr>
        <w:tc>
          <w:tcPr>
            <w:tcW w:w="426" w:type="pct"/>
            <w:shd w:val="clear" w:color="auto" w:fill="auto"/>
            <w:vAlign w:val="center"/>
          </w:tcPr>
          <w:p w14:paraId="69B9593C" w14:textId="77777777" w:rsidR="00EA1321" w:rsidRPr="003478AF" w:rsidRDefault="00EA1321" w:rsidP="00532CE7">
            <w:pPr>
              <w:spacing w:line="240" w:lineRule="auto"/>
              <w:ind w:firstLine="0"/>
              <w:jc w:val="center"/>
              <w:rPr>
                <w:rFonts w:eastAsia="Times New Roman" w:cs="Arial"/>
                <w:sz w:val="18"/>
                <w:szCs w:val="18"/>
                <w:lang w:val="en-GB" w:eastAsia="pl-PL"/>
              </w:rPr>
            </w:pPr>
            <w:r w:rsidRPr="003478AF">
              <w:rPr>
                <w:rFonts w:eastAsia="Times New Roman" w:cs="Arial"/>
                <w:sz w:val="18"/>
                <w:szCs w:val="18"/>
                <w:lang w:val="en-GB" w:eastAsia="pl-PL"/>
              </w:rPr>
              <w:t>13</w:t>
            </w:r>
          </w:p>
        </w:tc>
        <w:tc>
          <w:tcPr>
            <w:tcW w:w="3000" w:type="pct"/>
            <w:shd w:val="clear" w:color="auto" w:fill="auto"/>
            <w:tcMar>
              <w:top w:w="30" w:type="dxa"/>
              <w:left w:w="45" w:type="dxa"/>
              <w:bottom w:w="30" w:type="dxa"/>
              <w:right w:w="45" w:type="dxa"/>
            </w:tcMar>
            <w:vAlign w:val="center"/>
            <w:hideMark/>
          </w:tcPr>
          <w:p w14:paraId="06A13F26" w14:textId="326A463A" w:rsidR="00EA1321" w:rsidRPr="003478AF" w:rsidRDefault="00EA1321" w:rsidP="00532CE7">
            <w:pPr>
              <w:spacing w:line="240" w:lineRule="auto"/>
              <w:ind w:firstLine="0"/>
              <w:jc w:val="left"/>
              <w:rPr>
                <w:rFonts w:eastAsia="Times New Roman" w:cs="Arial"/>
                <w:sz w:val="18"/>
                <w:szCs w:val="18"/>
                <w:lang w:val="en-GB" w:eastAsia="pl-PL"/>
              </w:rPr>
            </w:pPr>
            <w:r w:rsidRPr="003478AF">
              <w:rPr>
                <w:rFonts w:eastAsia="Times New Roman" w:cs="Arial"/>
                <w:sz w:val="18"/>
                <w:szCs w:val="18"/>
                <w:lang w:val="en-GB" w:eastAsia="pl-PL"/>
              </w:rPr>
              <w:t>Recykling bioodpadów</w:t>
            </w:r>
          </w:p>
        </w:tc>
        <w:tc>
          <w:tcPr>
            <w:tcW w:w="1574" w:type="pct"/>
            <w:shd w:val="clear" w:color="auto" w:fill="auto"/>
            <w:tcMar>
              <w:top w:w="30" w:type="dxa"/>
              <w:left w:w="45" w:type="dxa"/>
              <w:bottom w:w="30" w:type="dxa"/>
              <w:right w:w="45" w:type="dxa"/>
            </w:tcMar>
            <w:vAlign w:val="center"/>
            <w:hideMark/>
          </w:tcPr>
          <w:p w14:paraId="73003AF1" w14:textId="1EA51E15" w:rsidR="00EA1321" w:rsidRPr="003478AF" w:rsidRDefault="00EA1321" w:rsidP="004C3B0B">
            <w:pPr>
              <w:spacing w:line="240" w:lineRule="auto"/>
              <w:ind w:firstLine="0"/>
              <w:jc w:val="center"/>
              <w:rPr>
                <w:rFonts w:eastAsia="Times New Roman" w:cs="Arial"/>
                <w:sz w:val="18"/>
                <w:szCs w:val="18"/>
                <w:lang w:eastAsia="pl-PL"/>
              </w:rPr>
            </w:pPr>
            <w:r w:rsidRPr="003478AF">
              <w:rPr>
                <w:rFonts w:eastAsia="Times New Roman" w:cs="Arial"/>
                <w:sz w:val="18"/>
                <w:szCs w:val="18"/>
                <w:lang w:val="en-GB" w:eastAsia="pl-PL"/>
              </w:rPr>
              <w:t>kg/osob</w:t>
            </w:r>
            <w:r w:rsidR="008C64FA" w:rsidRPr="003478AF">
              <w:rPr>
                <w:rFonts w:eastAsia="Times New Roman" w:cs="Arial"/>
                <w:sz w:val="18"/>
                <w:szCs w:val="18"/>
                <w:lang w:val="en-GB" w:eastAsia="pl-PL"/>
              </w:rPr>
              <w:t>ę</w:t>
            </w:r>
          </w:p>
        </w:tc>
      </w:tr>
      <w:tr w:rsidR="00EA1321" w:rsidRPr="003478AF" w14:paraId="09D28428" w14:textId="77777777" w:rsidTr="001B0CB3">
        <w:trPr>
          <w:trHeight w:val="283"/>
          <w:jc w:val="center"/>
        </w:trPr>
        <w:tc>
          <w:tcPr>
            <w:tcW w:w="426" w:type="pct"/>
            <w:shd w:val="clear" w:color="auto" w:fill="auto"/>
            <w:vAlign w:val="center"/>
          </w:tcPr>
          <w:p w14:paraId="7F2CD4DD" w14:textId="77777777" w:rsidR="00EA1321" w:rsidRPr="003478AF" w:rsidRDefault="00EA1321" w:rsidP="00532CE7">
            <w:pPr>
              <w:spacing w:line="240" w:lineRule="auto"/>
              <w:ind w:firstLine="0"/>
              <w:jc w:val="center"/>
              <w:rPr>
                <w:rFonts w:eastAsia="Times New Roman" w:cs="Arial"/>
                <w:sz w:val="18"/>
                <w:szCs w:val="18"/>
                <w:lang w:eastAsia="pl-PL"/>
              </w:rPr>
            </w:pPr>
            <w:r w:rsidRPr="003478AF">
              <w:rPr>
                <w:rFonts w:eastAsia="Times New Roman" w:cs="Arial"/>
                <w:sz w:val="18"/>
                <w:szCs w:val="18"/>
                <w:lang w:eastAsia="pl-PL"/>
              </w:rPr>
              <w:t>14</w:t>
            </w:r>
          </w:p>
        </w:tc>
        <w:tc>
          <w:tcPr>
            <w:tcW w:w="3000" w:type="pct"/>
            <w:shd w:val="clear" w:color="auto" w:fill="auto"/>
            <w:tcMar>
              <w:top w:w="30" w:type="dxa"/>
              <w:left w:w="45" w:type="dxa"/>
              <w:bottom w:w="30" w:type="dxa"/>
              <w:right w:w="45" w:type="dxa"/>
            </w:tcMar>
            <w:vAlign w:val="center"/>
            <w:hideMark/>
          </w:tcPr>
          <w:p w14:paraId="75EF20FC" w14:textId="77777777" w:rsidR="00EA1321" w:rsidRPr="003478AF" w:rsidRDefault="00EA1321" w:rsidP="00532CE7">
            <w:pPr>
              <w:spacing w:line="240" w:lineRule="auto"/>
              <w:ind w:firstLine="0"/>
              <w:jc w:val="left"/>
              <w:rPr>
                <w:rFonts w:eastAsia="Times New Roman" w:cs="Arial"/>
                <w:sz w:val="18"/>
                <w:szCs w:val="18"/>
                <w:lang w:eastAsia="pl-PL"/>
              </w:rPr>
            </w:pPr>
            <w:r w:rsidRPr="003478AF">
              <w:rPr>
                <w:rFonts w:eastAsia="Times New Roman" w:cs="Arial"/>
                <w:sz w:val="18"/>
                <w:szCs w:val="18"/>
                <w:lang w:eastAsia="pl-PL"/>
              </w:rPr>
              <w:t>Odzysk odpadów budowlanych i rozbiórkowych</w:t>
            </w:r>
          </w:p>
        </w:tc>
        <w:tc>
          <w:tcPr>
            <w:tcW w:w="1574" w:type="pct"/>
            <w:shd w:val="clear" w:color="auto" w:fill="auto"/>
            <w:tcMar>
              <w:top w:w="30" w:type="dxa"/>
              <w:left w:w="45" w:type="dxa"/>
              <w:bottom w:w="30" w:type="dxa"/>
              <w:right w:w="45" w:type="dxa"/>
            </w:tcMar>
            <w:vAlign w:val="center"/>
            <w:hideMark/>
          </w:tcPr>
          <w:p w14:paraId="71D169BE" w14:textId="77777777" w:rsidR="00EA1321" w:rsidRPr="003478AF" w:rsidRDefault="00EA1321" w:rsidP="004C3B0B">
            <w:pPr>
              <w:spacing w:line="240" w:lineRule="auto"/>
              <w:ind w:firstLine="0"/>
              <w:jc w:val="center"/>
              <w:rPr>
                <w:rFonts w:eastAsia="Times New Roman" w:cs="Arial"/>
                <w:sz w:val="18"/>
                <w:szCs w:val="18"/>
                <w:lang w:eastAsia="pl-PL"/>
              </w:rPr>
            </w:pPr>
            <w:r w:rsidRPr="003478AF">
              <w:rPr>
                <w:rFonts w:eastAsia="Times New Roman" w:cs="Arial"/>
                <w:sz w:val="18"/>
                <w:szCs w:val="18"/>
                <w:lang w:eastAsia="pl-PL"/>
              </w:rPr>
              <w:t>%</w:t>
            </w:r>
          </w:p>
        </w:tc>
      </w:tr>
      <w:tr w:rsidR="00EA1321" w:rsidRPr="003478AF" w14:paraId="37DE1D95" w14:textId="77777777" w:rsidTr="001B0CB3">
        <w:trPr>
          <w:trHeight w:val="283"/>
          <w:jc w:val="center"/>
        </w:trPr>
        <w:tc>
          <w:tcPr>
            <w:tcW w:w="426" w:type="pct"/>
            <w:shd w:val="clear" w:color="auto" w:fill="auto"/>
            <w:vAlign w:val="center"/>
          </w:tcPr>
          <w:p w14:paraId="6C2495D2" w14:textId="77777777" w:rsidR="00EA1321" w:rsidRPr="003478AF" w:rsidRDefault="00EA1321" w:rsidP="00532CE7">
            <w:pPr>
              <w:spacing w:line="240" w:lineRule="auto"/>
              <w:ind w:firstLine="0"/>
              <w:jc w:val="center"/>
              <w:rPr>
                <w:rFonts w:eastAsia="Times New Roman" w:cs="Arial"/>
                <w:sz w:val="18"/>
                <w:szCs w:val="18"/>
                <w:lang w:eastAsia="pl-PL"/>
              </w:rPr>
            </w:pPr>
            <w:r w:rsidRPr="003478AF">
              <w:rPr>
                <w:rFonts w:eastAsia="Times New Roman" w:cs="Arial"/>
                <w:sz w:val="18"/>
                <w:szCs w:val="18"/>
                <w:lang w:eastAsia="pl-PL"/>
              </w:rPr>
              <w:t>15</w:t>
            </w:r>
          </w:p>
        </w:tc>
        <w:tc>
          <w:tcPr>
            <w:tcW w:w="3000" w:type="pct"/>
            <w:shd w:val="clear" w:color="auto" w:fill="auto"/>
            <w:tcMar>
              <w:top w:w="30" w:type="dxa"/>
              <w:left w:w="45" w:type="dxa"/>
              <w:bottom w:w="30" w:type="dxa"/>
              <w:right w:w="45" w:type="dxa"/>
            </w:tcMar>
            <w:vAlign w:val="center"/>
            <w:hideMark/>
          </w:tcPr>
          <w:p w14:paraId="52948855" w14:textId="1158F90E" w:rsidR="00EA1321" w:rsidRPr="003478AF" w:rsidRDefault="00EA1321" w:rsidP="00532CE7">
            <w:pPr>
              <w:spacing w:line="240" w:lineRule="auto"/>
              <w:ind w:firstLine="0"/>
              <w:jc w:val="left"/>
              <w:rPr>
                <w:rFonts w:eastAsia="Times New Roman" w:cs="Arial"/>
                <w:sz w:val="18"/>
                <w:szCs w:val="18"/>
                <w:lang w:eastAsia="pl-PL"/>
              </w:rPr>
            </w:pPr>
            <w:r w:rsidRPr="003478AF">
              <w:rPr>
                <w:rFonts w:eastAsia="Times New Roman" w:cs="Arial"/>
                <w:sz w:val="18"/>
                <w:szCs w:val="18"/>
                <w:lang w:eastAsia="pl-PL"/>
              </w:rPr>
              <w:t xml:space="preserve">Wskaźniki wejściowe do recyklingu po wycofaniu </w:t>
            </w:r>
            <w:r w:rsidR="001B0CB3" w:rsidRPr="003478AF">
              <w:rPr>
                <w:rFonts w:eastAsia="Times New Roman" w:cs="Arial"/>
                <w:sz w:val="18"/>
                <w:szCs w:val="18"/>
                <w:lang w:eastAsia="pl-PL"/>
              </w:rPr>
              <w:br/>
            </w:r>
            <w:r w:rsidRPr="003478AF">
              <w:rPr>
                <w:rFonts w:eastAsia="Times New Roman" w:cs="Arial"/>
                <w:sz w:val="18"/>
                <w:szCs w:val="18"/>
                <w:lang w:eastAsia="pl-PL"/>
              </w:rPr>
              <w:t>z eksploatacji (EOL-RIR)</w:t>
            </w:r>
          </w:p>
        </w:tc>
        <w:tc>
          <w:tcPr>
            <w:tcW w:w="1574" w:type="pct"/>
            <w:shd w:val="clear" w:color="auto" w:fill="auto"/>
            <w:tcMar>
              <w:top w:w="30" w:type="dxa"/>
              <w:left w:w="45" w:type="dxa"/>
              <w:bottom w:w="30" w:type="dxa"/>
              <w:right w:w="45" w:type="dxa"/>
            </w:tcMar>
            <w:vAlign w:val="center"/>
            <w:hideMark/>
          </w:tcPr>
          <w:p w14:paraId="273F0636" w14:textId="77777777" w:rsidR="00EA1321" w:rsidRPr="003478AF" w:rsidRDefault="00EA1321" w:rsidP="004C3B0B">
            <w:pPr>
              <w:spacing w:line="240" w:lineRule="auto"/>
              <w:ind w:firstLine="0"/>
              <w:jc w:val="center"/>
              <w:rPr>
                <w:rFonts w:eastAsia="Times New Roman" w:cs="Arial"/>
                <w:sz w:val="18"/>
                <w:szCs w:val="18"/>
                <w:lang w:eastAsia="pl-PL"/>
              </w:rPr>
            </w:pPr>
            <w:r w:rsidRPr="003478AF">
              <w:rPr>
                <w:rFonts w:eastAsia="Times New Roman" w:cs="Arial"/>
                <w:sz w:val="18"/>
                <w:szCs w:val="18"/>
                <w:lang w:eastAsia="pl-PL"/>
              </w:rPr>
              <w:t>%</w:t>
            </w:r>
          </w:p>
        </w:tc>
      </w:tr>
      <w:tr w:rsidR="00EA1321" w:rsidRPr="003478AF" w14:paraId="16BF07FF" w14:textId="77777777" w:rsidTr="001B0CB3">
        <w:trPr>
          <w:trHeight w:val="283"/>
          <w:jc w:val="center"/>
        </w:trPr>
        <w:tc>
          <w:tcPr>
            <w:tcW w:w="426" w:type="pct"/>
            <w:shd w:val="clear" w:color="auto" w:fill="auto"/>
            <w:vAlign w:val="center"/>
          </w:tcPr>
          <w:p w14:paraId="5F21C068" w14:textId="77777777" w:rsidR="00EA1321" w:rsidRPr="003478AF" w:rsidRDefault="00EA1321" w:rsidP="00532CE7">
            <w:pPr>
              <w:spacing w:line="240" w:lineRule="auto"/>
              <w:ind w:firstLine="0"/>
              <w:jc w:val="center"/>
              <w:rPr>
                <w:rFonts w:eastAsia="Times New Roman" w:cs="Arial"/>
                <w:sz w:val="18"/>
                <w:szCs w:val="18"/>
                <w:lang w:val="en-GB" w:eastAsia="pl-PL"/>
              </w:rPr>
            </w:pPr>
            <w:r w:rsidRPr="003478AF">
              <w:rPr>
                <w:rFonts w:eastAsia="Times New Roman" w:cs="Arial"/>
                <w:sz w:val="18"/>
                <w:szCs w:val="18"/>
                <w:lang w:val="en-GB" w:eastAsia="pl-PL"/>
              </w:rPr>
              <w:t>16</w:t>
            </w:r>
          </w:p>
        </w:tc>
        <w:tc>
          <w:tcPr>
            <w:tcW w:w="3000" w:type="pct"/>
            <w:shd w:val="clear" w:color="auto" w:fill="auto"/>
            <w:tcMar>
              <w:top w:w="30" w:type="dxa"/>
              <w:left w:w="45" w:type="dxa"/>
              <w:bottom w:w="30" w:type="dxa"/>
              <w:right w:w="45" w:type="dxa"/>
            </w:tcMar>
            <w:vAlign w:val="center"/>
            <w:hideMark/>
          </w:tcPr>
          <w:p w14:paraId="2CDF4979" w14:textId="77777777" w:rsidR="00EA1321" w:rsidRPr="003478AF" w:rsidRDefault="00EA1321" w:rsidP="00532CE7">
            <w:pPr>
              <w:spacing w:line="240" w:lineRule="auto"/>
              <w:ind w:firstLine="0"/>
              <w:jc w:val="left"/>
              <w:rPr>
                <w:rFonts w:eastAsia="Times New Roman" w:cs="Arial"/>
                <w:sz w:val="18"/>
                <w:szCs w:val="18"/>
                <w:lang w:eastAsia="pl-PL"/>
              </w:rPr>
            </w:pPr>
            <w:r w:rsidRPr="003478AF">
              <w:rPr>
                <w:rFonts w:eastAsia="Times New Roman" w:cs="Arial"/>
                <w:sz w:val="18"/>
                <w:szCs w:val="18"/>
                <w:lang w:eastAsia="pl-PL"/>
              </w:rPr>
              <w:t>Wskaźnik wykorzystania materiałów z recyklingu</w:t>
            </w:r>
          </w:p>
        </w:tc>
        <w:tc>
          <w:tcPr>
            <w:tcW w:w="1574" w:type="pct"/>
            <w:shd w:val="clear" w:color="auto" w:fill="auto"/>
            <w:tcMar>
              <w:top w:w="30" w:type="dxa"/>
              <w:left w:w="45" w:type="dxa"/>
              <w:bottom w:w="30" w:type="dxa"/>
              <w:right w:w="45" w:type="dxa"/>
            </w:tcMar>
            <w:vAlign w:val="center"/>
            <w:hideMark/>
          </w:tcPr>
          <w:p w14:paraId="0D126BD2" w14:textId="77777777" w:rsidR="00EA1321" w:rsidRPr="003478AF" w:rsidRDefault="00EA1321" w:rsidP="004C3B0B">
            <w:pPr>
              <w:spacing w:line="240" w:lineRule="auto"/>
              <w:ind w:firstLine="0"/>
              <w:jc w:val="center"/>
              <w:rPr>
                <w:rFonts w:eastAsia="Times New Roman" w:cs="Arial"/>
                <w:sz w:val="18"/>
                <w:szCs w:val="18"/>
                <w:lang w:eastAsia="pl-PL"/>
              </w:rPr>
            </w:pPr>
            <w:r w:rsidRPr="003478AF">
              <w:rPr>
                <w:rFonts w:eastAsia="Times New Roman" w:cs="Arial"/>
                <w:sz w:val="18"/>
                <w:szCs w:val="18"/>
                <w:lang w:eastAsia="pl-PL"/>
              </w:rPr>
              <w:t>%</w:t>
            </w:r>
          </w:p>
        </w:tc>
      </w:tr>
      <w:tr w:rsidR="009959BE" w:rsidRPr="003478AF" w14:paraId="34E1D410" w14:textId="77777777" w:rsidTr="001B0CB3">
        <w:trPr>
          <w:trHeight w:val="283"/>
          <w:jc w:val="center"/>
        </w:trPr>
        <w:tc>
          <w:tcPr>
            <w:tcW w:w="426" w:type="pct"/>
            <w:shd w:val="clear" w:color="auto" w:fill="auto"/>
            <w:vAlign w:val="center"/>
          </w:tcPr>
          <w:p w14:paraId="39A277A9" w14:textId="77777777" w:rsidR="009959BE" w:rsidRPr="003478AF" w:rsidRDefault="009959BE" w:rsidP="00532CE7">
            <w:pPr>
              <w:spacing w:line="240" w:lineRule="auto"/>
              <w:ind w:firstLine="0"/>
              <w:jc w:val="center"/>
              <w:rPr>
                <w:rFonts w:eastAsia="Times New Roman" w:cs="Arial"/>
                <w:sz w:val="18"/>
                <w:szCs w:val="18"/>
                <w:lang w:val="en-US" w:eastAsia="pl-PL"/>
              </w:rPr>
            </w:pPr>
            <w:r w:rsidRPr="003478AF">
              <w:rPr>
                <w:rFonts w:eastAsia="Times New Roman" w:cs="Arial"/>
                <w:sz w:val="18"/>
                <w:szCs w:val="18"/>
                <w:lang w:val="en-US" w:eastAsia="pl-PL"/>
              </w:rPr>
              <w:t>17</w:t>
            </w:r>
          </w:p>
        </w:tc>
        <w:tc>
          <w:tcPr>
            <w:tcW w:w="3000" w:type="pct"/>
            <w:shd w:val="clear" w:color="auto" w:fill="auto"/>
            <w:tcMar>
              <w:top w:w="30" w:type="dxa"/>
              <w:left w:w="45" w:type="dxa"/>
              <w:bottom w:w="30" w:type="dxa"/>
              <w:right w:w="45" w:type="dxa"/>
            </w:tcMar>
            <w:vAlign w:val="center"/>
            <w:hideMark/>
          </w:tcPr>
          <w:p w14:paraId="28D566D0" w14:textId="77777777" w:rsidR="009959BE" w:rsidRPr="003478AF" w:rsidRDefault="009959BE" w:rsidP="00532CE7">
            <w:pPr>
              <w:spacing w:line="240" w:lineRule="auto"/>
              <w:ind w:firstLine="0"/>
              <w:jc w:val="left"/>
              <w:rPr>
                <w:rFonts w:eastAsia="Times New Roman" w:cs="Arial"/>
                <w:sz w:val="18"/>
                <w:szCs w:val="18"/>
                <w:lang w:eastAsia="pl-PL"/>
              </w:rPr>
            </w:pPr>
            <w:r w:rsidRPr="003478AF">
              <w:rPr>
                <w:rFonts w:eastAsia="Times New Roman" w:cs="Arial"/>
                <w:sz w:val="18"/>
                <w:szCs w:val="18"/>
                <w:lang w:eastAsia="pl-PL"/>
              </w:rPr>
              <w:t>Import z krajów spoza UE (dla UE27)</w:t>
            </w:r>
          </w:p>
        </w:tc>
        <w:tc>
          <w:tcPr>
            <w:tcW w:w="1574" w:type="pct"/>
            <w:shd w:val="clear" w:color="auto" w:fill="auto"/>
            <w:tcMar>
              <w:top w:w="30" w:type="dxa"/>
              <w:left w:w="45" w:type="dxa"/>
              <w:bottom w:w="30" w:type="dxa"/>
              <w:right w:w="45" w:type="dxa"/>
            </w:tcMar>
            <w:hideMark/>
          </w:tcPr>
          <w:p w14:paraId="1DD5F9EE" w14:textId="03FB21F9" w:rsidR="009959BE" w:rsidRPr="003478AF" w:rsidRDefault="00E659F0" w:rsidP="009959BE">
            <w:pPr>
              <w:spacing w:line="240" w:lineRule="auto"/>
              <w:ind w:firstLine="0"/>
              <w:jc w:val="center"/>
              <w:rPr>
                <w:rFonts w:eastAsia="Times New Roman" w:cs="Arial"/>
                <w:sz w:val="18"/>
                <w:szCs w:val="18"/>
                <w:lang w:eastAsia="pl-PL"/>
              </w:rPr>
            </w:pPr>
            <w:r w:rsidRPr="003478AF">
              <w:rPr>
                <w:rFonts w:eastAsia="Times New Roman" w:cs="Arial"/>
                <w:sz w:val="18"/>
                <w:szCs w:val="18"/>
                <w:lang w:eastAsia="pl-PL"/>
              </w:rPr>
              <w:t>t</w:t>
            </w:r>
          </w:p>
        </w:tc>
      </w:tr>
      <w:tr w:rsidR="009959BE" w:rsidRPr="003478AF" w14:paraId="61FCB32B" w14:textId="77777777" w:rsidTr="001B0CB3">
        <w:trPr>
          <w:trHeight w:val="283"/>
          <w:jc w:val="center"/>
        </w:trPr>
        <w:tc>
          <w:tcPr>
            <w:tcW w:w="426" w:type="pct"/>
            <w:shd w:val="clear" w:color="auto" w:fill="auto"/>
            <w:vAlign w:val="center"/>
          </w:tcPr>
          <w:p w14:paraId="569130EB" w14:textId="77777777" w:rsidR="009959BE" w:rsidRPr="003478AF" w:rsidRDefault="009959BE" w:rsidP="00532CE7">
            <w:pPr>
              <w:spacing w:line="240" w:lineRule="auto"/>
              <w:ind w:firstLine="0"/>
              <w:jc w:val="center"/>
              <w:rPr>
                <w:rFonts w:eastAsia="Times New Roman" w:cs="Arial"/>
                <w:sz w:val="18"/>
                <w:szCs w:val="18"/>
                <w:lang w:eastAsia="pl-PL"/>
              </w:rPr>
            </w:pPr>
            <w:r w:rsidRPr="003478AF">
              <w:rPr>
                <w:rFonts w:eastAsia="Times New Roman" w:cs="Arial"/>
                <w:sz w:val="18"/>
                <w:szCs w:val="18"/>
                <w:lang w:eastAsia="pl-PL"/>
              </w:rPr>
              <w:t>18</w:t>
            </w:r>
          </w:p>
        </w:tc>
        <w:tc>
          <w:tcPr>
            <w:tcW w:w="3000" w:type="pct"/>
            <w:shd w:val="clear" w:color="auto" w:fill="auto"/>
            <w:tcMar>
              <w:top w:w="30" w:type="dxa"/>
              <w:left w:w="45" w:type="dxa"/>
              <w:bottom w:w="30" w:type="dxa"/>
              <w:right w:w="45" w:type="dxa"/>
            </w:tcMar>
            <w:vAlign w:val="center"/>
            <w:hideMark/>
          </w:tcPr>
          <w:p w14:paraId="1B0E8FAD" w14:textId="77777777" w:rsidR="009959BE" w:rsidRPr="003478AF" w:rsidRDefault="009959BE" w:rsidP="00532CE7">
            <w:pPr>
              <w:spacing w:line="240" w:lineRule="auto"/>
              <w:ind w:firstLine="0"/>
              <w:jc w:val="left"/>
              <w:rPr>
                <w:rFonts w:eastAsia="Times New Roman" w:cs="Arial"/>
                <w:sz w:val="18"/>
                <w:szCs w:val="18"/>
                <w:lang w:eastAsia="pl-PL"/>
              </w:rPr>
            </w:pPr>
            <w:r w:rsidRPr="003478AF">
              <w:rPr>
                <w:rFonts w:eastAsia="Times New Roman" w:cs="Arial"/>
                <w:sz w:val="18"/>
                <w:szCs w:val="18"/>
                <w:lang w:eastAsia="pl-PL"/>
              </w:rPr>
              <w:t>Eksport do krajów spoza UE (dla UE27)</w:t>
            </w:r>
          </w:p>
        </w:tc>
        <w:tc>
          <w:tcPr>
            <w:tcW w:w="1574" w:type="pct"/>
            <w:shd w:val="clear" w:color="auto" w:fill="auto"/>
            <w:tcMar>
              <w:top w:w="30" w:type="dxa"/>
              <w:left w:w="45" w:type="dxa"/>
              <w:bottom w:w="30" w:type="dxa"/>
              <w:right w:w="45" w:type="dxa"/>
            </w:tcMar>
            <w:hideMark/>
          </w:tcPr>
          <w:p w14:paraId="18AA8D55" w14:textId="0D01DF35" w:rsidR="009959BE" w:rsidRPr="003478AF" w:rsidRDefault="00E659F0" w:rsidP="009959BE">
            <w:pPr>
              <w:spacing w:line="240" w:lineRule="auto"/>
              <w:ind w:firstLine="0"/>
              <w:jc w:val="center"/>
              <w:rPr>
                <w:rFonts w:eastAsia="Times New Roman" w:cs="Arial"/>
                <w:sz w:val="18"/>
                <w:szCs w:val="18"/>
                <w:lang w:eastAsia="pl-PL"/>
              </w:rPr>
            </w:pPr>
            <w:r w:rsidRPr="003478AF">
              <w:rPr>
                <w:rFonts w:eastAsia="Times New Roman" w:cs="Arial"/>
                <w:sz w:val="18"/>
                <w:szCs w:val="18"/>
                <w:lang w:eastAsia="pl-PL"/>
              </w:rPr>
              <w:t>t</w:t>
            </w:r>
          </w:p>
        </w:tc>
      </w:tr>
      <w:tr w:rsidR="009959BE" w:rsidRPr="003478AF" w14:paraId="0CEC6455" w14:textId="77777777" w:rsidTr="001B0CB3">
        <w:trPr>
          <w:trHeight w:val="283"/>
          <w:jc w:val="center"/>
        </w:trPr>
        <w:tc>
          <w:tcPr>
            <w:tcW w:w="426" w:type="pct"/>
            <w:shd w:val="clear" w:color="auto" w:fill="auto"/>
            <w:vAlign w:val="center"/>
          </w:tcPr>
          <w:p w14:paraId="367268CA" w14:textId="77777777" w:rsidR="009959BE" w:rsidRPr="003478AF" w:rsidRDefault="009959BE" w:rsidP="00532CE7">
            <w:pPr>
              <w:spacing w:line="240" w:lineRule="auto"/>
              <w:ind w:firstLine="0"/>
              <w:jc w:val="center"/>
              <w:rPr>
                <w:rFonts w:eastAsia="Times New Roman" w:cs="Arial"/>
                <w:sz w:val="18"/>
                <w:szCs w:val="18"/>
                <w:lang w:eastAsia="pl-PL"/>
              </w:rPr>
            </w:pPr>
            <w:r w:rsidRPr="003478AF">
              <w:rPr>
                <w:rFonts w:eastAsia="Times New Roman" w:cs="Arial"/>
                <w:sz w:val="18"/>
                <w:szCs w:val="18"/>
                <w:lang w:eastAsia="pl-PL"/>
              </w:rPr>
              <w:t>19</w:t>
            </w:r>
          </w:p>
        </w:tc>
        <w:tc>
          <w:tcPr>
            <w:tcW w:w="3000" w:type="pct"/>
            <w:shd w:val="clear" w:color="auto" w:fill="auto"/>
            <w:tcMar>
              <w:top w:w="30" w:type="dxa"/>
              <w:left w:w="45" w:type="dxa"/>
              <w:bottom w:w="30" w:type="dxa"/>
              <w:right w:w="45" w:type="dxa"/>
            </w:tcMar>
            <w:vAlign w:val="center"/>
            <w:hideMark/>
          </w:tcPr>
          <w:p w14:paraId="5E2AE400" w14:textId="77777777" w:rsidR="009959BE" w:rsidRPr="003478AF" w:rsidRDefault="009959BE" w:rsidP="00532CE7">
            <w:pPr>
              <w:spacing w:line="240" w:lineRule="auto"/>
              <w:ind w:firstLine="0"/>
              <w:jc w:val="left"/>
              <w:rPr>
                <w:rFonts w:eastAsia="Times New Roman" w:cs="Arial"/>
                <w:sz w:val="18"/>
                <w:szCs w:val="18"/>
                <w:lang w:eastAsia="pl-PL"/>
              </w:rPr>
            </w:pPr>
            <w:r w:rsidRPr="003478AF">
              <w:rPr>
                <w:rFonts w:eastAsia="Times New Roman" w:cs="Arial"/>
                <w:sz w:val="18"/>
                <w:szCs w:val="18"/>
                <w:lang w:eastAsia="pl-PL"/>
              </w:rPr>
              <w:t>Handel wewnątrz UE</w:t>
            </w:r>
          </w:p>
        </w:tc>
        <w:tc>
          <w:tcPr>
            <w:tcW w:w="1574" w:type="pct"/>
            <w:shd w:val="clear" w:color="auto" w:fill="auto"/>
            <w:tcMar>
              <w:top w:w="30" w:type="dxa"/>
              <w:left w:w="45" w:type="dxa"/>
              <w:bottom w:w="30" w:type="dxa"/>
              <w:right w:w="45" w:type="dxa"/>
            </w:tcMar>
            <w:hideMark/>
          </w:tcPr>
          <w:p w14:paraId="2E79ACF1" w14:textId="71A76182" w:rsidR="009959BE" w:rsidRPr="003478AF" w:rsidRDefault="00E659F0" w:rsidP="009959BE">
            <w:pPr>
              <w:spacing w:line="240" w:lineRule="auto"/>
              <w:ind w:firstLine="0"/>
              <w:jc w:val="center"/>
              <w:rPr>
                <w:rFonts w:eastAsia="Times New Roman" w:cs="Arial"/>
                <w:sz w:val="18"/>
                <w:szCs w:val="18"/>
                <w:lang w:eastAsia="pl-PL"/>
              </w:rPr>
            </w:pPr>
            <w:r w:rsidRPr="003478AF">
              <w:rPr>
                <w:rFonts w:eastAsia="Times New Roman" w:cs="Arial"/>
                <w:sz w:val="18"/>
                <w:szCs w:val="18"/>
                <w:lang w:eastAsia="pl-PL"/>
              </w:rPr>
              <w:t>t</w:t>
            </w:r>
          </w:p>
        </w:tc>
      </w:tr>
      <w:tr w:rsidR="00EA1321" w:rsidRPr="003478AF" w14:paraId="1A02A62D" w14:textId="77777777" w:rsidTr="001B0CB3">
        <w:trPr>
          <w:trHeight w:val="283"/>
          <w:jc w:val="center"/>
        </w:trPr>
        <w:tc>
          <w:tcPr>
            <w:tcW w:w="426" w:type="pct"/>
            <w:shd w:val="clear" w:color="auto" w:fill="auto"/>
            <w:vAlign w:val="center"/>
          </w:tcPr>
          <w:p w14:paraId="63D1CEFE" w14:textId="77777777" w:rsidR="00EA1321" w:rsidRPr="003478AF" w:rsidRDefault="00EA1321" w:rsidP="00532CE7">
            <w:pPr>
              <w:spacing w:line="240" w:lineRule="auto"/>
              <w:ind w:firstLine="0"/>
              <w:jc w:val="center"/>
              <w:rPr>
                <w:rFonts w:eastAsia="Times New Roman" w:cs="Arial"/>
                <w:sz w:val="18"/>
                <w:szCs w:val="18"/>
                <w:lang w:eastAsia="pl-PL"/>
              </w:rPr>
            </w:pPr>
            <w:r w:rsidRPr="003478AF">
              <w:rPr>
                <w:rFonts w:eastAsia="Times New Roman" w:cs="Arial"/>
                <w:sz w:val="18"/>
                <w:szCs w:val="18"/>
                <w:lang w:eastAsia="pl-PL"/>
              </w:rPr>
              <w:t>20</w:t>
            </w:r>
          </w:p>
        </w:tc>
        <w:tc>
          <w:tcPr>
            <w:tcW w:w="3000" w:type="pct"/>
            <w:shd w:val="clear" w:color="auto" w:fill="auto"/>
            <w:tcMar>
              <w:top w:w="30" w:type="dxa"/>
              <w:left w:w="45" w:type="dxa"/>
              <w:bottom w:w="30" w:type="dxa"/>
              <w:right w:w="45" w:type="dxa"/>
            </w:tcMar>
            <w:vAlign w:val="center"/>
            <w:hideMark/>
          </w:tcPr>
          <w:p w14:paraId="02FED65F" w14:textId="3214F5C3" w:rsidR="00EA1321" w:rsidRPr="003478AF" w:rsidRDefault="00EA1321" w:rsidP="00532CE7">
            <w:pPr>
              <w:spacing w:line="240" w:lineRule="auto"/>
              <w:ind w:firstLine="0"/>
              <w:jc w:val="left"/>
              <w:rPr>
                <w:rFonts w:eastAsia="Times New Roman" w:cs="Arial"/>
                <w:sz w:val="18"/>
                <w:szCs w:val="18"/>
                <w:lang w:eastAsia="pl-PL"/>
              </w:rPr>
            </w:pPr>
            <w:r w:rsidRPr="003478AF">
              <w:rPr>
                <w:rFonts w:eastAsia="Times New Roman" w:cs="Arial"/>
                <w:sz w:val="18"/>
                <w:szCs w:val="18"/>
                <w:lang w:eastAsia="pl-PL"/>
              </w:rPr>
              <w:t>Inwestycje brutto w dobra materialne</w:t>
            </w:r>
          </w:p>
        </w:tc>
        <w:tc>
          <w:tcPr>
            <w:tcW w:w="1574" w:type="pct"/>
            <w:shd w:val="clear" w:color="auto" w:fill="auto"/>
            <w:tcMar>
              <w:top w:w="30" w:type="dxa"/>
              <w:left w:w="45" w:type="dxa"/>
              <w:bottom w:w="30" w:type="dxa"/>
              <w:right w:w="45" w:type="dxa"/>
            </w:tcMar>
            <w:vAlign w:val="center"/>
            <w:hideMark/>
          </w:tcPr>
          <w:p w14:paraId="0572A3CD" w14:textId="1CBE3D61" w:rsidR="00EA1321" w:rsidRPr="003478AF" w:rsidRDefault="00EA1321" w:rsidP="00ED6DF8">
            <w:pPr>
              <w:spacing w:line="240" w:lineRule="auto"/>
              <w:ind w:firstLine="0"/>
              <w:jc w:val="center"/>
              <w:rPr>
                <w:rFonts w:eastAsia="Times New Roman" w:cs="Arial"/>
                <w:sz w:val="18"/>
                <w:szCs w:val="18"/>
                <w:lang w:eastAsia="pl-PL"/>
              </w:rPr>
            </w:pPr>
            <w:r w:rsidRPr="003478AF">
              <w:rPr>
                <w:rFonts w:eastAsia="Times New Roman" w:cs="Arial"/>
                <w:sz w:val="18"/>
                <w:szCs w:val="18"/>
                <w:lang w:eastAsia="pl-PL"/>
              </w:rPr>
              <w:t>% PKB w cenach bieżących</w:t>
            </w:r>
          </w:p>
        </w:tc>
      </w:tr>
      <w:tr w:rsidR="00EA1321" w:rsidRPr="003478AF" w14:paraId="5AD42A58" w14:textId="77777777" w:rsidTr="001B0CB3">
        <w:trPr>
          <w:trHeight w:val="283"/>
          <w:jc w:val="center"/>
        </w:trPr>
        <w:tc>
          <w:tcPr>
            <w:tcW w:w="426" w:type="pct"/>
            <w:shd w:val="clear" w:color="auto" w:fill="auto"/>
            <w:vAlign w:val="center"/>
          </w:tcPr>
          <w:p w14:paraId="72ADC761" w14:textId="77777777" w:rsidR="00EA1321" w:rsidRPr="003478AF" w:rsidRDefault="00EA1321" w:rsidP="00532CE7">
            <w:pPr>
              <w:spacing w:line="240" w:lineRule="auto"/>
              <w:ind w:firstLine="0"/>
              <w:jc w:val="center"/>
              <w:rPr>
                <w:rFonts w:eastAsia="Times New Roman" w:cs="Arial"/>
                <w:sz w:val="18"/>
                <w:szCs w:val="18"/>
                <w:lang w:eastAsia="pl-PL"/>
              </w:rPr>
            </w:pPr>
            <w:r w:rsidRPr="003478AF">
              <w:rPr>
                <w:rFonts w:eastAsia="Times New Roman" w:cs="Arial"/>
                <w:sz w:val="18"/>
                <w:szCs w:val="18"/>
                <w:lang w:eastAsia="pl-PL"/>
              </w:rPr>
              <w:t>21</w:t>
            </w:r>
          </w:p>
        </w:tc>
        <w:tc>
          <w:tcPr>
            <w:tcW w:w="3000" w:type="pct"/>
            <w:shd w:val="clear" w:color="auto" w:fill="auto"/>
            <w:tcMar>
              <w:top w:w="30" w:type="dxa"/>
              <w:left w:w="45" w:type="dxa"/>
              <w:bottom w:w="30" w:type="dxa"/>
              <w:right w:w="45" w:type="dxa"/>
            </w:tcMar>
            <w:vAlign w:val="center"/>
            <w:hideMark/>
          </w:tcPr>
          <w:p w14:paraId="0FC6CA4B" w14:textId="692519BF" w:rsidR="00EA1321" w:rsidRPr="003478AF" w:rsidRDefault="00EA1321" w:rsidP="00532CE7">
            <w:pPr>
              <w:spacing w:line="240" w:lineRule="auto"/>
              <w:ind w:firstLine="0"/>
              <w:jc w:val="left"/>
              <w:rPr>
                <w:rFonts w:eastAsia="Times New Roman" w:cs="Arial"/>
                <w:sz w:val="18"/>
                <w:szCs w:val="18"/>
                <w:lang w:eastAsia="pl-PL"/>
              </w:rPr>
            </w:pPr>
            <w:r w:rsidRPr="003478AF">
              <w:rPr>
                <w:rFonts w:eastAsia="Times New Roman" w:cs="Arial"/>
                <w:sz w:val="18"/>
                <w:szCs w:val="18"/>
                <w:lang w:eastAsia="pl-PL"/>
              </w:rPr>
              <w:t>Osoby zatrudnione</w:t>
            </w:r>
          </w:p>
        </w:tc>
        <w:tc>
          <w:tcPr>
            <w:tcW w:w="1574" w:type="pct"/>
            <w:shd w:val="clear" w:color="auto" w:fill="auto"/>
            <w:tcMar>
              <w:top w:w="30" w:type="dxa"/>
              <w:left w:w="45" w:type="dxa"/>
              <w:bottom w:w="30" w:type="dxa"/>
              <w:right w:w="45" w:type="dxa"/>
            </w:tcMar>
            <w:vAlign w:val="center"/>
            <w:hideMark/>
          </w:tcPr>
          <w:p w14:paraId="584B4648" w14:textId="08F3F148" w:rsidR="00EA1321" w:rsidRPr="003478AF" w:rsidRDefault="00EA1321" w:rsidP="004C3B0B">
            <w:pPr>
              <w:spacing w:line="240" w:lineRule="auto"/>
              <w:ind w:firstLine="0"/>
              <w:jc w:val="center"/>
              <w:rPr>
                <w:rFonts w:eastAsia="Times New Roman" w:cs="Arial"/>
                <w:sz w:val="18"/>
                <w:szCs w:val="18"/>
                <w:lang w:eastAsia="pl-PL"/>
              </w:rPr>
            </w:pPr>
            <w:r w:rsidRPr="003478AF">
              <w:rPr>
                <w:rFonts w:eastAsia="Times New Roman" w:cs="Arial"/>
                <w:sz w:val="18"/>
                <w:szCs w:val="18"/>
                <w:lang w:eastAsia="pl-PL"/>
              </w:rPr>
              <w:t>% całkowitego zatrudnienia</w:t>
            </w:r>
          </w:p>
        </w:tc>
      </w:tr>
      <w:tr w:rsidR="00EA1321" w:rsidRPr="003478AF" w14:paraId="2C4603CE" w14:textId="77777777" w:rsidTr="001B0CB3">
        <w:trPr>
          <w:trHeight w:val="283"/>
          <w:jc w:val="center"/>
        </w:trPr>
        <w:tc>
          <w:tcPr>
            <w:tcW w:w="426" w:type="pct"/>
            <w:shd w:val="clear" w:color="auto" w:fill="auto"/>
            <w:vAlign w:val="center"/>
          </w:tcPr>
          <w:p w14:paraId="18696B48" w14:textId="77777777" w:rsidR="00EA1321" w:rsidRPr="003478AF" w:rsidRDefault="00EA1321" w:rsidP="00532CE7">
            <w:pPr>
              <w:spacing w:line="240" w:lineRule="auto"/>
              <w:ind w:firstLine="0"/>
              <w:jc w:val="center"/>
              <w:rPr>
                <w:rFonts w:eastAsia="Times New Roman" w:cs="Arial"/>
                <w:sz w:val="18"/>
                <w:szCs w:val="18"/>
                <w:lang w:eastAsia="pl-PL"/>
              </w:rPr>
            </w:pPr>
            <w:r w:rsidRPr="003478AF">
              <w:rPr>
                <w:rFonts w:eastAsia="Times New Roman" w:cs="Arial"/>
                <w:sz w:val="18"/>
                <w:szCs w:val="18"/>
                <w:lang w:eastAsia="pl-PL"/>
              </w:rPr>
              <w:t>22</w:t>
            </w:r>
          </w:p>
        </w:tc>
        <w:tc>
          <w:tcPr>
            <w:tcW w:w="3000" w:type="pct"/>
            <w:shd w:val="clear" w:color="auto" w:fill="auto"/>
            <w:tcMar>
              <w:top w:w="30" w:type="dxa"/>
              <w:left w:w="45" w:type="dxa"/>
              <w:bottom w:w="30" w:type="dxa"/>
              <w:right w:w="45" w:type="dxa"/>
            </w:tcMar>
            <w:vAlign w:val="center"/>
            <w:hideMark/>
          </w:tcPr>
          <w:p w14:paraId="1F455F8E" w14:textId="4F59A168" w:rsidR="00EA1321" w:rsidRPr="003478AF" w:rsidRDefault="00EA1321" w:rsidP="00532CE7">
            <w:pPr>
              <w:spacing w:line="240" w:lineRule="auto"/>
              <w:ind w:firstLine="0"/>
              <w:jc w:val="left"/>
              <w:rPr>
                <w:rFonts w:eastAsia="Times New Roman" w:cs="Arial"/>
                <w:sz w:val="18"/>
                <w:szCs w:val="18"/>
                <w:lang w:eastAsia="pl-PL"/>
              </w:rPr>
            </w:pPr>
            <w:r w:rsidRPr="003478AF">
              <w:rPr>
                <w:rFonts w:eastAsia="Times New Roman" w:cs="Arial"/>
                <w:sz w:val="18"/>
                <w:szCs w:val="18"/>
                <w:lang w:eastAsia="pl-PL"/>
              </w:rPr>
              <w:t>Wartość dodana po kosztach czynników produkcji</w:t>
            </w:r>
          </w:p>
        </w:tc>
        <w:tc>
          <w:tcPr>
            <w:tcW w:w="1574" w:type="pct"/>
            <w:shd w:val="clear" w:color="auto" w:fill="auto"/>
            <w:tcMar>
              <w:top w:w="30" w:type="dxa"/>
              <w:left w:w="45" w:type="dxa"/>
              <w:bottom w:w="30" w:type="dxa"/>
              <w:right w:w="45" w:type="dxa"/>
            </w:tcMar>
            <w:vAlign w:val="center"/>
            <w:hideMark/>
          </w:tcPr>
          <w:p w14:paraId="436F9F7B" w14:textId="16F5E2D0" w:rsidR="00EA1321" w:rsidRPr="003478AF" w:rsidRDefault="00EA1321" w:rsidP="00ED6DF8">
            <w:pPr>
              <w:spacing w:line="240" w:lineRule="auto"/>
              <w:ind w:firstLine="0"/>
              <w:jc w:val="center"/>
              <w:rPr>
                <w:rFonts w:eastAsia="Times New Roman" w:cs="Arial"/>
                <w:sz w:val="18"/>
                <w:szCs w:val="18"/>
                <w:lang w:eastAsia="pl-PL"/>
              </w:rPr>
            </w:pPr>
            <w:r w:rsidRPr="003478AF">
              <w:rPr>
                <w:rFonts w:eastAsia="Times New Roman" w:cs="Arial"/>
                <w:sz w:val="18"/>
                <w:szCs w:val="18"/>
                <w:lang w:eastAsia="pl-PL"/>
              </w:rPr>
              <w:t>% PKB w cenach bieżących</w:t>
            </w:r>
          </w:p>
        </w:tc>
      </w:tr>
      <w:tr w:rsidR="00EA1321" w:rsidRPr="003478AF" w14:paraId="0D2FFA18" w14:textId="77777777" w:rsidTr="001B0CB3">
        <w:trPr>
          <w:trHeight w:val="283"/>
          <w:jc w:val="center"/>
        </w:trPr>
        <w:tc>
          <w:tcPr>
            <w:tcW w:w="426" w:type="pct"/>
            <w:shd w:val="clear" w:color="auto" w:fill="auto"/>
            <w:vAlign w:val="center"/>
          </w:tcPr>
          <w:p w14:paraId="150CD2AD" w14:textId="77777777" w:rsidR="00EA1321" w:rsidRPr="003478AF" w:rsidRDefault="00EA1321" w:rsidP="00532CE7">
            <w:pPr>
              <w:spacing w:line="240" w:lineRule="auto"/>
              <w:ind w:firstLine="0"/>
              <w:jc w:val="center"/>
              <w:rPr>
                <w:rFonts w:eastAsia="Times New Roman" w:cs="Arial"/>
                <w:sz w:val="18"/>
                <w:szCs w:val="18"/>
                <w:lang w:eastAsia="pl-PL"/>
              </w:rPr>
            </w:pPr>
            <w:r w:rsidRPr="003478AF">
              <w:rPr>
                <w:rFonts w:eastAsia="Times New Roman" w:cs="Arial"/>
                <w:sz w:val="18"/>
                <w:szCs w:val="18"/>
                <w:lang w:eastAsia="pl-PL"/>
              </w:rPr>
              <w:t>23</w:t>
            </w:r>
          </w:p>
        </w:tc>
        <w:tc>
          <w:tcPr>
            <w:tcW w:w="3000" w:type="pct"/>
            <w:shd w:val="clear" w:color="auto" w:fill="auto"/>
            <w:tcMar>
              <w:top w:w="30" w:type="dxa"/>
              <w:left w:w="45" w:type="dxa"/>
              <w:bottom w:w="30" w:type="dxa"/>
              <w:right w:w="45" w:type="dxa"/>
            </w:tcMar>
            <w:vAlign w:val="center"/>
            <w:hideMark/>
          </w:tcPr>
          <w:p w14:paraId="27FAEC59" w14:textId="77777777" w:rsidR="00EA1321" w:rsidRPr="003478AF" w:rsidRDefault="00EA1321" w:rsidP="00532CE7">
            <w:pPr>
              <w:spacing w:line="240" w:lineRule="auto"/>
              <w:ind w:firstLine="0"/>
              <w:jc w:val="left"/>
              <w:rPr>
                <w:rFonts w:eastAsia="Times New Roman" w:cs="Arial"/>
                <w:sz w:val="18"/>
                <w:szCs w:val="18"/>
                <w:lang w:eastAsia="pl-PL"/>
              </w:rPr>
            </w:pPr>
            <w:r w:rsidRPr="003478AF">
              <w:rPr>
                <w:rFonts w:eastAsia="Times New Roman" w:cs="Arial"/>
                <w:sz w:val="18"/>
                <w:szCs w:val="18"/>
                <w:lang w:eastAsia="pl-PL"/>
              </w:rPr>
              <w:t>Liczba patentów związanych z recyklingiem i surowcami wtórnymi</w:t>
            </w:r>
          </w:p>
        </w:tc>
        <w:tc>
          <w:tcPr>
            <w:tcW w:w="1574" w:type="pct"/>
            <w:shd w:val="clear" w:color="auto" w:fill="auto"/>
            <w:tcMar>
              <w:top w:w="30" w:type="dxa"/>
              <w:left w:w="45" w:type="dxa"/>
              <w:bottom w:w="30" w:type="dxa"/>
              <w:right w:w="45" w:type="dxa"/>
            </w:tcMar>
            <w:vAlign w:val="center"/>
          </w:tcPr>
          <w:p w14:paraId="6049E055" w14:textId="4BB524EF" w:rsidR="00EA1321" w:rsidRPr="003478AF" w:rsidRDefault="00E659F0" w:rsidP="004C3B0B">
            <w:pPr>
              <w:spacing w:line="240" w:lineRule="auto"/>
              <w:ind w:firstLine="0"/>
              <w:jc w:val="center"/>
              <w:rPr>
                <w:rFonts w:eastAsia="Times New Roman" w:cs="Arial"/>
                <w:sz w:val="18"/>
                <w:szCs w:val="18"/>
                <w:lang w:eastAsia="pl-PL"/>
              </w:rPr>
            </w:pPr>
            <w:r w:rsidRPr="003478AF">
              <w:rPr>
                <w:rFonts w:eastAsia="Times New Roman" w:cs="Arial"/>
                <w:sz w:val="18"/>
                <w:szCs w:val="18"/>
                <w:lang w:eastAsia="pl-PL"/>
              </w:rPr>
              <w:t>szt.</w:t>
            </w:r>
          </w:p>
        </w:tc>
      </w:tr>
    </w:tbl>
    <w:p w14:paraId="35647581" w14:textId="77777777" w:rsidR="005F43F3" w:rsidRPr="003478AF" w:rsidRDefault="005F43F3" w:rsidP="00986D40">
      <w:pPr>
        <w:pStyle w:val="AZRODLO"/>
      </w:pPr>
      <w:r w:rsidRPr="003478AF">
        <w:t>Źródło: Eurostat: https://ec.europa.eu/eurostat/web/circular-economy/indicators/monitoring-framework</w:t>
      </w:r>
    </w:p>
    <w:p w14:paraId="440AE21D" w14:textId="77777777" w:rsidR="00E7414E" w:rsidRPr="003478AF" w:rsidRDefault="00E7414E" w:rsidP="005F43F3">
      <w:pPr>
        <w:rPr>
          <w:rFonts w:eastAsia="Arial" w:cs="Arial"/>
          <w:szCs w:val="20"/>
        </w:rPr>
      </w:pPr>
    </w:p>
    <w:p w14:paraId="717D2B0A" w14:textId="35BC7C11" w:rsidR="005F43F3" w:rsidRPr="003478AF" w:rsidRDefault="005F43F3" w:rsidP="005F43F3">
      <w:pPr>
        <w:rPr>
          <w:rFonts w:eastAsia="Arial" w:cs="Arial"/>
          <w:szCs w:val="20"/>
        </w:rPr>
      </w:pPr>
      <w:r w:rsidRPr="003478AF">
        <w:rPr>
          <w:rFonts w:eastAsia="Arial" w:cs="Arial"/>
          <w:szCs w:val="20"/>
        </w:rPr>
        <w:t>W Polsce dokumentem str</w:t>
      </w:r>
      <w:r w:rsidR="00FE614B" w:rsidRPr="003478AF">
        <w:rPr>
          <w:rFonts w:eastAsia="Arial" w:cs="Arial"/>
          <w:szCs w:val="20"/>
        </w:rPr>
        <w:t>icte dedykowanym GOZ jest Mapa D</w:t>
      </w:r>
      <w:r w:rsidRPr="003478AF">
        <w:rPr>
          <w:rFonts w:eastAsia="Arial" w:cs="Arial"/>
          <w:szCs w:val="20"/>
        </w:rPr>
        <w:t>rogowa</w:t>
      </w:r>
      <w:r w:rsidR="00FE614B" w:rsidRPr="003478AF">
        <w:rPr>
          <w:rFonts w:eastAsia="Arial" w:cs="Arial"/>
          <w:szCs w:val="20"/>
        </w:rPr>
        <w:t xml:space="preserve"> GOZ</w:t>
      </w:r>
      <w:r w:rsidRPr="003478AF">
        <w:rPr>
          <w:rFonts w:eastAsia="Arial" w:cs="Arial"/>
          <w:szCs w:val="20"/>
        </w:rPr>
        <w:t>, która została przyjęta przez Radę Ministrów w 2019 r</w:t>
      </w:r>
      <w:r w:rsidR="00947A98" w:rsidRPr="003478AF">
        <w:rPr>
          <w:rFonts w:eastAsia="Arial" w:cs="Arial"/>
          <w:szCs w:val="20"/>
        </w:rPr>
        <w:t>oku</w:t>
      </w:r>
      <w:r w:rsidRPr="003478AF">
        <w:rPr>
          <w:rFonts w:eastAsia="Arial" w:cs="Arial"/>
          <w:szCs w:val="20"/>
        </w:rPr>
        <w:t>. Widniej</w:t>
      </w:r>
      <w:r w:rsidR="00861C02" w:rsidRPr="003478AF">
        <w:rPr>
          <w:rFonts w:eastAsia="Arial" w:cs="Arial"/>
          <w:szCs w:val="20"/>
        </w:rPr>
        <w:t>e</w:t>
      </w:r>
      <w:r w:rsidRPr="003478AF">
        <w:rPr>
          <w:rFonts w:eastAsia="Arial" w:cs="Arial"/>
          <w:szCs w:val="20"/>
        </w:rPr>
        <w:t xml:space="preserve"> w niej zapis o konieczności wypracowania wskaźników wpływu GOZ na rozwój społeczno-gospodarczy na poziomie</w:t>
      </w:r>
      <w:r w:rsidR="00805E8E" w:rsidRPr="003478AF">
        <w:rPr>
          <w:rFonts w:eastAsia="Arial" w:cs="Arial"/>
          <w:szCs w:val="20"/>
        </w:rPr>
        <w:t xml:space="preserve"> </w:t>
      </w:r>
      <w:r w:rsidRPr="003478AF">
        <w:rPr>
          <w:rFonts w:eastAsia="Arial" w:cs="Arial"/>
          <w:szCs w:val="20"/>
        </w:rPr>
        <w:t>regionów i</w:t>
      </w:r>
      <w:r w:rsidR="00805E8E" w:rsidRPr="003478AF">
        <w:rPr>
          <w:rFonts w:eastAsia="Arial" w:cs="Arial"/>
          <w:szCs w:val="20"/>
        </w:rPr>
        <w:t xml:space="preserve"> </w:t>
      </w:r>
      <w:r w:rsidRPr="003478AF">
        <w:rPr>
          <w:rFonts w:eastAsia="Arial" w:cs="Arial"/>
          <w:szCs w:val="20"/>
        </w:rPr>
        <w:t xml:space="preserve">gospodarki narodowej. </w:t>
      </w:r>
    </w:p>
    <w:p w14:paraId="2E457598" w14:textId="6BDB08B8" w:rsidR="005F43F3" w:rsidRPr="003478AF" w:rsidRDefault="005F43F3" w:rsidP="005F43F3">
      <w:pPr>
        <w:rPr>
          <w:rFonts w:eastAsia="Arial" w:cs="Arial"/>
          <w:szCs w:val="20"/>
        </w:rPr>
      </w:pPr>
      <w:r w:rsidRPr="003478AF">
        <w:rPr>
          <w:rFonts w:eastAsia="Arial" w:cs="Arial"/>
          <w:szCs w:val="20"/>
        </w:rPr>
        <w:lastRenderedPageBreak/>
        <w:t xml:space="preserve">Mapa Drogowa GOZ jest jednym z projektów </w:t>
      </w:r>
      <w:r w:rsidRPr="003478AF">
        <w:rPr>
          <w:rFonts w:eastAsia="Arial" w:cs="Arial"/>
          <w:b/>
          <w:szCs w:val="20"/>
        </w:rPr>
        <w:t>Strategii na rzecz Odpowiedzialnego Rozwoju</w:t>
      </w:r>
      <w:r w:rsidRPr="003478AF">
        <w:rPr>
          <w:rFonts w:eastAsia="Arial" w:cs="Arial"/>
          <w:szCs w:val="20"/>
        </w:rPr>
        <w:t>.</w:t>
      </w:r>
      <w:r w:rsidR="00861C02" w:rsidRPr="003478AF">
        <w:rPr>
          <w:rFonts w:eastAsia="Arial" w:cs="Arial"/>
          <w:szCs w:val="20"/>
        </w:rPr>
        <w:t xml:space="preserve"> </w:t>
      </w:r>
      <w:r w:rsidRPr="003478AF">
        <w:rPr>
          <w:rFonts w:eastAsia="Arial" w:cs="Arial"/>
          <w:szCs w:val="20"/>
        </w:rPr>
        <w:t xml:space="preserve">W </w:t>
      </w:r>
      <w:r w:rsidR="00861C02" w:rsidRPr="003478AF">
        <w:rPr>
          <w:rFonts w:eastAsia="Arial" w:cs="Arial"/>
          <w:bCs/>
          <w:szCs w:val="20"/>
        </w:rPr>
        <w:t>SOR</w:t>
      </w:r>
      <w:r w:rsidRPr="003478AF">
        <w:rPr>
          <w:rFonts w:eastAsia="Arial" w:cs="Arial"/>
          <w:szCs w:val="20"/>
        </w:rPr>
        <w:t xml:space="preserve"> wskaźnik</w:t>
      </w:r>
      <w:r w:rsidR="00861C02" w:rsidRPr="003478AF">
        <w:rPr>
          <w:rFonts w:eastAsia="Arial" w:cs="Arial"/>
          <w:szCs w:val="20"/>
        </w:rPr>
        <w:t>i</w:t>
      </w:r>
      <w:r w:rsidRPr="003478AF">
        <w:rPr>
          <w:rFonts w:eastAsia="Arial" w:cs="Arial"/>
          <w:szCs w:val="20"/>
        </w:rPr>
        <w:t xml:space="preserve"> wpisujące się w GOZ zostały pogrupowane w dwa obszary tematyczne: </w:t>
      </w:r>
    </w:p>
    <w:p w14:paraId="39BD08CF" w14:textId="592C1C5E" w:rsidR="005F43F3" w:rsidRPr="003478AF" w:rsidRDefault="005F43F3" w:rsidP="00B13D49">
      <w:pPr>
        <w:numPr>
          <w:ilvl w:val="0"/>
          <w:numId w:val="12"/>
        </w:numPr>
        <w:rPr>
          <w:rFonts w:eastAsia="Arial" w:cs="Arial"/>
          <w:szCs w:val="20"/>
        </w:rPr>
      </w:pPr>
      <w:r w:rsidRPr="003478AF">
        <w:rPr>
          <w:rFonts w:eastAsia="Arial" w:cs="Arial"/>
          <w:szCs w:val="20"/>
        </w:rPr>
        <w:t xml:space="preserve">Energia </w:t>
      </w:r>
      <w:r w:rsidR="00861C02" w:rsidRPr="003478AF">
        <w:rPr>
          <w:rFonts w:eastAsia="Arial" w:cs="Arial"/>
          <w:szCs w:val="20"/>
        </w:rPr>
        <w:t>–</w:t>
      </w:r>
      <w:r w:rsidRPr="003478AF">
        <w:rPr>
          <w:rFonts w:eastAsia="Arial" w:cs="Arial"/>
          <w:szCs w:val="20"/>
        </w:rPr>
        <w:t xml:space="preserve"> zapewnienie powszechnego dostępu do energii, pochodzącej </w:t>
      </w:r>
      <w:r w:rsidR="00861C02" w:rsidRPr="003478AF">
        <w:rPr>
          <w:rFonts w:eastAsia="Arial" w:cs="Arial"/>
          <w:szCs w:val="20"/>
        </w:rPr>
        <w:t xml:space="preserve">z </w:t>
      </w:r>
      <w:r w:rsidRPr="003478AF">
        <w:rPr>
          <w:rFonts w:eastAsia="Arial" w:cs="Arial"/>
          <w:szCs w:val="20"/>
        </w:rPr>
        <w:t>różnych źródeł (8 wskaźników)</w:t>
      </w:r>
      <w:r w:rsidR="005A623C" w:rsidRPr="003478AF">
        <w:rPr>
          <w:rFonts w:eastAsia="Arial" w:cs="Arial"/>
          <w:szCs w:val="20"/>
        </w:rPr>
        <w:t>;</w:t>
      </w:r>
    </w:p>
    <w:p w14:paraId="2407B6B5" w14:textId="325EEC62" w:rsidR="005F43F3" w:rsidRPr="003478AF" w:rsidRDefault="005F43F3" w:rsidP="00B13D49">
      <w:pPr>
        <w:numPr>
          <w:ilvl w:val="0"/>
          <w:numId w:val="12"/>
        </w:numPr>
        <w:rPr>
          <w:rFonts w:eastAsia="Arial" w:cs="Arial"/>
          <w:szCs w:val="20"/>
        </w:rPr>
      </w:pPr>
      <w:r w:rsidRPr="003478AF">
        <w:rPr>
          <w:rFonts w:eastAsia="Arial" w:cs="Arial"/>
          <w:szCs w:val="20"/>
        </w:rPr>
        <w:t xml:space="preserve">Środowisko </w:t>
      </w:r>
      <w:r w:rsidR="00861C02" w:rsidRPr="003478AF">
        <w:rPr>
          <w:rFonts w:eastAsia="Arial" w:cs="Arial"/>
          <w:szCs w:val="20"/>
        </w:rPr>
        <w:t>–</w:t>
      </w:r>
      <w:r w:rsidRPr="003478AF">
        <w:rPr>
          <w:rFonts w:eastAsia="Arial" w:cs="Arial"/>
          <w:szCs w:val="20"/>
        </w:rPr>
        <w:t xml:space="preserve"> rozwój potencjału środowiska na rzecz obywateli </w:t>
      </w:r>
      <w:r w:rsidR="00861C02" w:rsidRPr="003478AF">
        <w:rPr>
          <w:rFonts w:eastAsia="Arial" w:cs="Arial"/>
          <w:szCs w:val="20"/>
        </w:rPr>
        <w:t xml:space="preserve">i </w:t>
      </w:r>
      <w:r w:rsidRPr="003478AF">
        <w:rPr>
          <w:rFonts w:eastAsia="Arial" w:cs="Arial"/>
          <w:szCs w:val="20"/>
        </w:rPr>
        <w:t xml:space="preserve">przedsiębiorców </w:t>
      </w:r>
      <w:r w:rsidR="001B0CB3" w:rsidRPr="003478AF">
        <w:rPr>
          <w:rFonts w:eastAsia="Arial" w:cs="Arial"/>
          <w:szCs w:val="20"/>
        </w:rPr>
        <w:br/>
      </w:r>
      <w:r w:rsidRPr="003478AF">
        <w:rPr>
          <w:rFonts w:eastAsia="Arial" w:cs="Arial"/>
          <w:szCs w:val="20"/>
        </w:rPr>
        <w:t>(5 wskaźników).</w:t>
      </w:r>
    </w:p>
    <w:p w14:paraId="56F8F87F" w14:textId="3CCA3CD7" w:rsidR="005F43F3" w:rsidRPr="003478AF" w:rsidRDefault="005F43F3" w:rsidP="005F43F3">
      <w:pPr>
        <w:rPr>
          <w:rFonts w:eastAsia="Arial" w:cs="Arial"/>
          <w:szCs w:val="20"/>
        </w:rPr>
      </w:pPr>
      <w:r w:rsidRPr="003478AF">
        <w:rPr>
          <w:rFonts w:eastAsia="Arial" w:cs="Arial"/>
          <w:b/>
          <w:bCs/>
          <w:szCs w:val="20"/>
        </w:rPr>
        <w:t xml:space="preserve">Polityka ekologiczna państwa 2030 – strategia rozwoju w obszarze środowiska </w:t>
      </w:r>
      <w:r w:rsidR="007C14CB" w:rsidRPr="003478AF">
        <w:rPr>
          <w:rFonts w:eastAsia="Arial" w:cs="Arial"/>
          <w:b/>
          <w:bCs/>
          <w:szCs w:val="20"/>
        </w:rPr>
        <w:br/>
      </w:r>
      <w:r w:rsidRPr="003478AF">
        <w:rPr>
          <w:rFonts w:eastAsia="Arial" w:cs="Arial"/>
          <w:b/>
          <w:bCs/>
          <w:szCs w:val="20"/>
        </w:rPr>
        <w:t xml:space="preserve">i gospodarki wodnej (PEP2030) </w:t>
      </w:r>
      <w:r w:rsidRPr="003478AF">
        <w:rPr>
          <w:rFonts w:eastAsia="Arial" w:cs="Arial"/>
          <w:szCs w:val="20"/>
        </w:rPr>
        <w:t>jest najważniejszym dokumentem strategicznym w obszarze zapewnienia bezpieczeństwa ekologicznego Polski. W systemie dokumentów strategicznych doprecyzowuje i operacjonalizuje SOR. Istotnym jest, iż PEP2030</w:t>
      </w:r>
      <w:r w:rsidR="00503CAB" w:rsidRPr="003478AF">
        <w:rPr>
          <w:rFonts w:eastAsia="Arial" w:cs="Arial"/>
          <w:szCs w:val="20"/>
        </w:rPr>
        <w:t xml:space="preserve"> </w:t>
      </w:r>
      <w:r w:rsidRPr="003478AF">
        <w:rPr>
          <w:rFonts w:eastAsia="Arial" w:cs="Arial"/>
          <w:szCs w:val="20"/>
        </w:rPr>
        <w:t>będzie stanowiła podstawę do inwestowania środków europejskich z perspektywy finansowej na lata 2021</w:t>
      </w:r>
      <w:r w:rsidR="003C0BB6" w:rsidRPr="003478AF">
        <w:rPr>
          <w:rFonts w:eastAsia="Arial" w:cs="Arial"/>
          <w:szCs w:val="20"/>
        </w:rPr>
        <w:t>-</w:t>
      </w:r>
      <w:r w:rsidRPr="003478AF">
        <w:rPr>
          <w:rFonts w:eastAsia="Arial" w:cs="Arial"/>
          <w:szCs w:val="20"/>
        </w:rPr>
        <w:t xml:space="preserve">2027. </w:t>
      </w:r>
    </w:p>
    <w:p w14:paraId="28620990" w14:textId="358CD867" w:rsidR="005F43F3" w:rsidRPr="003478AF" w:rsidRDefault="005F43F3" w:rsidP="005F43F3">
      <w:pPr>
        <w:rPr>
          <w:rFonts w:eastAsia="Arial" w:cs="Arial"/>
          <w:szCs w:val="20"/>
        </w:rPr>
      </w:pPr>
      <w:r w:rsidRPr="003478AF">
        <w:rPr>
          <w:rFonts w:eastAsia="Arial" w:cs="Arial"/>
          <w:szCs w:val="20"/>
        </w:rPr>
        <w:t>Skuteczność realizacji PEP2030 będzie monitorowan</w:t>
      </w:r>
      <w:r w:rsidR="00503CAB" w:rsidRPr="003478AF">
        <w:rPr>
          <w:rFonts w:eastAsia="Arial" w:cs="Arial"/>
          <w:szCs w:val="20"/>
        </w:rPr>
        <w:t>a</w:t>
      </w:r>
      <w:r w:rsidRPr="003478AF">
        <w:rPr>
          <w:rFonts w:eastAsia="Arial" w:cs="Arial"/>
          <w:szCs w:val="20"/>
        </w:rPr>
        <w:t xml:space="preserve"> za pomocą zestawu wskaźników wpisujących się w cztery cele strategiczne związane ze środowiskiem</w:t>
      </w:r>
      <w:r w:rsidR="003C0BB6" w:rsidRPr="003478AF">
        <w:rPr>
          <w:rFonts w:eastAsia="Arial" w:cs="Arial"/>
          <w:szCs w:val="20"/>
        </w:rPr>
        <w:t xml:space="preserve">, </w:t>
      </w:r>
      <w:r w:rsidRPr="003478AF">
        <w:rPr>
          <w:rFonts w:eastAsia="Arial" w:cs="Arial"/>
          <w:szCs w:val="20"/>
        </w:rPr>
        <w:t>zdrowiem, gospodarką i klimatem. GOZ wpisuje się głównie w cel gospodarczy w zakresie hierarchii sposobów postępowania z odpadami.</w:t>
      </w:r>
    </w:p>
    <w:p w14:paraId="5415A297" w14:textId="527DDDF9" w:rsidR="005F43F3" w:rsidRPr="003478AF" w:rsidRDefault="005F43F3" w:rsidP="005F43F3">
      <w:pPr>
        <w:rPr>
          <w:rFonts w:eastAsia="Arial" w:cs="Arial"/>
          <w:szCs w:val="20"/>
        </w:rPr>
      </w:pPr>
      <w:r w:rsidRPr="003478AF">
        <w:rPr>
          <w:rFonts w:eastAsia="Arial" w:cs="Arial"/>
          <w:szCs w:val="20"/>
        </w:rPr>
        <w:t xml:space="preserve">Podstawowym instrumentem wdrażania PEP2030 w zakresie GOZ jest </w:t>
      </w:r>
      <w:r w:rsidRPr="003478AF">
        <w:rPr>
          <w:rFonts w:eastAsia="Arial" w:cs="Arial"/>
          <w:b/>
          <w:bCs/>
          <w:szCs w:val="20"/>
        </w:rPr>
        <w:t>Krajowy Plan Gospodarki Odpadami 2022</w:t>
      </w:r>
      <w:r w:rsidRPr="003478AF">
        <w:rPr>
          <w:rFonts w:eastAsia="Arial" w:cs="Arial"/>
          <w:szCs w:val="20"/>
        </w:rPr>
        <w:t xml:space="preserve">, w którym wskazano działania na rzecz hierarchii postępowania z odpadami w koncepcji </w:t>
      </w:r>
      <w:r w:rsidR="00861C02" w:rsidRPr="003478AF">
        <w:rPr>
          <w:rFonts w:eastAsia="Arial" w:cs="Arial"/>
          <w:szCs w:val="20"/>
        </w:rPr>
        <w:t>GOZ</w:t>
      </w:r>
      <w:r w:rsidRPr="003478AF">
        <w:rPr>
          <w:rFonts w:eastAsia="Arial" w:cs="Arial"/>
          <w:szCs w:val="20"/>
        </w:rPr>
        <w:t xml:space="preserve">. Do oceny zaproponowano podobnie jak na poziomie regionu wskaźniki dotyczące odpadów komunalnych, niebezpiecznych i powstających z produktów (łącznie 105 wskaźników). </w:t>
      </w:r>
    </w:p>
    <w:p w14:paraId="5D0B6D6B" w14:textId="55198956" w:rsidR="005F43F3" w:rsidRPr="003478AF" w:rsidRDefault="005F43F3" w:rsidP="005F43F3">
      <w:pPr>
        <w:rPr>
          <w:rFonts w:eastAsia="Arial" w:cs="Arial"/>
          <w:szCs w:val="20"/>
        </w:rPr>
      </w:pPr>
      <w:r w:rsidRPr="003478AF">
        <w:rPr>
          <w:rFonts w:eastAsia="Arial" w:cs="Arial"/>
          <w:szCs w:val="20"/>
        </w:rPr>
        <w:t xml:space="preserve">W kolejnym dokumencie strategicznym </w:t>
      </w:r>
      <w:r w:rsidR="00F16540" w:rsidRPr="003478AF">
        <w:rPr>
          <w:rFonts w:eastAsia="Arial" w:cs="Arial"/>
          <w:szCs w:val="20"/>
        </w:rPr>
        <w:t xml:space="preserve">– </w:t>
      </w:r>
      <w:r w:rsidRPr="003478AF">
        <w:rPr>
          <w:rFonts w:eastAsia="Arial" w:cs="Arial"/>
          <w:b/>
          <w:bCs/>
          <w:szCs w:val="20"/>
        </w:rPr>
        <w:t>Polityka energetyczna Polski do 2040</w:t>
      </w:r>
      <w:r w:rsidR="00FE614B" w:rsidRPr="003478AF">
        <w:rPr>
          <w:rFonts w:eastAsia="Arial" w:cs="Arial"/>
          <w:b/>
          <w:bCs/>
          <w:szCs w:val="20"/>
        </w:rPr>
        <w:t> r.</w:t>
      </w:r>
      <w:r w:rsidRPr="003478AF">
        <w:rPr>
          <w:rFonts w:eastAsia="Arial" w:cs="Arial"/>
          <w:b/>
          <w:bCs/>
          <w:szCs w:val="20"/>
        </w:rPr>
        <w:t xml:space="preserve"> </w:t>
      </w:r>
      <w:r w:rsidRPr="003478AF">
        <w:rPr>
          <w:rFonts w:eastAsia="Arial" w:cs="Arial"/>
          <w:szCs w:val="20"/>
        </w:rPr>
        <w:t xml:space="preserve">znajduje się lista kluczowych wskaźników i rozszerzona w stosunku do listy przedstawionej </w:t>
      </w:r>
      <w:r w:rsidR="007C14CB" w:rsidRPr="003478AF">
        <w:rPr>
          <w:rFonts w:eastAsia="Arial" w:cs="Arial"/>
          <w:szCs w:val="20"/>
        </w:rPr>
        <w:br/>
      </w:r>
      <w:r w:rsidRPr="003478AF">
        <w:rPr>
          <w:rFonts w:eastAsia="Arial" w:cs="Arial"/>
          <w:szCs w:val="20"/>
        </w:rPr>
        <w:t>w SOR w odniesieniu do obszaru „energia”</w:t>
      </w:r>
      <w:r w:rsidR="00BB0EE2" w:rsidRPr="003478AF">
        <w:rPr>
          <w:rFonts w:eastAsia="Arial" w:cs="Arial"/>
          <w:szCs w:val="20"/>
        </w:rPr>
        <w:t>,</w:t>
      </w:r>
      <w:r w:rsidRPr="003478AF">
        <w:rPr>
          <w:rFonts w:eastAsia="Arial" w:cs="Arial"/>
          <w:szCs w:val="20"/>
        </w:rPr>
        <w:t xml:space="preserve"> np. emisj</w:t>
      </w:r>
      <w:r w:rsidR="003C0BB6" w:rsidRPr="003478AF">
        <w:rPr>
          <w:rFonts w:eastAsia="Arial" w:cs="Arial"/>
          <w:szCs w:val="20"/>
        </w:rPr>
        <w:t>a</w:t>
      </w:r>
      <w:r w:rsidRPr="003478AF">
        <w:rPr>
          <w:rFonts w:eastAsia="Arial" w:cs="Arial"/>
          <w:szCs w:val="20"/>
        </w:rPr>
        <w:t xml:space="preserve"> CO</w:t>
      </w:r>
      <w:r w:rsidRPr="003478AF">
        <w:rPr>
          <w:rFonts w:eastAsia="Arial" w:cs="Arial"/>
          <w:szCs w:val="20"/>
          <w:vertAlign w:val="subscript"/>
        </w:rPr>
        <w:t>2</w:t>
      </w:r>
      <w:r w:rsidRPr="003478AF">
        <w:rPr>
          <w:rFonts w:eastAsia="Arial" w:cs="Arial"/>
          <w:szCs w:val="20"/>
        </w:rPr>
        <w:t xml:space="preserve">, udział </w:t>
      </w:r>
      <w:r w:rsidR="00BB0EE2" w:rsidRPr="003478AF">
        <w:rPr>
          <w:rFonts w:eastAsia="Arial" w:cs="Arial"/>
          <w:szCs w:val="20"/>
        </w:rPr>
        <w:t>OZE</w:t>
      </w:r>
      <w:r w:rsidRPr="003478AF">
        <w:rPr>
          <w:rFonts w:eastAsia="Arial" w:cs="Arial"/>
          <w:szCs w:val="20"/>
        </w:rPr>
        <w:t xml:space="preserve"> </w:t>
      </w:r>
      <w:r w:rsidR="00BB0EE2" w:rsidRPr="003478AF">
        <w:rPr>
          <w:rFonts w:eastAsia="Arial" w:cs="Arial"/>
          <w:szCs w:val="20"/>
        </w:rPr>
        <w:t xml:space="preserve">w </w:t>
      </w:r>
      <w:r w:rsidRPr="003478AF">
        <w:rPr>
          <w:rFonts w:eastAsia="Arial" w:cs="Arial"/>
          <w:szCs w:val="20"/>
        </w:rPr>
        <w:t>końcowym zużyciu energii. Najwięcej, bo pięć wskaźników</w:t>
      </w:r>
      <w:r w:rsidR="003C0BB6" w:rsidRPr="003478AF">
        <w:rPr>
          <w:rFonts w:eastAsia="Arial" w:cs="Arial"/>
          <w:szCs w:val="20"/>
        </w:rPr>
        <w:t>,</w:t>
      </w:r>
      <w:r w:rsidRPr="003478AF">
        <w:rPr>
          <w:rFonts w:eastAsia="Arial" w:cs="Arial"/>
          <w:szCs w:val="20"/>
        </w:rPr>
        <w:t xml:space="preserve"> dotyczy ekologicznego transportu.</w:t>
      </w:r>
    </w:p>
    <w:p w14:paraId="1A7197A9" w14:textId="0714DEE2" w:rsidR="005F43F3" w:rsidRPr="003478AF" w:rsidRDefault="005F43F3" w:rsidP="005F43F3">
      <w:pPr>
        <w:rPr>
          <w:rFonts w:eastAsia="Arial" w:cs="Arial"/>
          <w:szCs w:val="20"/>
        </w:rPr>
      </w:pPr>
      <w:r w:rsidRPr="003478AF">
        <w:rPr>
          <w:rFonts w:eastAsia="Arial" w:cs="Arial"/>
          <w:szCs w:val="20"/>
        </w:rPr>
        <w:t xml:space="preserve">W dokumentach będących na etapie projektu: </w:t>
      </w:r>
      <w:r w:rsidRPr="003478AF">
        <w:rPr>
          <w:rFonts w:eastAsia="Arial" w:cs="Arial"/>
          <w:b/>
          <w:bCs/>
          <w:szCs w:val="20"/>
        </w:rPr>
        <w:t>Strategii Produktywności 2030</w:t>
      </w:r>
      <w:r w:rsidRPr="003478AF">
        <w:rPr>
          <w:rFonts w:eastAsia="Arial" w:cs="Arial"/>
          <w:szCs w:val="20"/>
        </w:rPr>
        <w:t xml:space="preserve">, </w:t>
      </w:r>
      <w:r w:rsidRPr="003478AF">
        <w:rPr>
          <w:rFonts w:eastAsia="Arial" w:cs="Arial"/>
          <w:b/>
          <w:bCs/>
          <w:szCs w:val="20"/>
        </w:rPr>
        <w:t>Polityka</w:t>
      </w:r>
      <w:r w:rsidR="00BB0EE2" w:rsidRPr="003478AF">
        <w:rPr>
          <w:rFonts w:eastAsia="Arial" w:cs="Arial"/>
          <w:b/>
          <w:bCs/>
          <w:szCs w:val="20"/>
        </w:rPr>
        <w:t xml:space="preserve"> </w:t>
      </w:r>
      <w:r w:rsidRPr="003478AF">
        <w:rPr>
          <w:rFonts w:eastAsia="Arial" w:cs="Arial"/>
          <w:b/>
          <w:bCs/>
          <w:szCs w:val="20"/>
        </w:rPr>
        <w:t>Surowcowa Państwa</w:t>
      </w:r>
      <w:r w:rsidR="00EE7AE4" w:rsidRPr="003478AF">
        <w:rPr>
          <w:rFonts w:eastAsia="Arial" w:cs="Arial"/>
          <w:szCs w:val="20"/>
        </w:rPr>
        <w:t xml:space="preserve"> </w:t>
      </w:r>
      <w:r w:rsidRPr="003478AF">
        <w:rPr>
          <w:rFonts w:eastAsia="Arial" w:cs="Arial"/>
          <w:szCs w:val="20"/>
        </w:rPr>
        <w:t xml:space="preserve">nie wypracowano jeszcze wskaźników pomiaru zapisanych </w:t>
      </w:r>
      <w:r w:rsidR="001B0CB3" w:rsidRPr="003478AF">
        <w:rPr>
          <w:rFonts w:eastAsia="Arial" w:cs="Arial"/>
          <w:szCs w:val="20"/>
        </w:rPr>
        <w:br/>
      </w:r>
      <w:r w:rsidRPr="003478AF">
        <w:rPr>
          <w:rFonts w:eastAsia="Arial" w:cs="Arial"/>
          <w:szCs w:val="20"/>
        </w:rPr>
        <w:t xml:space="preserve">w niej działań. </w:t>
      </w:r>
    </w:p>
    <w:p w14:paraId="12D3F68E" w14:textId="170FFD99" w:rsidR="005F43F3" w:rsidRPr="003478AF" w:rsidRDefault="005F43F3" w:rsidP="005F43F3">
      <w:pPr>
        <w:rPr>
          <w:rFonts w:eastAsia="Arial" w:cs="Arial"/>
          <w:szCs w:val="20"/>
        </w:rPr>
      </w:pPr>
      <w:r w:rsidRPr="003478AF">
        <w:rPr>
          <w:rFonts w:eastAsia="Arial" w:cs="Arial"/>
          <w:szCs w:val="20"/>
        </w:rPr>
        <w:t>W sposób kompleksowy monitorowani</w:t>
      </w:r>
      <w:r w:rsidR="005E1A57" w:rsidRPr="003478AF">
        <w:rPr>
          <w:rFonts w:eastAsia="Arial" w:cs="Arial"/>
          <w:szCs w:val="20"/>
        </w:rPr>
        <w:t>e</w:t>
      </w:r>
      <w:r w:rsidRPr="003478AF">
        <w:rPr>
          <w:rFonts w:eastAsia="Arial" w:cs="Arial"/>
          <w:szCs w:val="20"/>
        </w:rPr>
        <w:t xml:space="preserve"> wskaźników związanych z GOZ zaprezentowano w </w:t>
      </w:r>
      <w:r w:rsidRPr="003478AF">
        <w:rPr>
          <w:rFonts w:eastAsia="Arial" w:cs="Arial"/>
          <w:b/>
          <w:bCs/>
          <w:szCs w:val="20"/>
        </w:rPr>
        <w:t>Zielonej gospodarce</w:t>
      </w:r>
      <w:r w:rsidR="008962C1" w:rsidRPr="003478AF">
        <w:rPr>
          <w:rFonts w:eastAsia="Arial" w:cs="Arial"/>
          <w:b/>
          <w:bCs/>
          <w:szCs w:val="20"/>
        </w:rPr>
        <w:t xml:space="preserve"> w Polsce 2019</w:t>
      </w:r>
      <w:r w:rsidRPr="003478AF">
        <w:rPr>
          <w:rFonts w:eastAsia="Arial" w:cs="Arial"/>
          <w:b/>
          <w:bCs/>
          <w:szCs w:val="20"/>
        </w:rPr>
        <w:t xml:space="preserve"> </w:t>
      </w:r>
      <w:r w:rsidRPr="003478AF">
        <w:rPr>
          <w:rFonts w:eastAsia="Arial" w:cs="Arial"/>
          <w:szCs w:val="20"/>
        </w:rPr>
        <w:t>opracowanej przez GUS.</w:t>
      </w:r>
      <w:r w:rsidRPr="003478AF">
        <w:rPr>
          <w:rFonts w:eastAsia="Arial" w:cs="Arial"/>
          <w:b/>
          <w:bCs/>
          <w:szCs w:val="20"/>
        </w:rPr>
        <w:t xml:space="preserve"> </w:t>
      </w:r>
      <w:r w:rsidRPr="003478AF">
        <w:rPr>
          <w:rFonts w:eastAsia="Arial" w:cs="Arial"/>
          <w:szCs w:val="20"/>
        </w:rPr>
        <w:t>Wskaźniki zgrupowano</w:t>
      </w:r>
      <w:r w:rsidRPr="003478AF">
        <w:rPr>
          <w:rFonts w:eastAsia="Arial" w:cs="Arial"/>
          <w:b/>
          <w:bCs/>
          <w:szCs w:val="20"/>
        </w:rPr>
        <w:t xml:space="preserve"> </w:t>
      </w:r>
      <w:r w:rsidRPr="003478AF">
        <w:rPr>
          <w:rFonts w:eastAsia="Arial" w:cs="Arial"/>
          <w:szCs w:val="20"/>
        </w:rPr>
        <w:t xml:space="preserve">w cztery obszary tematyczne: kapitał naturalny, środowiskowa efektywność produkcji, środowiskowa jakości życia ludności oraz polityka gospodarcza i ich następstwa. </w:t>
      </w:r>
    </w:p>
    <w:p w14:paraId="68A655FD" w14:textId="4BA28BFD" w:rsidR="005F43F3" w:rsidRPr="003478AF" w:rsidRDefault="005F43F3" w:rsidP="005F43F3">
      <w:pPr>
        <w:rPr>
          <w:rFonts w:eastAsia="Arial" w:cs="Arial"/>
          <w:szCs w:val="20"/>
        </w:rPr>
      </w:pPr>
      <w:r w:rsidRPr="003478AF">
        <w:rPr>
          <w:rFonts w:eastAsia="Arial" w:cs="Arial"/>
          <w:szCs w:val="20"/>
        </w:rPr>
        <w:t xml:space="preserve">Wskaźniki z obszaru kapitału naturalnego opisują stan środowiska przyrodniczego, </w:t>
      </w:r>
      <w:r w:rsidR="007C14CB" w:rsidRPr="003478AF">
        <w:rPr>
          <w:rFonts w:eastAsia="Arial" w:cs="Arial"/>
          <w:szCs w:val="20"/>
        </w:rPr>
        <w:br/>
      </w:r>
      <w:r w:rsidRPr="003478AF">
        <w:rPr>
          <w:rFonts w:eastAsia="Arial" w:cs="Arial"/>
          <w:szCs w:val="20"/>
        </w:rPr>
        <w:t xml:space="preserve">tj. posiadane zasoby naturalne oraz dokonujące się w nim zmiany. </w:t>
      </w:r>
    </w:p>
    <w:p w14:paraId="503DB1C9" w14:textId="77777777" w:rsidR="005F43F3" w:rsidRPr="003478AF" w:rsidRDefault="005F43F3" w:rsidP="005F43F3">
      <w:pPr>
        <w:rPr>
          <w:rFonts w:eastAsia="Arial" w:cs="Arial"/>
          <w:szCs w:val="20"/>
        </w:rPr>
      </w:pPr>
      <w:r w:rsidRPr="003478AF">
        <w:rPr>
          <w:rFonts w:eastAsia="Arial" w:cs="Arial"/>
          <w:szCs w:val="20"/>
        </w:rPr>
        <w:t>Wskaźniki z zakresu środowiskowej efektywności produkcji (prezentujące efektywność wykorzystania zasobów naturalnych w procesach gospodarczych) wskazują, że w wielu dziedzinach następuje ograniczanie, a nawet całkowite zerwanie zależności między wzrostem gospodarczym a presją na środowisko.</w:t>
      </w:r>
    </w:p>
    <w:p w14:paraId="69DA54EB" w14:textId="35E14992" w:rsidR="005F43F3" w:rsidRPr="003478AF" w:rsidRDefault="005F43F3" w:rsidP="005F43F3">
      <w:pPr>
        <w:rPr>
          <w:rFonts w:eastAsia="Arial" w:cs="Arial"/>
          <w:szCs w:val="20"/>
        </w:rPr>
      </w:pPr>
      <w:r w:rsidRPr="003478AF">
        <w:rPr>
          <w:rFonts w:eastAsia="Arial" w:cs="Arial"/>
          <w:szCs w:val="20"/>
        </w:rPr>
        <w:t xml:space="preserve">Wskaźniki dotyczące środowiskowej jakości życia odnoszą się do dostępu ludności do podstawowych usług w dziedzinie gospodarki wodnej i ściekowej służących jednocześnie ochronie środowiska oraz ekspozycji ludności na zanieczyszczenia środowiska i związane </w:t>
      </w:r>
      <w:r w:rsidR="007C14CB" w:rsidRPr="003478AF">
        <w:rPr>
          <w:rFonts w:eastAsia="Arial" w:cs="Arial"/>
          <w:szCs w:val="20"/>
        </w:rPr>
        <w:br/>
      </w:r>
      <w:r w:rsidRPr="003478AF">
        <w:rPr>
          <w:rFonts w:eastAsia="Arial" w:cs="Arial"/>
          <w:szCs w:val="20"/>
        </w:rPr>
        <w:t>z nimi skutki zdrowotne.</w:t>
      </w:r>
    </w:p>
    <w:p w14:paraId="77F8A099" w14:textId="6CFB1618" w:rsidR="005F43F3" w:rsidRPr="003478AF" w:rsidRDefault="005F43F3" w:rsidP="005F43F3">
      <w:pPr>
        <w:rPr>
          <w:rFonts w:eastAsia="Arial" w:cs="Arial"/>
          <w:szCs w:val="20"/>
        </w:rPr>
      </w:pPr>
      <w:r w:rsidRPr="003478AF">
        <w:rPr>
          <w:rFonts w:eastAsia="Arial" w:cs="Arial"/>
          <w:szCs w:val="20"/>
        </w:rPr>
        <w:t xml:space="preserve">Wskaźniki z obszaru polityk gospodarczych i ich następstw charakteryzują instrumenty oddziaływania na gospodarkę i społeczeństwo, które są wykorzystywane do osiągania pożądanych kierunków rozwoju mających na celu zazielenianie gospodarki. Rolnictwo </w:t>
      </w:r>
      <w:r w:rsidRPr="003478AF">
        <w:rPr>
          <w:rFonts w:eastAsia="Arial" w:cs="Arial"/>
          <w:szCs w:val="20"/>
        </w:rPr>
        <w:lastRenderedPageBreak/>
        <w:t>ekologiczne jest jednym z działań sprzyjających zazielenianiu gospodarki</w:t>
      </w:r>
      <w:r w:rsidRPr="003478AF">
        <w:rPr>
          <w:rStyle w:val="Odwoanieprzypisudolnego"/>
        </w:rPr>
        <w:footnoteReference w:id="142"/>
      </w:r>
      <w:r w:rsidRPr="003478AF">
        <w:rPr>
          <w:rFonts w:eastAsia="Arial" w:cs="Arial"/>
          <w:szCs w:val="20"/>
        </w:rPr>
        <w:t xml:space="preserve">. </w:t>
      </w:r>
      <w:r w:rsidR="003C0BB6" w:rsidRPr="003478AF">
        <w:rPr>
          <w:rFonts w:eastAsia="Arial" w:cs="Arial"/>
          <w:szCs w:val="20"/>
        </w:rPr>
        <w:t xml:space="preserve">Dla </w:t>
      </w:r>
      <w:r w:rsidR="008C2914" w:rsidRPr="003478AF">
        <w:rPr>
          <w:rFonts w:eastAsia="Arial" w:cs="Arial"/>
          <w:szCs w:val="20"/>
        </w:rPr>
        <w:t>wszystkich</w:t>
      </w:r>
      <w:r w:rsidR="003C0BB6" w:rsidRPr="003478AF">
        <w:rPr>
          <w:rFonts w:eastAsia="Arial" w:cs="Arial"/>
          <w:szCs w:val="20"/>
        </w:rPr>
        <w:t xml:space="preserve"> obszarów dostępne są ł</w:t>
      </w:r>
      <w:r w:rsidRPr="003478AF">
        <w:rPr>
          <w:rFonts w:eastAsia="Arial" w:cs="Arial"/>
          <w:szCs w:val="20"/>
        </w:rPr>
        <w:t>ącznie 73</w:t>
      </w:r>
      <w:r w:rsidR="003C0BB6" w:rsidRPr="003478AF">
        <w:rPr>
          <w:rFonts w:eastAsia="Arial" w:cs="Arial"/>
          <w:szCs w:val="20"/>
        </w:rPr>
        <w:t xml:space="preserve"> wskaźniki</w:t>
      </w:r>
      <w:r w:rsidRPr="003478AF">
        <w:rPr>
          <w:rFonts w:eastAsia="Arial" w:cs="Arial"/>
          <w:szCs w:val="20"/>
        </w:rPr>
        <w:t xml:space="preserve"> (Załącznik 1).</w:t>
      </w:r>
    </w:p>
    <w:p w14:paraId="694371CD" w14:textId="2FAA3D00" w:rsidR="005F43F3" w:rsidRPr="003478AF" w:rsidRDefault="004063C3" w:rsidP="005F43F3">
      <w:pPr>
        <w:rPr>
          <w:rFonts w:eastAsia="Arial" w:cs="Arial"/>
          <w:szCs w:val="20"/>
        </w:rPr>
      </w:pPr>
      <w:r w:rsidRPr="003478AF">
        <w:rPr>
          <w:rFonts w:eastAsia="Arial" w:cs="Arial"/>
          <w:szCs w:val="20"/>
        </w:rPr>
        <w:t>W oparciu o omówione powyżej dokumenty strategiczne a jednocześnie dane publikowane przez GUS</w:t>
      </w:r>
      <w:r w:rsidRPr="003478AF">
        <w:rPr>
          <w:rFonts w:eastAsia="Arial" w:cs="Arial"/>
          <w:b/>
          <w:bCs/>
          <w:szCs w:val="20"/>
        </w:rPr>
        <w:t xml:space="preserve"> wyróżniono 21</w:t>
      </w:r>
      <w:r w:rsidR="005F43F3" w:rsidRPr="003478AF">
        <w:rPr>
          <w:rFonts w:eastAsia="Arial" w:cs="Arial"/>
          <w:b/>
          <w:bCs/>
          <w:szCs w:val="20"/>
        </w:rPr>
        <w:t xml:space="preserve"> wskaźnik</w:t>
      </w:r>
      <w:r w:rsidR="00765314" w:rsidRPr="003478AF">
        <w:rPr>
          <w:rFonts w:eastAsia="Arial" w:cs="Arial"/>
          <w:b/>
          <w:bCs/>
          <w:szCs w:val="20"/>
        </w:rPr>
        <w:t>ów</w:t>
      </w:r>
      <w:r w:rsidR="005F43F3" w:rsidRPr="003478AF">
        <w:rPr>
          <w:rFonts w:eastAsia="Arial" w:cs="Arial"/>
          <w:b/>
          <w:bCs/>
          <w:szCs w:val="20"/>
        </w:rPr>
        <w:t xml:space="preserve"> </w:t>
      </w:r>
      <w:r w:rsidR="008C2914" w:rsidRPr="003478AF">
        <w:rPr>
          <w:rFonts w:eastAsia="Arial" w:cs="Arial"/>
          <w:b/>
          <w:bCs/>
          <w:szCs w:val="20"/>
        </w:rPr>
        <w:t xml:space="preserve">GOZ </w:t>
      </w:r>
      <w:r w:rsidR="005F43F3" w:rsidRPr="003478AF">
        <w:rPr>
          <w:rFonts w:eastAsia="Arial" w:cs="Arial"/>
          <w:b/>
          <w:bCs/>
          <w:szCs w:val="20"/>
        </w:rPr>
        <w:t>na poziomie krajowym</w:t>
      </w:r>
      <w:r w:rsidR="00610CBF" w:rsidRPr="003478AF">
        <w:rPr>
          <w:rFonts w:eastAsia="Arial" w:cs="Arial"/>
          <w:szCs w:val="20"/>
        </w:rPr>
        <w:t>:</w:t>
      </w:r>
    </w:p>
    <w:p w14:paraId="5744F857" w14:textId="77777777" w:rsidR="000D05CA" w:rsidRPr="003478AF" w:rsidRDefault="000D05CA" w:rsidP="005F43F3">
      <w:pPr>
        <w:rPr>
          <w:rFonts w:eastAsia="Arial" w:cs="Arial"/>
          <w:szCs w:val="20"/>
        </w:rPr>
      </w:pPr>
    </w:p>
    <w:p w14:paraId="41F8A369" w14:textId="30F304CA" w:rsidR="000D05CA" w:rsidRPr="003478AF" w:rsidRDefault="000D05CA" w:rsidP="00986D40">
      <w:pPr>
        <w:pStyle w:val="ARYCINA"/>
      </w:pPr>
      <w:r w:rsidRPr="003478AF">
        <w:t>Tab</w:t>
      </w:r>
      <w:r w:rsidR="005D34A6" w:rsidRPr="003478AF">
        <w:t>.</w:t>
      </w:r>
      <w:r w:rsidR="00863BE9" w:rsidRPr="003478AF">
        <w:t xml:space="preserve"> 8.2</w:t>
      </w:r>
      <w:r w:rsidRPr="003478AF">
        <w:t xml:space="preserve"> Wskaźniki </w:t>
      </w:r>
      <w:r w:rsidR="00E659F0" w:rsidRPr="003478AF">
        <w:t xml:space="preserve">GOZ </w:t>
      </w:r>
      <w:r w:rsidRPr="003478AF">
        <w:t>na poziomie krajowym</w:t>
      </w:r>
    </w:p>
    <w:tbl>
      <w:tblPr>
        <w:tblStyle w:val="Tabela-Siatka"/>
        <w:tblW w:w="5000" w:type="pct"/>
        <w:shd w:val="clear" w:color="auto" w:fill="FFFFFF" w:themeFill="background1"/>
        <w:tblLook w:val="04A0" w:firstRow="1" w:lastRow="0" w:firstColumn="1" w:lastColumn="0" w:noHBand="0" w:noVBand="1"/>
      </w:tblPr>
      <w:tblGrid>
        <w:gridCol w:w="704"/>
        <w:gridCol w:w="5812"/>
        <w:gridCol w:w="1751"/>
      </w:tblGrid>
      <w:tr w:rsidR="005F43F3" w:rsidRPr="003478AF" w14:paraId="0AF740BD" w14:textId="77777777" w:rsidTr="001B0CB3">
        <w:trPr>
          <w:trHeight w:val="283"/>
          <w:tblHeader/>
        </w:trPr>
        <w:tc>
          <w:tcPr>
            <w:tcW w:w="426" w:type="pct"/>
            <w:shd w:val="clear" w:color="auto" w:fill="CCA879"/>
            <w:vAlign w:val="center"/>
          </w:tcPr>
          <w:p w14:paraId="5B71B437" w14:textId="59C61027" w:rsidR="005F43F3" w:rsidRPr="003478AF" w:rsidRDefault="005F43F3" w:rsidP="00532CE7">
            <w:pPr>
              <w:ind w:firstLine="0"/>
              <w:jc w:val="center"/>
              <w:rPr>
                <w:rFonts w:eastAsia="Arial" w:cs="Arial"/>
                <w:b/>
                <w:bCs/>
                <w:sz w:val="18"/>
                <w:szCs w:val="18"/>
              </w:rPr>
            </w:pPr>
            <w:r w:rsidRPr="003478AF">
              <w:rPr>
                <w:rFonts w:eastAsia="Arial" w:cs="Arial"/>
                <w:b/>
                <w:bCs/>
                <w:sz w:val="18"/>
                <w:szCs w:val="18"/>
              </w:rPr>
              <w:t>L</w:t>
            </w:r>
            <w:r w:rsidR="001728FF" w:rsidRPr="003478AF">
              <w:rPr>
                <w:rFonts w:eastAsia="Arial" w:cs="Arial"/>
                <w:b/>
                <w:bCs/>
                <w:sz w:val="18"/>
                <w:szCs w:val="18"/>
              </w:rPr>
              <w:t>p.</w:t>
            </w:r>
          </w:p>
        </w:tc>
        <w:tc>
          <w:tcPr>
            <w:tcW w:w="3515" w:type="pct"/>
            <w:shd w:val="clear" w:color="auto" w:fill="CCA879"/>
            <w:vAlign w:val="center"/>
          </w:tcPr>
          <w:p w14:paraId="341B8DA7" w14:textId="77777777" w:rsidR="005F43F3" w:rsidRPr="003478AF" w:rsidRDefault="005F43F3" w:rsidP="00532CE7">
            <w:pPr>
              <w:ind w:firstLine="0"/>
              <w:jc w:val="center"/>
              <w:rPr>
                <w:rFonts w:eastAsia="Arial" w:cs="Arial"/>
                <w:b/>
                <w:bCs/>
                <w:sz w:val="18"/>
                <w:szCs w:val="18"/>
              </w:rPr>
            </w:pPr>
            <w:r w:rsidRPr="003478AF">
              <w:rPr>
                <w:rFonts w:eastAsia="Arial" w:cs="Arial"/>
                <w:b/>
                <w:bCs/>
                <w:sz w:val="18"/>
                <w:szCs w:val="18"/>
              </w:rPr>
              <w:t>Wskaźnik</w:t>
            </w:r>
          </w:p>
        </w:tc>
        <w:tc>
          <w:tcPr>
            <w:tcW w:w="1059" w:type="pct"/>
            <w:shd w:val="clear" w:color="auto" w:fill="CCA879"/>
            <w:vAlign w:val="center"/>
          </w:tcPr>
          <w:p w14:paraId="20161A2F" w14:textId="77777777" w:rsidR="005F43F3" w:rsidRPr="003478AF" w:rsidRDefault="005F43F3" w:rsidP="00532CE7">
            <w:pPr>
              <w:ind w:firstLine="0"/>
              <w:jc w:val="center"/>
              <w:rPr>
                <w:rFonts w:eastAsia="Arial" w:cs="Arial"/>
                <w:b/>
                <w:bCs/>
                <w:sz w:val="18"/>
                <w:szCs w:val="18"/>
              </w:rPr>
            </w:pPr>
            <w:r w:rsidRPr="003478AF">
              <w:rPr>
                <w:rFonts w:cs="Arial"/>
                <w:b/>
                <w:sz w:val="18"/>
                <w:szCs w:val="18"/>
              </w:rPr>
              <w:t>Jednostka miary</w:t>
            </w:r>
          </w:p>
        </w:tc>
      </w:tr>
      <w:tr w:rsidR="005F43F3" w:rsidRPr="003478AF" w14:paraId="30816484" w14:textId="77777777" w:rsidTr="001B0CB3">
        <w:trPr>
          <w:trHeight w:val="283"/>
        </w:trPr>
        <w:tc>
          <w:tcPr>
            <w:tcW w:w="426" w:type="pct"/>
            <w:shd w:val="clear" w:color="auto" w:fill="FFFFFF" w:themeFill="background1"/>
            <w:vAlign w:val="center"/>
          </w:tcPr>
          <w:p w14:paraId="4A7B46F6" w14:textId="77777777" w:rsidR="005F43F3" w:rsidRPr="003478AF" w:rsidRDefault="005F43F3" w:rsidP="00532CE7">
            <w:pPr>
              <w:ind w:firstLine="0"/>
              <w:jc w:val="center"/>
              <w:rPr>
                <w:rFonts w:eastAsia="Arial" w:cs="Arial"/>
                <w:sz w:val="18"/>
                <w:szCs w:val="18"/>
              </w:rPr>
            </w:pPr>
            <w:r w:rsidRPr="003478AF">
              <w:rPr>
                <w:rFonts w:eastAsia="Arial" w:cs="Arial"/>
                <w:sz w:val="18"/>
                <w:szCs w:val="18"/>
              </w:rPr>
              <w:t>1</w:t>
            </w:r>
          </w:p>
        </w:tc>
        <w:tc>
          <w:tcPr>
            <w:tcW w:w="3515" w:type="pct"/>
            <w:shd w:val="clear" w:color="auto" w:fill="FFFFFF" w:themeFill="background1"/>
            <w:vAlign w:val="center"/>
          </w:tcPr>
          <w:p w14:paraId="765E1CF6" w14:textId="77777777" w:rsidR="005F43F3" w:rsidRPr="003478AF" w:rsidRDefault="005F43F3" w:rsidP="00532CE7">
            <w:pPr>
              <w:ind w:firstLine="0"/>
              <w:jc w:val="left"/>
              <w:rPr>
                <w:rFonts w:eastAsia="Arial" w:cs="Arial"/>
                <w:sz w:val="18"/>
                <w:szCs w:val="18"/>
              </w:rPr>
            </w:pPr>
            <w:r w:rsidRPr="003478AF">
              <w:rPr>
                <w:rFonts w:eastAsia="Arial" w:cs="Arial"/>
                <w:sz w:val="18"/>
                <w:szCs w:val="18"/>
              </w:rPr>
              <w:t>Zużycie wody ogółem</w:t>
            </w:r>
          </w:p>
        </w:tc>
        <w:tc>
          <w:tcPr>
            <w:tcW w:w="1059" w:type="pct"/>
            <w:shd w:val="clear" w:color="auto" w:fill="FFFFFF" w:themeFill="background1"/>
            <w:vAlign w:val="center"/>
          </w:tcPr>
          <w:p w14:paraId="138A0228" w14:textId="77777777" w:rsidR="005F43F3" w:rsidRPr="003478AF" w:rsidRDefault="005F43F3" w:rsidP="00532CE7">
            <w:pPr>
              <w:ind w:firstLine="0"/>
              <w:jc w:val="center"/>
              <w:rPr>
                <w:rFonts w:eastAsia="Arial" w:cs="Arial"/>
                <w:sz w:val="18"/>
                <w:szCs w:val="18"/>
              </w:rPr>
            </w:pPr>
            <w:r w:rsidRPr="003478AF">
              <w:rPr>
                <w:rFonts w:eastAsia="Arial" w:cs="Arial"/>
                <w:sz w:val="18"/>
                <w:szCs w:val="18"/>
              </w:rPr>
              <w:t>hm</w:t>
            </w:r>
            <w:r w:rsidRPr="003478AF">
              <w:rPr>
                <w:rFonts w:eastAsia="Arial" w:cs="Arial"/>
                <w:sz w:val="18"/>
                <w:szCs w:val="18"/>
                <w:vertAlign w:val="superscript"/>
              </w:rPr>
              <w:t>3</w:t>
            </w:r>
          </w:p>
        </w:tc>
      </w:tr>
      <w:tr w:rsidR="005F43F3" w:rsidRPr="003478AF" w14:paraId="66E1094D" w14:textId="77777777" w:rsidTr="001B0CB3">
        <w:trPr>
          <w:trHeight w:val="283"/>
        </w:trPr>
        <w:tc>
          <w:tcPr>
            <w:tcW w:w="426" w:type="pct"/>
            <w:shd w:val="clear" w:color="auto" w:fill="FFFFFF" w:themeFill="background1"/>
            <w:vAlign w:val="center"/>
          </w:tcPr>
          <w:p w14:paraId="6EF9E754" w14:textId="77777777" w:rsidR="005F43F3" w:rsidRPr="003478AF" w:rsidRDefault="005F43F3" w:rsidP="00532CE7">
            <w:pPr>
              <w:ind w:firstLine="0"/>
              <w:jc w:val="center"/>
              <w:rPr>
                <w:rFonts w:eastAsia="Arial" w:cs="Arial"/>
                <w:sz w:val="18"/>
                <w:szCs w:val="18"/>
              </w:rPr>
            </w:pPr>
            <w:r w:rsidRPr="003478AF">
              <w:rPr>
                <w:rFonts w:eastAsia="Arial" w:cs="Arial"/>
                <w:sz w:val="18"/>
                <w:szCs w:val="18"/>
              </w:rPr>
              <w:t>2</w:t>
            </w:r>
          </w:p>
        </w:tc>
        <w:tc>
          <w:tcPr>
            <w:tcW w:w="3515" w:type="pct"/>
            <w:shd w:val="clear" w:color="auto" w:fill="FFFFFF" w:themeFill="background1"/>
            <w:vAlign w:val="center"/>
          </w:tcPr>
          <w:p w14:paraId="042C7762" w14:textId="00113E7C" w:rsidR="005F43F3" w:rsidRPr="003478AF" w:rsidRDefault="005F43F3" w:rsidP="00532CE7">
            <w:pPr>
              <w:ind w:firstLine="0"/>
              <w:jc w:val="left"/>
              <w:rPr>
                <w:rFonts w:eastAsia="Arial" w:cs="Arial"/>
                <w:sz w:val="18"/>
                <w:szCs w:val="18"/>
              </w:rPr>
            </w:pPr>
            <w:r w:rsidRPr="003478AF">
              <w:rPr>
                <w:rFonts w:eastAsia="Arial" w:cs="Arial"/>
                <w:sz w:val="18"/>
                <w:szCs w:val="18"/>
              </w:rPr>
              <w:t xml:space="preserve">Zużycie wody z wodociągów w gospodarstwach domowych </w:t>
            </w:r>
            <w:r w:rsidR="001B0CB3" w:rsidRPr="003478AF">
              <w:rPr>
                <w:rFonts w:eastAsia="Arial" w:cs="Arial"/>
                <w:sz w:val="18"/>
                <w:szCs w:val="18"/>
              </w:rPr>
              <w:br/>
            </w:r>
            <w:r w:rsidRPr="003478AF">
              <w:rPr>
                <w:rFonts w:eastAsia="Arial" w:cs="Arial"/>
                <w:sz w:val="18"/>
                <w:szCs w:val="18"/>
              </w:rPr>
              <w:t>na 1 mieszkańca</w:t>
            </w:r>
          </w:p>
        </w:tc>
        <w:tc>
          <w:tcPr>
            <w:tcW w:w="1059" w:type="pct"/>
            <w:shd w:val="clear" w:color="auto" w:fill="FFFFFF" w:themeFill="background1"/>
            <w:vAlign w:val="center"/>
          </w:tcPr>
          <w:p w14:paraId="38EC9370" w14:textId="77777777" w:rsidR="005F43F3" w:rsidRPr="003478AF" w:rsidRDefault="005F43F3" w:rsidP="00532CE7">
            <w:pPr>
              <w:ind w:firstLine="0"/>
              <w:jc w:val="center"/>
              <w:rPr>
                <w:rFonts w:eastAsia="Arial" w:cs="Arial"/>
                <w:sz w:val="18"/>
                <w:szCs w:val="18"/>
              </w:rPr>
            </w:pPr>
            <w:r w:rsidRPr="003478AF">
              <w:rPr>
                <w:rFonts w:eastAsia="Arial" w:cs="Arial"/>
                <w:sz w:val="18"/>
                <w:szCs w:val="18"/>
              </w:rPr>
              <w:t>m</w:t>
            </w:r>
            <w:r w:rsidRPr="003478AF">
              <w:rPr>
                <w:rFonts w:eastAsia="Arial" w:cs="Arial"/>
                <w:sz w:val="18"/>
                <w:szCs w:val="18"/>
                <w:vertAlign w:val="superscript"/>
              </w:rPr>
              <w:t>3</w:t>
            </w:r>
          </w:p>
        </w:tc>
      </w:tr>
      <w:tr w:rsidR="00FF08BB" w:rsidRPr="003478AF" w14:paraId="315FE0CF" w14:textId="77777777" w:rsidTr="001B0CB3">
        <w:trPr>
          <w:trHeight w:val="283"/>
        </w:trPr>
        <w:tc>
          <w:tcPr>
            <w:tcW w:w="426" w:type="pct"/>
            <w:shd w:val="clear" w:color="auto" w:fill="FFFFFF" w:themeFill="background1"/>
            <w:vAlign w:val="center"/>
          </w:tcPr>
          <w:p w14:paraId="622EB21A" w14:textId="77777777" w:rsidR="00FF08BB" w:rsidRPr="003478AF" w:rsidRDefault="00FF08BB" w:rsidP="00532CE7">
            <w:pPr>
              <w:ind w:firstLine="0"/>
              <w:jc w:val="center"/>
              <w:rPr>
                <w:rFonts w:eastAsia="Arial" w:cs="Arial"/>
                <w:sz w:val="18"/>
                <w:szCs w:val="18"/>
              </w:rPr>
            </w:pPr>
            <w:r w:rsidRPr="003478AF">
              <w:rPr>
                <w:rFonts w:eastAsia="Arial" w:cs="Arial"/>
                <w:sz w:val="18"/>
                <w:szCs w:val="18"/>
              </w:rPr>
              <w:t>3</w:t>
            </w:r>
          </w:p>
        </w:tc>
        <w:tc>
          <w:tcPr>
            <w:tcW w:w="3515" w:type="pct"/>
            <w:shd w:val="clear" w:color="auto" w:fill="FFFFFF" w:themeFill="background1"/>
            <w:vAlign w:val="center"/>
          </w:tcPr>
          <w:p w14:paraId="34737533" w14:textId="0E8E1AFD" w:rsidR="00FF08BB" w:rsidRPr="003478AF" w:rsidRDefault="00FF08BB" w:rsidP="00532CE7">
            <w:pPr>
              <w:ind w:firstLine="0"/>
              <w:jc w:val="left"/>
              <w:rPr>
                <w:rFonts w:eastAsia="Arial" w:cs="Arial"/>
                <w:sz w:val="18"/>
                <w:szCs w:val="18"/>
              </w:rPr>
            </w:pPr>
            <w:r w:rsidRPr="003478AF">
              <w:rPr>
                <w:rFonts w:eastAsia="Arial" w:cs="Arial"/>
                <w:sz w:val="18"/>
                <w:szCs w:val="18"/>
              </w:rPr>
              <w:t>Wodochłonność przemysłu (zużycie</w:t>
            </w:r>
            <w:r w:rsidRPr="003478AF">
              <w:rPr>
                <w:rFonts w:cs="Arial"/>
                <w:sz w:val="18"/>
                <w:szCs w:val="18"/>
              </w:rPr>
              <w:t xml:space="preserve"> wody na potrzeby przemysłu </w:t>
            </w:r>
            <w:r w:rsidR="001B0CB3" w:rsidRPr="003478AF">
              <w:rPr>
                <w:rFonts w:cs="Arial"/>
                <w:sz w:val="18"/>
                <w:szCs w:val="18"/>
              </w:rPr>
              <w:br/>
            </w:r>
            <w:r w:rsidRPr="003478AF">
              <w:rPr>
                <w:rFonts w:cs="Arial"/>
                <w:sz w:val="18"/>
                <w:szCs w:val="18"/>
              </w:rPr>
              <w:t>w przeliczeniu na wartość produkcji sprzedanej ogółem przemysłu)</w:t>
            </w:r>
          </w:p>
        </w:tc>
        <w:tc>
          <w:tcPr>
            <w:tcW w:w="1059" w:type="pct"/>
            <w:shd w:val="clear" w:color="auto" w:fill="FFFFFF" w:themeFill="background1"/>
            <w:vAlign w:val="center"/>
          </w:tcPr>
          <w:p w14:paraId="4C63F2A1" w14:textId="1E669CFC" w:rsidR="00FF08BB" w:rsidRPr="003478AF" w:rsidRDefault="00FF08BB" w:rsidP="00532CE7">
            <w:pPr>
              <w:ind w:firstLine="0"/>
              <w:jc w:val="center"/>
              <w:rPr>
                <w:rFonts w:eastAsia="Arial" w:cs="Arial"/>
                <w:sz w:val="18"/>
                <w:szCs w:val="18"/>
              </w:rPr>
            </w:pPr>
            <w:r w:rsidRPr="003478AF">
              <w:rPr>
                <w:rFonts w:eastAsia="Arial" w:cs="Arial"/>
                <w:sz w:val="18"/>
                <w:szCs w:val="18"/>
              </w:rPr>
              <w:t>dam</w:t>
            </w:r>
            <w:r w:rsidRPr="003478AF">
              <w:rPr>
                <w:rFonts w:eastAsia="Arial" w:cs="Arial"/>
                <w:sz w:val="18"/>
                <w:szCs w:val="18"/>
                <w:vertAlign w:val="superscript"/>
              </w:rPr>
              <w:t>3</w:t>
            </w:r>
            <w:r w:rsidRPr="003478AF">
              <w:rPr>
                <w:rFonts w:eastAsia="Arial" w:cs="Arial"/>
                <w:sz w:val="18"/>
                <w:szCs w:val="18"/>
              </w:rPr>
              <w:t>/zł</w:t>
            </w:r>
          </w:p>
        </w:tc>
      </w:tr>
      <w:tr w:rsidR="00FF08BB" w:rsidRPr="003478AF" w14:paraId="6173F8EE" w14:textId="77777777" w:rsidTr="001B0CB3">
        <w:trPr>
          <w:trHeight w:val="283"/>
        </w:trPr>
        <w:tc>
          <w:tcPr>
            <w:tcW w:w="426" w:type="pct"/>
            <w:shd w:val="clear" w:color="auto" w:fill="FFFFFF" w:themeFill="background1"/>
            <w:vAlign w:val="center"/>
          </w:tcPr>
          <w:p w14:paraId="46402244" w14:textId="77777777" w:rsidR="00FF08BB" w:rsidRPr="003478AF" w:rsidRDefault="00FF08BB" w:rsidP="00532CE7">
            <w:pPr>
              <w:ind w:firstLine="0"/>
              <w:jc w:val="center"/>
              <w:rPr>
                <w:rFonts w:eastAsia="Arial" w:cs="Arial"/>
                <w:sz w:val="18"/>
                <w:szCs w:val="18"/>
              </w:rPr>
            </w:pPr>
            <w:r w:rsidRPr="003478AF">
              <w:rPr>
                <w:rFonts w:eastAsia="Arial" w:cs="Arial"/>
                <w:sz w:val="18"/>
                <w:szCs w:val="18"/>
              </w:rPr>
              <w:t>4</w:t>
            </w:r>
          </w:p>
        </w:tc>
        <w:tc>
          <w:tcPr>
            <w:tcW w:w="3515" w:type="pct"/>
            <w:shd w:val="clear" w:color="auto" w:fill="FFFFFF" w:themeFill="background1"/>
            <w:vAlign w:val="center"/>
          </w:tcPr>
          <w:p w14:paraId="256F65F8" w14:textId="1DC0A20F" w:rsidR="00FF08BB" w:rsidRPr="003478AF" w:rsidRDefault="00FF08BB" w:rsidP="00532CE7">
            <w:pPr>
              <w:ind w:firstLine="0"/>
              <w:jc w:val="left"/>
              <w:rPr>
                <w:rFonts w:eastAsia="Arial" w:cs="Arial"/>
                <w:sz w:val="18"/>
                <w:szCs w:val="18"/>
              </w:rPr>
            </w:pPr>
            <w:r w:rsidRPr="003478AF">
              <w:rPr>
                <w:rFonts w:eastAsia="Arial" w:cs="Arial"/>
                <w:sz w:val="18"/>
                <w:szCs w:val="18"/>
              </w:rPr>
              <w:t>Wodochłonność gospodarki (</w:t>
            </w:r>
            <w:r w:rsidRPr="003478AF">
              <w:rPr>
                <w:rFonts w:cs="Arial"/>
                <w:sz w:val="18"/>
                <w:szCs w:val="18"/>
              </w:rPr>
              <w:t>zużycie wody na potrzeby gospodarki narodowej i ludności w przeliczeniu na wartość PKB)</w:t>
            </w:r>
          </w:p>
        </w:tc>
        <w:tc>
          <w:tcPr>
            <w:tcW w:w="1059" w:type="pct"/>
            <w:shd w:val="clear" w:color="auto" w:fill="FFFFFF" w:themeFill="background1"/>
            <w:vAlign w:val="center"/>
          </w:tcPr>
          <w:p w14:paraId="3DA797B6" w14:textId="1DB0626D" w:rsidR="00FF08BB" w:rsidRPr="003478AF" w:rsidRDefault="00FF08BB" w:rsidP="00532CE7">
            <w:pPr>
              <w:ind w:firstLine="0"/>
              <w:jc w:val="center"/>
              <w:rPr>
                <w:rFonts w:eastAsia="Arial" w:cs="Arial"/>
                <w:sz w:val="18"/>
                <w:szCs w:val="18"/>
              </w:rPr>
            </w:pPr>
            <w:r w:rsidRPr="003478AF">
              <w:rPr>
                <w:rFonts w:eastAsia="Arial" w:cs="Arial"/>
                <w:sz w:val="18"/>
                <w:szCs w:val="18"/>
              </w:rPr>
              <w:t>dam</w:t>
            </w:r>
            <w:r w:rsidRPr="003478AF">
              <w:rPr>
                <w:rFonts w:eastAsia="Arial" w:cs="Arial"/>
                <w:sz w:val="18"/>
                <w:szCs w:val="18"/>
                <w:vertAlign w:val="superscript"/>
              </w:rPr>
              <w:t>3</w:t>
            </w:r>
            <w:r w:rsidRPr="003478AF">
              <w:rPr>
                <w:rFonts w:eastAsia="Arial" w:cs="Arial"/>
                <w:sz w:val="18"/>
                <w:szCs w:val="18"/>
              </w:rPr>
              <w:t>/zł</w:t>
            </w:r>
          </w:p>
        </w:tc>
      </w:tr>
      <w:tr w:rsidR="00FF08BB" w:rsidRPr="003478AF" w14:paraId="78260CC0" w14:textId="77777777" w:rsidTr="001B0CB3">
        <w:trPr>
          <w:trHeight w:val="283"/>
        </w:trPr>
        <w:tc>
          <w:tcPr>
            <w:tcW w:w="426" w:type="pct"/>
            <w:shd w:val="clear" w:color="auto" w:fill="FFFFFF" w:themeFill="background1"/>
            <w:vAlign w:val="center"/>
          </w:tcPr>
          <w:p w14:paraId="3921BE2B" w14:textId="77777777" w:rsidR="00FF08BB" w:rsidRPr="003478AF" w:rsidRDefault="00FF08BB" w:rsidP="00532CE7">
            <w:pPr>
              <w:ind w:firstLine="0"/>
              <w:jc w:val="center"/>
              <w:rPr>
                <w:rFonts w:eastAsia="Arial" w:cs="Arial"/>
                <w:sz w:val="18"/>
                <w:szCs w:val="18"/>
              </w:rPr>
            </w:pPr>
            <w:r w:rsidRPr="003478AF">
              <w:rPr>
                <w:rFonts w:eastAsia="Arial" w:cs="Arial"/>
                <w:sz w:val="18"/>
                <w:szCs w:val="18"/>
              </w:rPr>
              <w:t>5</w:t>
            </w:r>
          </w:p>
        </w:tc>
        <w:tc>
          <w:tcPr>
            <w:tcW w:w="3515" w:type="pct"/>
            <w:shd w:val="clear" w:color="auto" w:fill="FFFFFF" w:themeFill="background1"/>
            <w:vAlign w:val="center"/>
          </w:tcPr>
          <w:p w14:paraId="5E894D30" w14:textId="760B8069" w:rsidR="00FF08BB" w:rsidRPr="003478AF" w:rsidRDefault="00FF08BB" w:rsidP="00532CE7">
            <w:pPr>
              <w:ind w:firstLine="0"/>
              <w:jc w:val="left"/>
              <w:rPr>
                <w:rFonts w:cs="Arial"/>
                <w:sz w:val="18"/>
                <w:szCs w:val="18"/>
              </w:rPr>
            </w:pPr>
            <w:r w:rsidRPr="003478AF">
              <w:rPr>
                <w:rFonts w:eastAsia="Arial" w:cs="Arial"/>
                <w:sz w:val="18"/>
                <w:szCs w:val="18"/>
              </w:rPr>
              <w:t xml:space="preserve">Wodochłonność gospodarstw domowych </w:t>
            </w:r>
            <w:r w:rsidRPr="003478AF">
              <w:rPr>
                <w:rFonts w:cs="Arial"/>
                <w:sz w:val="18"/>
                <w:szCs w:val="18"/>
              </w:rPr>
              <w:t>(zużyta woda z wodociągów w gospodarstwach domowych w odniesieniu do wartości dodanej brutto gospodarstw domowych)</w:t>
            </w:r>
          </w:p>
        </w:tc>
        <w:tc>
          <w:tcPr>
            <w:tcW w:w="1059" w:type="pct"/>
            <w:shd w:val="clear" w:color="auto" w:fill="FFFFFF" w:themeFill="background1"/>
            <w:vAlign w:val="center"/>
          </w:tcPr>
          <w:p w14:paraId="546314E9" w14:textId="59AEE6C6" w:rsidR="00FF08BB" w:rsidRPr="003478AF" w:rsidRDefault="00FF08BB" w:rsidP="00532CE7">
            <w:pPr>
              <w:ind w:firstLine="0"/>
              <w:jc w:val="center"/>
              <w:rPr>
                <w:rFonts w:eastAsia="Arial" w:cs="Arial"/>
                <w:sz w:val="18"/>
                <w:szCs w:val="18"/>
              </w:rPr>
            </w:pPr>
            <w:r w:rsidRPr="003478AF">
              <w:rPr>
                <w:rFonts w:eastAsia="Arial" w:cs="Arial"/>
                <w:sz w:val="18"/>
                <w:szCs w:val="18"/>
              </w:rPr>
              <w:t>dam</w:t>
            </w:r>
            <w:r w:rsidRPr="003478AF">
              <w:rPr>
                <w:rFonts w:eastAsia="Arial" w:cs="Arial"/>
                <w:sz w:val="18"/>
                <w:szCs w:val="18"/>
                <w:vertAlign w:val="superscript"/>
              </w:rPr>
              <w:t>3</w:t>
            </w:r>
            <w:r w:rsidRPr="003478AF">
              <w:rPr>
                <w:rFonts w:eastAsia="Arial" w:cs="Arial"/>
                <w:sz w:val="18"/>
                <w:szCs w:val="18"/>
              </w:rPr>
              <w:t>/zł</w:t>
            </w:r>
          </w:p>
        </w:tc>
      </w:tr>
      <w:tr w:rsidR="008E77CE" w:rsidRPr="003478AF" w14:paraId="3754D2B9" w14:textId="77777777" w:rsidTr="001B0CB3">
        <w:trPr>
          <w:trHeight w:val="283"/>
        </w:trPr>
        <w:tc>
          <w:tcPr>
            <w:tcW w:w="426" w:type="pct"/>
            <w:shd w:val="clear" w:color="auto" w:fill="FFFFFF" w:themeFill="background1"/>
            <w:vAlign w:val="center"/>
          </w:tcPr>
          <w:p w14:paraId="35D62BAF" w14:textId="5A74675A" w:rsidR="008E77CE" w:rsidRPr="003478AF" w:rsidRDefault="008E77CE" w:rsidP="00532CE7">
            <w:pPr>
              <w:ind w:firstLine="0"/>
              <w:jc w:val="center"/>
              <w:rPr>
                <w:rFonts w:eastAsia="Arial" w:cs="Arial"/>
                <w:sz w:val="18"/>
                <w:szCs w:val="18"/>
              </w:rPr>
            </w:pPr>
            <w:r w:rsidRPr="003478AF">
              <w:rPr>
                <w:rFonts w:eastAsia="Arial" w:cs="Arial"/>
                <w:sz w:val="18"/>
                <w:szCs w:val="18"/>
              </w:rPr>
              <w:t>6</w:t>
            </w:r>
          </w:p>
        </w:tc>
        <w:tc>
          <w:tcPr>
            <w:tcW w:w="3515" w:type="pct"/>
            <w:shd w:val="clear" w:color="auto" w:fill="FFFFFF" w:themeFill="background1"/>
            <w:vAlign w:val="center"/>
          </w:tcPr>
          <w:p w14:paraId="7456B209" w14:textId="66D7E7D6" w:rsidR="008E77CE" w:rsidRPr="003478AF" w:rsidRDefault="00E659F0" w:rsidP="00532CE7">
            <w:pPr>
              <w:ind w:firstLine="0"/>
              <w:jc w:val="left"/>
              <w:rPr>
                <w:rFonts w:eastAsia="Arial" w:cs="Arial"/>
                <w:sz w:val="18"/>
                <w:szCs w:val="18"/>
              </w:rPr>
            </w:pPr>
            <w:r w:rsidRPr="003478AF">
              <w:rPr>
                <w:rFonts w:eastAsia="Arial" w:cs="Arial"/>
                <w:sz w:val="18"/>
                <w:szCs w:val="18"/>
              </w:rPr>
              <w:t>Ścieki p</w:t>
            </w:r>
            <w:r w:rsidR="008E77CE" w:rsidRPr="003478AF">
              <w:rPr>
                <w:rFonts w:eastAsia="Arial" w:cs="Arial"/>
                <w:sz w:val="18"/>
                <w:szCs w:val="18"/>
              </w:rPr>
              <w:t>rzemysłow</w:t>
            </w:r>
            <w:r w:rsidRPr="003478AF">
              <w:rPr>
                <w:rFonts w:eastAsia="Arial" w:cs="Arial"/>
                <w:sz w:val="18"/>
                <w:szCs w:val="18"/>
              </w:rPr>
              <w:t>e</w:t>
            </w:r>
            <w:r w:rsidR="008E77CE" w:rsidRPr="003478AF">
              <w:rPr>
                <w:rFonts w:eastAsia="Arial" w:cs="Arial"/>
                <w:sz w:val="18"/>
                <w:szCs w:val="18"/>
              </w:rPr>
              <w:t xml:space="preserve"> odprowadzon</w:t>
            </w:r>
            <w:r w:rsidRPr="003478AF">
              <w:rPr>
                <w:rFonts w:eastAsia="Arial" w:cs="Arial"/>
                <w:sz w:val="18"/>
                <w:szCs w:val="18"/>
              </w:rPr>
              <w:t>e</w:t>
            </w:r>
            <w:r w:rsidR="008E77CE" w:rsidRPr="003478AF">
              <w:rPr>
                <w:rFonts w:eastAsia="Arial" w:cs="Arial"/>
                <w:sz w:val="18"/>
                <w:szCs w:val="18"/>
              </w:rPr>
              <w:t xml:space="preserve"> w ciągu roku</w:t>
            </w:r>
          </w:p>
        </w:tc>
        <w:tc>
          <w:tcPr>
            <w:tcW w:w="1059" w:type="pct"/>
            <w:shd w:val="clear" w:color="auto" w:fill="FFFFFF" w:themeFill="background1"/>
            <w:vAlign w:val="center"/>
          </w:tcPr>
          <w:p w14:paraId="3CF8FED4" w14:textId="65D43FC0" w:rsidR="008E77CE" w:rsidRPr="003478AF" w:rsidRDefault="00FF08BB" w:rsidP="00532CE7">
            <w:pPr>
              <w:ind w:firstLine="0"/>
              <w:jc w:val="center"/>
              <w:rPr>
                <w:rFonts w:eastAsia="Arial" w:cs="Arial"/>
                <w:sz w:val="18"/>
                <w:szCs w:val="18"/>
              </w:rPr>
            </w:pPr>
            <w:r w:rsidRPr="003478AF">
              <w:rPr>
                <w:rFonts w:eastAsia="Arial" w:cs="Arial"/>
                <w:sz w:val="18"/>
                <w:szCs w:val="18"/>
              </w:rPr>
              <w:t>dam</w:t>
            </w:r>
            <w:r w:rsidRPr="003478AF">
              <w:rPr>
                <w:rFonts w:eastAsia="Arial" w:cs="Arial"/>
                <w:sz w:val="18"/>
                <w:szCs w:val="18"/>
                <w:vertAlign w:val="superscript"/>
              </w:rPr>
              <w:t>3</w:t>
            </w:r>
          </w:p>
        </w:tc>
      </w:tr>
      <w:tr w:rsidR="005F43F3" w:rsidRPr="003478AF" w14:paraId="5A617DDB" w14:textId="77777777" w:rsidTr="001B0CB3">
        <w:trPr>
          <w:trHeight w:val="283"/>
        </w:trPr>
        <w:tc>
          <w:tcPr>
            <w:tcW w:w="426" w:type="pct"/>
            <w:shd w:val="clear" w:color="auto" w:fill="FFFFFF" w:themeFill="background1"/>
            <w:vAlign w:val="center"/>
          </w:tcPr>
          <w:p w14:paraId="66C42758" w14:textId="02417B62" w:rsidR="005F43F3" w:rsidRPr="003478AF" w:rsidRDefault="008E77CE" w:rsidP="00532CE7">
            <w:pPr>
              <w:ind w:firstLine="0"/>
              <w:jc w:val="center"/>
              <w:rPr>
                <w:rFonts w:eastAsia="Arial" w:cs="Arial"/>
                <w:sz w:val="18"/>
                <w:szCs w:val="18"/>
              </w:rPr>
            </w:pPr>
            <w:r w:rsidRPr="003478AF">
              <w:rPr>
                <w:rFonts w:eastAsia="Arial" w:cs="Arial"/>
                <w:sz w:val="18"/>
                <w:szCs w:val="18"/>
              </w:rPr>
              <w:t>7</w:t>
            </w:r>
          </w:p>
        </w:tc>
        <w:tc>
          <w:tcPr>
            <w:tcW w:w="3515" w:type="pct"/>
            <w:shd w:val="clear" w:color="auto" w:fill="FFFFFF" w:themeFill="background1"/>
            <w:vAlign w:val="center"/>
          </w:tcPr>
          <w:p w14:paraId="0E265614" w14:textId="77777777" w:rsidR="005F43F3" w:rsidRPr="003478AF" w:rsidRDefault="005F43F3" w:rsidP="00532CE7">
            <w:pPr>
              <w:ind w:firstLine="0"/>
              <w:jc w:val="left"/>
              <w:rPr>
                <w:rFonts w:eastAsia="Arial" w:cs="Arial"/>
                <w:sz w:val="18"/>
                <w:szCs w:val="18"/>
              </w:rPr>
            </w:pPr>
            <w:r w:rsidRPr="003478AF">
              <w:rPr>
                <w:rFonts w:eastAsia="Arial" w:cs="Arial"/>
                <w:sz w:val="18"/>
                <w:szCs w:val="18"/>
              </w:rPr>
              <w:t>Ścieki przemysłowe odprowadzone w ciągu roku do sieci kanalizacyjnej</w:t>
            </w:r>
          </w:p>
        </w:tc>
        <w:tc>
          <w:tcPr>
            <w:tcW w:w="1059" w:type="pct"/>
            <w:shd w:val="clear" w:color="auto" w:fill="FFFFFF" w:themeFill="background1"/>
            <w:vAlign w:val="center"/>
          </w:tcPr>
          <w:p w14:paraId="6FC10173" w14:textId="7C21E373" w:rsidR="005F43F3" w:rsidRPr="003478AF" w:rsidRDefault="00FF08BB" w:rsidP="00532CE7">
            <w:pPr>
              <w:ind w:firstLine="0"/>
              <w:jc w:val="center"/>
              <w:rPr>
                <w:rFonts w:eastAsia="Arial" w:cs="Arial"/>
                <w:sz w:val="18"/>
                <w:szCs w:val="18"/>
              </w:rPr>
            </w:pPr>
            <w:r w:rsidRPr="003478AF">
              <w:rPr>
                <w:rFonts w:eastAsia="Arial" w:cs="Arial"/>
                <w:sz w:val="18"/>
                <w:szCs w:val="18"/>
              </w:rPr>
              <w:t>dam</w:t>
            </w:r>
            <w:r w:rsidRPr="003478AF">
              <w:rPr>
                <w:rFonts w:eastAsia="Arial" w:cs="Arial"/>
                <w:sz w:val="18"/>
                <w:szCs w:val="18"/>
                <w:vertAlign w:val="superscript"/>
              </w:rPr>
              <w:t>3</w:t>
            </w:r>
          </w:p>
        </w:tc>
      </w:tr>
      <w:tr w:rsidR="00F801D2" w:rsidRPr="003478AF" w14:paraId="02A90E01" w14:textId="77777777" w:rsidTr="001B0CB3">
        <w:trPr>
          <w:trHeight w:val="283"/>
        </w:trPr>
        <w:tc>
          <w:tcPr>
            <w:tcW w:w="426" w:type="pct"/>
            <w:shd w:val="clear" w:color="auto" w:fill="FFFFFF" w:themeFill="background1"/>
            <w:vAlign w:val="center"/>
          </w:tcPr>
          <w:p w14:paraId="11B20490" w14:textId="77777777" w:rsidR="00F801D2" w:rsidRPr="003478AF" w:rsidRDefault="00F801D2" w:rsidP="00532CE7">
            <w:pPr>
              <w:ind w:firstLine="0"/>
              <w:jc w:val="center"/>
              <w:rPr>
                <w:rFonts w:eastAsia="Arial" w:cs="Arial"/>
                <w:sz w:val="18"/>
                <w:szCs w:val="18"/>
              </w:rPr>
            </w:pPr>
            <w:r w:rsidRPr="003478AF">
              <w:rPr>
                <w:rFonts w:eastAsia="Arial" w:cs="Arial"/>
                <w:sz w:val="18"/>
                <w:szCs w:val="18"/>
              </w:rPr>
              <w:t>8</w:t>
            </w:r>
          </w:p>
        </w:tc>
        <w:tc>
          <w:tcPr>
            <w:tcW w:w="3515" w:type="pct"/>
            <w:shd w:val="clear" w:color="auto" w:fill="FFFFFF" w:themeFill="background1"/>
            <w:vAlign w:val="center"/>
          </w:tcPr>
          <w:p w14:paraId="7565BD95" w14:textId="4529046A" w:rsidR="00F801D2" w:rsidRPr="003478AF" w:rsidRDefault="00F801D2" w:rsidP="00532CE7">
            <w:pPr>
              <w:ind w:firstLine="0"/>
              <w:jc w:val="left"/>
              <w:rPr>
                <w:rFonts w:eastAsia="Arial" w:cs="Arial"/>
                <w:sz w:val="18"/>
                <w:szCs w:val="18"/>
              </w:rPr>
            </w:pPr>
            <w:r w:rsidRPr="003478AF">
              <w:rPr>
                <w:rFonts w:eastAsia="Arial" w:cs="Arial"/>
                <w:sz w:val="18"/>
                <w:szCs w:val="18"/>
              </w:rPr>
              <w:t>Emisja metanu z zakładów szczególnie uciążliwych</w:t>
            </w:r>
            <w:r w:rsidR="00C17D7A" w:rsidRPr="003478AF">
              <w:rPr>
                <w:rFonts w:eastAsia="Arial" w:cs="Arial"/>
                <w:sz w:val="18"/>
                <w:szCs w:val="18"/>
              </w:rPr>
              <w:t xml:space="preserve"> dla czystości powietrza</w:t>
            </w:r>
          </w:p>
        </w:tc>
        <w:tc>
          <w:tcPr>
            <w:tcW w:w="1059" w:type="pct"/>
            <w:shd w:val="clear" w:color="auto" w:fill="FFFFFF" w:themeFill="background1"/>
            <w:vAlign w:val="center"/>
          </w:tcPr>
          <w:p w14:paraId="5B2702F3" w14:textId="6AB72A47" w:rsidR="00F801D2" w:rsidRPr="003478AF" w:rsidRDefault="00F801D2" w:rsidP="00532CE7">
            <w:pPr>
              <w:ind w:firstLine="0"/>
              <w:jc w:val="center"/>
              <w:rPr>
                <w:rFonts w:eastAsia="Arial" w:cs="Arial"/>
                <w:sz w:val="18"/>
                <w:szCs w:val="18"/>
              </w:rPr>
            </w:pPr>
            <w:r w:rsidRPr="003478AF">
              <w:rPr>
                <w:rFonts w:eastAsia="Arial" w:cs="Arial"/>
                <w:sz w:val="18"/>
                <w:szCs w:val="18"/>
              </w:rPr>
              <w:t>t/rok</w:t>
            </w:r>
          </w:p>
        </w:tc>
      </w:tr>
      <w:tr w:rsidR="00F801D2" w:rsidRPr="003478AF" w14:paraId="6DEEA9B6" w14:textId="77777777" w:rsidTr="001B0CB3">
        <w:trPr>
          <w:trHeight w:val="283"/>
        </w:trPr>
        <w:tc>
          <w:tcPr>
            <w:tcW w:w="426" w:type="pct"/>
            <w:shd w:val="clear" w:color="auto" w:fill="FFFFFF" w:themeFill="background1"/>
            <w:vAlign w:val="center"/>
          </w:tcPr>
          <w:p w14:paraId="2A8AFB28" w14:textId="77777777" w:rsidR="00F801D2" w:rsidRPr="003478AF" w:rsidRDefault="00F801D2" w:rsidP="00532CE7">
            <w:pPr>
              <w:ind w:firstLine="0"/>
              <w:jc w:val="center"/>
              <w:rPr>
                <w:rFonts w:eastAsia="Arial" w:cs="Arial"/>
                <w:sz w:val="18"/>
                <w:szCs w:val="18"/>
              </w:rPr>
            </w:pPr>
            <w:r w:rsidRPr="003478AF">
              <w:rPr>
                <w:rFonts w:eastAsia="Arial" w:cs="Arial"/>
                <w:sz w:val="18"/>
                <w:szCs w:val="18"/>
              </w:rPr>
              <w:t>9</w:t>
            </w:r>
          </w:p>
        </w:tc>
        <w:tc>
          <w:tcPr>
            <w:tcW w:w="3515" w:type="pct"/>
            <w:shd w:val="clear" w:color="auto" w:fill="FFFFFF" w:themeFill="background1"/>
            <w:vAlign w:val="center"/>
          </w:tcPr>
          <w:p w14:paraId="30D1E941" w14:textId="29E8C1A9" w:rsidR="00F801D2" w:rsidRPr="003478AF" w:rsidRDefault="00F801D2" w:rsidP="00532CE7">
            <w:pPr>
              <w:ind w:firstLine="0"/>
              <w:jc w:val="left"/>
              <w:rPr>
                <w:rFonts w:eastAsia="Arial" w:cs="Arial"/>
                <w:sz w:val="18"/>
                <w:szCs w:val="18"/>
              </w:rPr>
            </w:pPr>
            <w:r w:rsidRPr="003478AF">
              <w:rPr>
                <w:rFonts w:eastAsia="Arial" w:cs="Arial"/>
                <w:sz w:val="18"/>
                <w:szCs w:val="18"/>
              </w:rPr>
              <w:t>Emisja dwutlenku węgla z zakładów szczególnie uciążliwych</w:t>
            </w:r>
            <w:r w:rsidR="00C17D7A" w:rsidRPr="003478AF">
              <w:rPr>
                <w:rFonts w:eastAsia="Arial" w:cs="Arial"/>
                <w:sz w:val="18"/>
                <w:szCs w:val="18"/>
              </w:rPr>
              <w:t xml:space="preserve"> dla czystości powietrza</w:t>
            </w:r>
          </w:p>
        </w:tc>
        <w:tc>
          <w:tcPr>
            <w:tcW w:w="1059" w:type="pct"/>
            <w:shd w:val="clear" w:color="auto" w:fill="FFFFFF" w:themeFill="background1"/>
            <w:vAlign w:val="center"/>
          </w:tcPr>
          <w:p w14:paraId="7FEE242C" w14:textId="4EBBFA15" w:rsidR="00F801D2" w:rsidRPr="003478AF" w:rsidRDefault="00F801D2" w:rsidP="00532CE7">
            <w:pPr>
              <w:ind w:firstLine="0"/>
              <w:jc w:val="center"/>
              <w:rPr>
                <w:rFonts w:eastAsia="Arial" w:cs="Arial"/>
                <w:sz w:val="18"/>
                <w:szCs w:val="18"/>
              </w:rPr>
            </w:pPr>
            <w:r w:rsidRPr="003478AF">
              <w:rPr>
                <w:rFonts w:eastAsia="Arial" w:cs="Arial"/>
                <w:sz w:val="18"/>
                <w:szCs w:val="18"/>
              </w:rPr>
              <w:t>t/rok</w:t>
            </w:r>
          </w:p>
        </w:tc>
      </w:tr>
      <w:tr w:rsidR="00F801D2" w:rsidRPr="003478AF" w14:paraId="1F9C58E1" w14:textId="77777777" w:rsidTr="001B0CB3">
        <w:trPr>
          <w:trHeight w:val="283"/>
        </w:trPr>
        <w:tc>
          <w:tcPr>
            <w:tcW w:w="426" w:type="pct"/>
            <w:shd w:val="clear" w:color="auto" w:fill="FFFFFF" w:themeFill="background1"/>
            <w:vAlign w:val="center"/>
          </w:tcPr>
          <w:p w14:paraId="77F1A386" w14:textId="77777777" w:rsidR="00F801D2" w:rsidRPr="003478AF" w:rsidRDefault="00F801D2" w:rsidP="00532CE7">
            <w:pPr>
              <w:ind w:firstLine="0"/>
              <w:jc w:val="center"/>
              <w:rPr>
                <w:rFonts w:eastAsia="Arial" w:cs="Arial"/>
                <w:sz w:val="18"/>
                <w:szCs w:val="18"/>
              </w:rPr>
            </w:pPr>
            <w:r w:rsidRPr="003478AF">
              <w:rPr>
                <w:rFonts w:eastAsia="Arial" w:cs="Arial"/>
                <w:sz w:val="18"/>
                <w:szCs w:val="18"/>
              </w:rPr>
              <w:t>10</w:t>
            </w:r>
          </w:p>
        </w:tc>
        <w:tc>
          <w:tcPr>
            <w:tcW w:w="3515" w:type="pct"/>
            <w:shd w:val="clear" w:color="auto" w:fill="FFFFFF" w:themeFill="background1"/>
            <w:vAlign w:val="center"/>
          </w:tcPr>
          <w:p w14:paraId="0C1B47FD" w14:textId="77777777" w:rsidR="00F801D2" w:rsidRPr="003478AF" w:rsidRDefault="00F801D2" w:rsidP="00532CE7">
            <w:pPr>
              <w:ind w:firstLine="0"/>
              <w:jc w:val="left"/>
              <w:rPr>
                <w:rFonts w:eastAsia="Arial" w:cs="Arial"/>
                <w:sz w:val="18"/>
                <w:szCs w:val="18"/>
              </w:rPr>
            </w:pPr>
            <w:r w:rsidRPr="003478AF">
              <w:rPr>
                <w:rFonts w:eastAsia="Arial" w:cs="Arial"/>
                <w:sz w:val="18"/>
                <w:szCs w:val="18"/>
              </w:rPr>
              <w:t>Emisja zanieczyszczeń pyłowych powietrza z zakładów szczególnie uciążliwych dla czystości powietrza</w:t>
            </w:r>
          </w:p>
        </w:tc>
        <w:tc>
          <w:tcPr>
            <w:tcW w:w="1059" w:type="pct"/>
            <w:shd w:val="clear" w:color="auto" w:fill="FFFFFF" w:themeFill="background1"/>
            <w:vAlign w:val="center"/>
          </w:tcPr>
          <w:p w14:paraId="0DA57594" w14:textId="7295105C" w:rsidR="00F801D2" w:rsidRPr="003478AF" w:rsidRDefault="00F801D2" w:rsidP="00532CE7">
            <w:pPr>
              <w:ind w:firstLine="0"/>
              <w:jc w:val="center"/>
              <w:rPr>
                <w:rFonts w:eastAsia="Arial" w:cs="Arial"/>
                <w:sz w:val="18"/>
                <w:szCs w:val="18"/>
              </w:rPr>
            </w:pPr>
            <w:r w:rsidRPr="003478AF">
              <w:rPr>
                <w:rFonts w:eastAsia="Arial" w:cs="Arial"/>
                <w:sz w:val="18"/>
                <w:szCs w:val="18"/>
              </w:rPr>
              <w:t>t/rok</w:t>
            </w:r>
          </w:p>
        </w:tc>
      </w:tr>
      <w:tr w:rsidR="00F801D2" w:rsidRPr="003478AF" w14:paraId="54BE4C31" w14:textId="77777777" w:rsidTr="001B0CB3">
        <w:trPr>
          <w:trHeight w:val="283"/>
        </w:trPr>
        <w:tc>
          <w:tcPr>
            <w:tcW w:w="426" w:type="pct"/>
            <w:shd w:val="clear" w:color="auto" w:fill="FFFFFF" w:themeFill="background1"/>
            <w:vAlign w:val="center"/>
          </w:tcPr>
          <w:p w14:paraId="4C0A665C" w14:textId="77777777" w:rsidR="00F801D2" w:rsidRPr="003478AF" w:rsidRDefault="00F801D2" w:rsidP="00532CE7">
            <w:pPr>
              <w:ind w:firstLine="0"/>
              <w:jc w:val="center"/>
              <w:rPr>
                <w:rFonts w:eastAsia="Arial" w:cs="Arial"/>
                <w:sz w:val="18"/>
                <w:szCs w:val="18"/>
              </w:rPr>
            </w:pPr>
            <w:r w:rsidRPr="003478AF">
              <w:rPr>
                <w:rFonts w:eastAsia="Arial" w:cs="Arial"/>
                <w:sz w:val="18"/>
                <w:szCs w:val="18"/>
              </w:rPr>
              <w:t>11</w:t>
            </w:r>
          </w:p>
        </w:tc>
        <w:tc>
          <w:tcPr>
            <w:tcW w:w="3515" w:type="pct"/>
            <w:shd w:val="clear" w:color="auto" w:fill="FFFFFF" w:themeFill="background1"/>
            <w:vAlign w:val="center"/>
          </w:tcPr>
          <w:p w14:paraId="4605C138" w14:textId="77777777" w:rsidR="00F801D2" w:rsidRPr="003478AF" w:rsidRDefault="00F801D2" w:rsidP="00532CE7">
            <w:pPr>
              <w:ind w:firstLine="0"/>
              <w:jc w:val="left"/>
              <w:rPr>
                <w:rFonts w:eastAsia="Arial" w:cs="Arial"/>
                <w:sz w:val="18"/>
                <w:szCs w:val="18"/>
              </w:rPr>
            </w:pPr>
            <w:r w:rsidRPr="003478AF">
              <w:rPr>
                <w:rFonts w:eastAsia="Arial" w:cs="Arial"/>
                <w:sz w:val="18"/>
                <w:szCs w:val="18"/>
              </w:rPr>
              <w:t>Emisja zanieczyszczeń gazowych powietrza z zakładów szczególnie uciążliwych dla czystości powietrza</w:t>
            </w:r>
          </w:p>
        </w:tc>
        <w:tc>
          <w:tcPr>
            <w:tcW w:w="1059" w:type="pct"/>
            <w:shd w:val="clear" w:color="auto" w:fill="FFFFFF" w:themeFill="background1"/>
            <w:vAlign w:val="center"/>
          </w:tcPr>
          <w:p w14:paraId="65D26D77" w14:textId="629D94B7" w:rsidR="00F801D2" w:rsidRPr="003478AF" w:rsidRDefault="00F801D2" w:rsidP="00532CE7">
            <w:pPr>
              <w:ind w:firstLine="0"/>
              <w:jc w:val="center"/>
              <w:rPr>
                <w:rFonts w:eastAsia="Arial" w:cs="Arial"/>
                <w:sz w:val="18"/>
                <w:szCs w:val="18"/>
              </w:rPr>
            </w:pPr>
            <w:r w:rsidRPr="003478AF">
              <w:rPr>
                <w:rFonts w:eastAsia="Arial" w:cs="Arial"/>
                <w:sz w:val="18"/>
                <w:szCs w:val="18"/>
              </w:rPr>
              <w:t>t/rok</w:t>
            </w:r>
          </w:p>
        </w:tc>
      </w:tr>
      <w:tr w:rsidR="005F43F3" w:rsidRPr="003478AF" w14:paraId="067AA8B1" w14:textId="77777777" w:rsidTr="001B0CB3">
        <w:trPr>
          <w:trHeight w:val="283"/>
        </w:trPr>
        <w:tc>
          <w:tcPr>
            <w:tcW w:w="426" w:type="pct"/>
            <w:shd w:val="clear" w:color="auto" w:fill="FFFFFF" w:themeFill="background1"/>
            <w:vAlign w:val="center"/>
          </w:tcPr>
          <w:p w14:paraId="237DC51A" w14:textId="77777777" w:rsidR="005F43F3" w:rsidRPr="003478AF" w:rsidRDefault="005F43F3" w:rsidP="00532CE7">
            <w:pPr>
              <w:ind w:firstLine="0"/>
              <w:jc w:val="center"/>
              <w:rPr>
                <w:rFonts w:eastAsia="Arial" w:cs="Arial"/>
                <w:sz w:val="18"/>
                <w:szCs w:val="18"/>
              </w:rPr>
            </w:pPr>
            <w:r w:rsidRPr="003478AF">
              <w:rPr>
                <w:rFonts w:eastAsia="Arial" w:cs="Arial"/>
                <w:sz w:val="18"/>
                <w:szCs w:val="18"/>
              </w:rPr>
              <w:t>12</w:t>
            </w:r>
          </w:p>
        </w:tc>
        <w:tc>
          <w:tcPr>
            <w:tcW w:w="3515" w:type="pct"/>
            <w:shd w:val="clear" w:color="auto" w:fill="FFFFFF" w:themeFill="background1"/>
            <w:vAlign w:val="center"/>
          </w:tcPr>
          <w:p w14:paraId="2AFF2CFF" w14:textId="66196725" w:rsidR="005F43F3" w:rsidRPr="003478AF" w:rsidRDefault="005F43F3" w:rsidP="00532CE7">
            <w:pPr>
              <w:ind w:firstLine="0"/>
              <w:jc w:val="left"/>
              <w:rPr>
                <w:rFonts w:eastAsia="Arial" w:cs="Arial"/>
                <w:sz w:val="18"/>
                <w:szCs w:val="18"/>
              </w:rPr>
            </w:pPr>
            <w:r w:rsidRPr="003478AF">
              <w:rPr>
                <w:rFonts w:eastAsia="Arial" w:cs="Arial"/>
                <w:sz w:val="18"/>
                <w:szCs w:val="18"/>
              </w:rPr>
              <w:t>Powierzchnia o szczególnych walorach przyrodniczych prawnie chroniona (stan w dniu 31 XII), w relacji do powierzchni ogólnej</w:t>
            </w:r>
          </w:p>
        </w:tc>
        <w:tc>
          <w:tcPr>
            <w:tcW w:w="1059" w:type="pct"/>
            <w:shd w:val="clear" w:color="auto" w:fill="FFFFFF" w:themeFill="background1"/>
            <w:vAlign w:val="center"/>
          </w:tcPr>
          <w:p w14:paraId="1A6DEF1B" w14:textId="77777777" w:rsidR="005F43F3" w:rsidRPr="003478AF" w:rsidRDefault="005F43F3" w:rsidP="00532CE7">
            <w:pPr>
              <w:ind w:firstLine="0"/>
              <w:jc w:val="center"/>
              <w:rPr>
                <w:rFonts w:eastAsia="Arial" w:cs="Arial"/>
                <w:sz w:val="18"/>
                <w:szCs w:val="18"/>
              </w:rPr>
            </w:pPr>
            <w:r w:rsidRPr="003478AF">
              <w:rPr>
                <w:rFonts w:eastAsia="Arial" w:cs="Arial"/>
                <w:sz w:val="18"/>
                <w:szCs w:val="18"/>
              </w:rPr>
              <w:t>%</w:t>
            </w:r>
          </w:p>
        </w:tc>
      </w:tr>
      <w:tr w:rsidR="005F43F3" w:rsidRPr="003478AF" w14:paraId="3EBCA6A0" w14:textId="77777777" w:rsidTr="001B0CB3">
        <w:trPr>
          <w:trHeight w:val="283"/>
        </w:trPr>
        <w:tc>
          <w:tcPr>
            <w:tcW w:w="426" w:type="pct"/>
            <w:shd w:val="clear" w:color="auto" w:fill="FFFFFF" w:themeFill="background1"/>
            <w:vAlign w:val="center"/>
          </w:tcPr>
          <w:p w14:paraId="2AA64586" w14:textId="77777777" w:rsidR="005F43F3" w:rsidRPr="003478AF" w:rsidRDefault="005F43F3" w:rsidP="00532CE7">
            <w:pPr>
              <w:ind w:firstLine="0"/>
              <w:jc w:val="center"/>
              <w:rPr>
                <w:rFonts w:eastAsia="Arial" w:cs="Arial"/>
                <w:sz w:val="18"/>
                <w:szCs w:val="18"/>
              </w:rPr>
            </w:pPr>
            <w:r w:rsidRPr="003478AF">
              <w:rPr>
                <w:rFonts w:eastAsia="Arial" w:cs="Arial"/>
                <w:sz w:val="18"/>
                <w:szCs w:val="18"/>
              </w:rPr>
              <w:t>13</w:t>
            </w:r>
          </w:p>
        </w:tc>
        <w:tc>
          <w:tcPr>
            <w:tcW w:w="3515" w:type="pct"/>
            <w:shd w:val="clear" w:color="auto" w:fill="FFFFFF" w:themeFill="background1"/>
            <w:vAlign w:val="center"/>
          </w:tcPr>
          <w:p w14:paraId="47C5FA80" w14:textId="6F204090" w:rsidR="005F43F3" w:rsidRPr="003478AF" w:rsidRDefault="00166B3C" w:rsidP="00532CE7">
            <w:pPr>
              <w:ind w:firstLine="0"/>
              <w:jc w:val="left"/>
              <w:rPr>
                <w:rFonts w:eastAsia="Arial" w:cs="Arial"/>
                <w:sz w:val="18"/>
                <w:szCs w:val="18"/>
              </w:rPr>
            </w:pPr>
            <w:r w:rsidRPr="003478AF">
              <w:rPr>
                <w:rFonts w:eastAsia="Arial" w:cs="Arial"/>
                <w:sz w:val="18"/>
                <w:szCs w:val="18"/>
              </w:rPr>
              <w:t>Odpady wytworzone w ciągu roku</w:t>
            </w:r>
          </w:p>
        </w:tc>
        <w:tc>
          <w:tcPr>
            <w:tcW w:w="1059" w:type="pct"/>
            <w:shd w:val="clear" w:color="auto" w:fill="FFFFFF" w:themeFill="background1"/>
            <w:vAlign w:val="center"/>
          </w:tcPr>
          <w:p w14:paraId="1127CBA8" w14:textId="0A4F36BB" w:rsidR="005F43F3" w:rsidRPr="003478AF" w:rsidRDefault="000168AE" w:rsidP="00532CE7">
            <w:pPr>
              <w:ind w:firstLine="0"/>
              <w:jc w:val="center"/>
              <w:rPr>
                <w:rFonts w:eastAsia="Arial" w:cs="Arial"/>
                <w:sz w:val="18"/>
                <w:szCs w:val="18"/>
              </w:rPr>
            </w:pPr>
            <w:r w:rsidRPr="003478AF">
              <w:rPr>
                <w:rFonts w:eastAsia="Times New Roman" w:cs="Arial"/>
                <w:sz w:val="18"/>
                <w:szCs w:val="18"/>
                <w:lang w:eastAsia="pl-PL"/>
              </w:rPr>
              <w:t>t</w:t>
            </w:r>
          </w:p>
        </w:tc>
      </w:tr>
      <w:tr w:rsidR="005F43F3" w:rsidRPr="003478AF" w14:paraId="136FC1E3" w14:textId="77777777" w:rsidTr="001B0CB3">
        <w:trPr>
          <w:trHeight w:val="283"/>
        </w:trPr>
        <w:tc>
          <w:tcPr>
            <w:tcW w:w="426" w:type="pct"/>
            <w:shd w:val="clear" w:color="auto" w:fill="FFFFFF" w:themeFill="background1"/>
            <w:vAlign w:val="center"/>
          </w:tcPr>
          <w:p w14:paraId="6651239C" w14:textId="77777777" w:rsidR="005F43F3" w:rsidRPr="003478AF" w:rsidRDefault="005F43F3" w:rsidP="00532CE7">
            <w:pPr>
              <w:ind w:firstLine="0"/>
              <w:jc w:val="center"/>
              <w:rPr>
                <w:rFonts w:eastAsia="Arial" w:cs="Arial"/>
                <w:sz w:val="18"/>
                <w:szCs w:val="18"/>
              </w:rPr>
            </w:pPr>
            <w:r w:rsidRPr="003478AF">
              <w:rPr>
                <w:rFonts w:eastAsia="Arial" w:cs="Arial"/>
                <w:sz w:val="18"/>
                <w:szCs w:val="18"/>
              </w:rPr>
              <w:t>14</w:t>
            </w:r>
          </w:p>
        </w:tc>
        <w:tc>
          <w:tcPr>
            <w:tcW w:w="3515" w:type="pct"/>
            <w:shd w:val="clear" w:color="auto" w:fill="FFFFFF" w:themeFill="background1"/>
            <w:vAlign w:val="center"/>
          </w:tcPr>
          <w:p w14:paraId="51D00F8E" w14:textId="1414758E" w:rsidR="005F43F3" w:rsidRPr="003478AF" w:rsidRDefault="00166B3C" w:rsidP="00532CE7">
            <w:pPr>
              <w:ind w:firstLine="0"/>
              <w:jc w:val="left"/>
              <w:rPr>
                <w:rFonts w:eastAsia="Arial" w:cs="Arial"/>
                <w:sz w:val="18"/>
                <w:szCs w:val="18"/>
              </w:rPr>
            </w:pPr>
            <w:r w:rsidRPr="003478AF">
              <w:rPr>
                <w:rFonts w:eastAsia="Arial" w:cs="Arial"/>
                <w:sz w:val="18"/>
                <w:szCs w:val="18"/>
              </w:rPr>
              <w:t xml:space="preserve">Odpady komunalne zebrane </w:t>
            </w:r>
            <w:r w:rsidR="005F43F3" w:rsidRPr="003478AF">
              <w:rPr>
                <w:rFonts w:eastAsia="Arial" w:cs="Arial"/>
                <w:sz w:val="18"/>
                <w:szCs w:val="18"/>
              </w:rPr>
              <w:t>w ciągu roku</w:t>
            </w:r>
            <w:r w:rsidRPr="003478AF">
              <w:rPr>
                <w:rFonts w:eastAsia="Arial" w:cs="Arial"/>
                <w:sz w:val="18"/>
                <w:szCs w:val="18"/>
              </w:rPr>
              <w:t xml:space="preserve"> </w:t>
            </w:r>
            <w:r w:rsidR="005F43F3" w:rsidRPr="003478AF">
              <w:rPr>
                <w:rFonts w:eastAsia="Arial" w:cs="Arial"/>
                <w:sz w:val="18"/>
                <w:szCs w:val="18"/>
              </w:rPr>
              <w:t>na 1 mieszkańca</w:t>
            </w:r>
          </w:p>
        </w:tc>
        <w:tc>
          <w:tcPr>
            <w:tcW w:w="1059" w:type="pct"/>
            <w:shd w:val="clear" w:color="auto" w:fill="FFFFFF" w:themeFill="background1"/>
            <w:vAlign w:val="center"/>
          </w:tcPr>
          <w:p w14:paraId="35F1AC67" w14:textId="77777777" w:rsidR="005F43F3" w:rsidRPr="003478AF" w:rsidRDefault="005F43F3" w:rsidP="00532CE7">
            <w:pPr>
              <w:ind w:firstLine="0"/>
              <w:jc w:val="center"/>
              <w:rPr>
                <w:rFonts w:eastAsia="Arial" w:cs="Arial"/>
                <w:sz w:val="18"/>
                <w:szCs w:val="18"/>
              </w:rPr>
            </w:pPr>
            <w:r w:rsidRPr="003478AF">
              <w:rPr>
                <w:rFonts w:eastAsia="Arial" w:cs="Arial"/>
                <w:sz w:val="18"/>
                <w:szCs w:val="18"/>
              </w:rPr>
              <w:t>kg</w:t>
            </w:r>
          </w:p>
        </w:tc>
      </w:tr>
      <w:tr w:rsidR="005F43F3" w:rsidRPr="003478AF" w14:paraId="45EC0BFA" w14:textId="77777777" w:rsidTr="001B0CB3">
        <w:trPr>
          <w:trHeight w:val="283"/>
        </w:trPr>
        <w:tc>
          <w:tcPr>
            <w:tcW w:w="426" w:type="pct"/>
            <w:shd w:val="clear" w:color="auto" w:fill="FFFFFF" w:themeFill="background1"/>
            <w:vAlign w:val="center"/>
          </w:tcPr>
          <w:p w14:paraId="416DEC78" w14:textId="77777777" w:rsidR="005F43F3" w:rsidRPr="003478AF" w:rsidRDefault="005F43F3" w:rsidP="00532CE7">
            <w:pPr>
              <w:ind w:firstLine="0"/>
              <w:jc w:val="center"/>
              <w:rPr>
                <w:rFonts w:eastAsia="Arial" w:cs="Arial"/>
                <w:sz w:val="18"/>
                <w:szCs w:val="18"/>
              </w:rPr>
            </w:pPr>
            <w:r w:rsidRPr="003478AF">
              <w:rPr>
                <w:rFonts w:eastAsia="Arial" w:cs="Arial"/>
                <w:sz w:val="18"/>
                <w:szCs w:val="18"/>
              </w:rPr>
              <w:t>15</w:t>
            </w:r>
          </w:p>
        </w:tc>
        <w:tc>
          <w:tcPr>
            <w:tcW w:w="3515" w:type="pct"/>
            <w:shd w:val="clear" w:color="auto" w:fill="FFFFFF" w:themeFill="background1"/>
            <w:vAlign w:val="center"/>
          </w:tcPr>
          <w:p w14:paraId="31158A9E" w14:textId="6864C8B9" w:rsidR="005F43F3" w:rsidRPr="003478AF" w:rsidRDefault="00166B3C" w:rsidP="00532CE7">
            <w:pPr>
              <w:ind w:firstLine="0"/>
              <w:jc w:val="left"/>
              <w:rPr>
                <w:rFonts w:eastAsia="Arial" w:cs="Arial"/>
                <w:sz w:val="18"/>
                <w:szCs w:val="18"/>
              </w:rPr>
            </w:pPr>
            <w:r w:rsidRPr="003478AF">
              <w:rPr>
                <w:rFonts w:eastAsia="Arial" w:cs="Arial"/>
                <w:sz w:val="18"/>
                <w:szCs w:val="18"/>
              </w:rPr>
              <w:t xml:space="preserve">Udział </w:t>
            </w:r>
            <w:r w:rsidR="005F43F3" w:rsidRPr="003478AF">
              <w:rPr>
                <w:rFonts w:eastAsia="Arial" w:cs="Arial"/>
                <w:sz w:val="18"/>
                <w:szCs w:val="18"/>
              </w:rPr>
              <w:t>odpadów zebranych selektywnie w</w:t>
            </w:r>
            <w:r w:rsidRPr="003478AF">
              <w:rPr>
                <w:rFonts w:eastAsia="Arial" w:cs="Arial"/>
                <w:sz w:val="18"/>
                <w:szCs w:val="18"/>
              </w:rPr>
              <w:t xml:space="preserve"> ilości odpadów</w:t>
            </w:r>
            <w:r w:rsidR="005F43F3" w:rsidRPr="003478AF">
              <w:rPr>
                <w:rFonts w:eastAsia="Arial" w:cs="Arial"/>
                <w:sz w:val="18"/>
                <w:szCs w:val="18"/>
              </w:rPr>
              <w:t xml:space="preserve"> ogółem</w:t>
            </w:r>
          </w:p>
        </w:tc>
        <w:tc>
          <w:tcPr>
            <w:tcW w:w="1059" w:type="pct"/>
            <w:shd w:val="clear" w:color="auto" w:fill="FFFFFF" w:themeFill="background1"/>
            <w:vAlign w:val="center"/>
          </w:tcPr>
          <w:p w14:paraId="22738CC4" w14:textId="77777777" w:rsidR="005F43F3" w:rsidRPr="003478AF" w:rsidRDefault="005F43F3" w:rsidP="00532CE7">
            <w:pPr>
              <w:ind w:firstLine="0"/>
              <w:jc w:val="center"/>
              <w:rPr>
                <w:rFonts w:eastAsia="Arial" w:cs="Arial"/>
                <w:sz w:val="18"/>
                <w:szCs w:val="18"/>
              </w:rPr>
            </w:pPr>
            <w:r w:rsidRPr="003478AF">
              <w:rPr>
                <w:rFonts w:eastAsia="Arial" w:cs="Arial"/>
                <w:sz w:val="18"/>
                <w:szCs w:val="18"/>
              </w:rPr>
              <w:t>%</w:t>
            </w:r>
          </w:p>
        </w:tc>
      </w:tr>
      <w:tr w:rsidR="005F43F3" w:rsidRPr="003478AF" w14:paraId="3F631E08" w14:textId="77777777" w:rsidTr="001B0CB3">
        <w:trPr>
          <w:trHeight w:val="283"/>
        </w:trPr>
        <w:tc>
          <w:tcPr>
            <w:tcW w:w="426" w:type="pct"/>
            <w:shd w:val="clear" w:color="auto" w:fill="FFFFFF" w:themeFill="background1"/>
            <w:vAlign w:val="center"/>
          </w:tcPr>
          <w:p w14:paraId="0B944852" w14:textId="77777777" w:rsidR="005F43F3" w:rsidRPr="003478AF" w:rsidRDefault="005F43F3" w:rsidP="00532CE7">
            <w:pPr>
              <w:ind w:firstLine="0"/>
              <w:jc w:val="center"/>
              <w:rPr>
                <w:rFonts w:eastAsia="Arial" w:cs="Arial"/>
                <w:sz w:val="18"/>
                <w:szCs w:val="18"/>
              </w:rPr>
            </w:pPr>
            <w:r w:rsidRPr="003478AF">
              <w:rPr>
                <w:rFonts w:eastAsia="Arial" w:cs="Arial"/>
                <w:sz w:val="18"/>
                <w:szCs w:val="18"/>
              </w:rPr>
              <w:t>16</w:t>
            </w:r>
          </w:p>
        </w:tc>
        <w:tc>
          <w:tcPr>
            <w:tcW w:w="3515" w:type="pct"/>
            <w:shd w:val="clear" w:color="auto" w:fill="FFFFFF" w:themeFill="background1"/>
            <w:vAlign w:val="center"/>
          </w:tcPr>
          <w:p w14:paraId="52A724BD" w14:textId="54B7E65E" w:rsidR="005F43F3" w:rsidRPr="003478AF" w:rsidRDefault="00166B3C" w:rsidP="00532CE7">
            <w:pPr>
              <w:ind w:firstLine="0"/>
              <w:jc w:val="left"/>
              <w:rPr>
                <w:rFonts w:eastAsia="Arial" w:cs="Arial"/>
                <w:sz w:val="18"/>
                <w:szCs w:val="18"/>
              </w:rPr>
            </w:pPr>
            <w:r w:rsidRPr="003478AF">
              <w:rPr>
                <w:rFonts w:eastAsia="Arial" w:cs="Arial"/>
                <w:sz w:val="18"/>
                <w:szCs w:val="18"/>
              </w:rPr>
              <w:t xml:space="preserve">Udział odpadów </w:t>
            </w:r>
            <w:r w:rsidR="005F43F3" w:rsidRPr="003478AF">
              <w:rPr>
                <w:rFonts w:eastAsia="Arial" w:cs="Arial"/>
                <w:sz w:val="18"/>
                <w:szCs w:val="18"/>
              </w:rPr>
              <w:t xml:space="preserve">biodegradowalnych </w:t>
            </w:r>
            <w:r w:rsidRPr="003478AF">
              <w:rPr>
                <w:rFonts w:eastAsia="Arial" w:cs="Arial"/>
                <w:sz w:val="18"/>
                <w:szCs w:val="18"/>
              </w:rPr>
              <w:t>w ilości odpadów ogółem</w:t>
            </w:r>
          </w:p>
        </w:tc>
        <w:tc>
          <w:tcPr>
            <w:tcW w:w="1059" w:type="pct"/>
            <w:shd w:val="clear" w:color="auto" w:fill="FFFFFF" w:themeFill="background1"/>
            <w:vAlign w:val="center"/>
          </w:tcPr>
          <w:p w14:paraId="71395447" w14:textId="77777777" w:rsidR="005F43F3" w:rsidRPr="003478AF" w:rsidRDefault="005F43F3" w:rsidP="00532CE7">
            <w:pPr>
              <w:ind w:firstLine="0"/>
              <w:jc w:val="center"/>
              <w:rPr>
                <w:rFonts w:eastAsia="Arial" w:cs="Arial"/>
                <w:sz w:val="18"/>
                <w:szCs w:val="18"/>
              </w:rPr>
            </w:pPr>
            <w:r w:rsidRPr="003478AF">
              <w:rPr>
                <w:rFonts w:eastAsia="Arial" w:cs="Arial"/>
                <w:sz w:val="18"/>
                <w:szCs w:val="18"/>
              </w:rPr>
              <w:t>%</w:t>
            </w:r>
          </w:p>
        </w:tc>
      </w:tr>
      <w:tr w:rsidR="005F43F3" w:rsidRPr="003478AF" w14:paraId="41C84B36" w14:textId="77777777" w:rsidTr="001B0CB3">
        <w:trPr>
          <w:trHeight w:val="283"/>
        </w:trPr>
        <w:tc>
          <w:tcPr>
            <w:tcW w:w="426" w:type="pct"/>
            <w:shd w:val="clear" w:color="auto" w:fill="FFFFFF" w:themeFill="background1"/>
            <w:vAlign w:val="center"/>
          </w:tcPr>
          <w:p w14:paraId="5883E4A8" w14:textId="77777777" w:rsidR="005F43F3" w:rsidRPr="003478AF" w:rsidRDefault="005F43F3" w:rsidP="00532CE7">
            <w:pPr>
              <w:ind w:firstLine="0"/>
              <w:jc w:val="center"/>
              <w:rPr>
                <w:rFonts w:eastAsia="Arial" w:cs="Arial"/>
                <w:sz w:val="18"/>
                <w:szCs w:val="18"/>
              </w:rPr>
            </w:pPr>
            <w:r w:rsidRPr="003478AF">
              <w:rPr>
                <w:rFonts w:eastAsia="Arial" w:cs="Arial"/>
                <w:sz w:val="18"/>
                <w:szCs w:val="18"/>
              </w:rPr>
              <w:t>17</w:t>
            </w:r>
          </w:p>
        </w:tc>
        <w:tc>
          <w:tcPr>
            <w:tcW w:w="3515" w:type="pct"/>
            <w:shd w:val="clear" w:color="auto" w:fill="FFFFFF" w:themeFill="background1"/>
            <w:vAlign w:val="center"/>
          </w:tcPr>
          <w:p w14:paraId="56E7F35F" w14:textId="6DF5AFE3" w:rsidR="005F43F3" w:rsidRPr="003478AF" w:rsidRDefault="00166B3C" w:rsidP="00532CE7">
            <w:pPr>
              <w:ind w:firstLine="0"/>
              <w:jc w:val="left"/>
              <w:rPr>
                <w:rFonts w:eastAsia="Arial" w:cs="Arial"/>
                <w:sz w:val="18"/>
                <w:szCs w:val="18"/>
              </w:rPr>
            </w:pPr>
            <w:r w:rsidRPr="003478AF">
              <w:rPr>
                <w:rFonts w:eastAsia="Arial" w:cs="Arial"/>
                <w:sz w:val="18"/>
                <w:szCs w:val="18"/>
              </w:rPr>
              <w:t>Udział nakładów na ochronę środowiska w nakładach inwestycyjnych ogółem</w:t>
            </w:r>
          </w:p>
        </w:tc>
        <w:tc>
          <w:tcPr>
            <w:tcW w:w="1059" w:type="pct"/>
            <w:shd w:val="clear" w:color="auto" w:fill="FFFFFF" w:themeFill="background1"/>
            <w:vAlign w:val="center"/>
          </w:tcPr>
          <w:p w14:paraId="1B706466" w14:textId="77777777" w:rsidR="005F43F3" w:rsidRPr="003478AF" w:rsidRDefault="005F43F3" w:rsidP="00532CE7">
            <w:pPr>
              <w:ind w:firstLine="0"/>
              <w:jc w:val="center"/>
              <w:rPr>
                <w:rFonts w:eastAsia="Arial" w:cs="Arial"/>
                <w:sz w:val="18"/>
                <w:szCs w:val="18"/>
              </w:rPr>
            </w:pPr>
            <w:r w:rsidRPr="003478AF">
              <w:rPr>
                <w:rFonts w:eastAsia="Arial" w:cs="Arial"/>
                <w:sz w:val="18"/>
                <w:szCs w:val="18"/>
              </w:rPr>
              <w:t>%</w:t>
            </w:r>
          </w:p>
        </w:tc>
      </w:tr>
      <w:tr w:rsidR="005F43F3" w:rsidRPr="003478AF" w14:paraId="2BA90A88" w14:textId="77777777" w:rsidTr="001B0CB3">
        <w:trPr>
          <w:trHeight w:val="283"/>
        </w:trPr>
        <w:tc>
          <w:tcPr>
            <w:tcW w:w="426" w:type="pct"/>
            <w:shd w:val="clear" w:color="auto" w:fill="FFFFFF" w:themeFill="background1"/>
            <w:vAlign w:val="center"/>
          </w:tcPr>
          <w:p w14:paraId="3BFA2C43" w14:textId="77777777" w:rsidR="005F43F3" w:rsidRPr="003478AF" w:rsidRDefault="005F43F3" w:rsidP="00532CE7">
            <w:pPr>
              <w:ind w:firstLine="0"/>
              <w:jc w:val="center"/>
              <w:rPr>
                <w:rFonts w:eastAsia="Arial" w:cs="Arial"/>
                <w:sz w:val="18"/>
                <w:szCs w:val="18"/>
              </w:rPr>
            </w:pPr>
            <w:r w:rsidRPr="003478AF">
              <w:rPr>
                <w:rFonts w:eastAsia="Arial" w:cs="Arial"/>
                <w:sz w:val="18"/>
                <w:szCs w:val="18"/>
              </w:rPr>
              <w:t>18</w:t>
            </w:r>
          </w:p>
        </w:tc>
        <w:tc>
          <w:tcPr>
            <w:tcW w:w="3515" w:type="pct"/>
            <w:shd w:val="clear" w:color="auto" w:fill="FFFFFF" w:themeFill="background1"/>
            <w:vAlign w:val="center"/>
          </w:tcPr>
          <w:p w14:paraId="0780D16C" w14:textId="7796E0B0" w:rsidR="005F43F3" w:rsidRPr="003478AF" w:rsidRDefault="005F43F3" w:rsidP="00532CE7">
            <w:pPr>
              <w:ind w:firstLine="0"/>
              <w:jc w:val="left"/>
              <w:rPr>
                <w:rFonts w:eastAsia="Arial" w:cs="Arial"/>
                <w:sz w:val="18"/>
                <w:szCs w:val="18"/>
              </w:rPr>
            </w:pPr>
            <w:r w:rsidRPr="003478AF">
              <w:rPr>
                <w:rFonts w:eastAsia="Arial" w:cs="Arial"/>
                <w:sz w:val="18"/>
                <w:szCs w:val="18"/>
              </w:rPr>
              <w:t>Udział energii odnawialnej w produkcji energii elektrycznej ogółem</w:t>
            </w:r>
          </w:p>
        </w:tc>
        <w:tc>
          <w:tcPr>
            <w:tcW w:w="1059" w:type="pct"/>
            <w:shd w:val="clear" w:color="auto" w:fill="FFFFFF" w:themeFill="background1"/>
            <w:vAlign w:val="center"/>
          </w:tcPr>
          <w:p w14:paraId="73EECFDB" w14:textId="77777777" w:rsidR="005F43F3" w:rsidRPr="003478AF" w:rsidRDefault="005F43F3" w:rsidP="00532CE7">
            <w:pPr>
              <w:ind w:firstLine="0"/>
              <w:jc w:val="center"/>
              <w:rPr>
                <w:rFonts w:eastAsia="Arial" w:cs="Arial"/>
                <w:sz w:val="18"/>
                <w:szCs w:val="18"/>
              </w:rPr>
            </w:pPr>
            <w:r w:rsidRPr="003478AF">
              <w:rPr>
                <w:rFonts w:eastAsia="Arial" w:cs="Arial"/>
                <w:sz w:val="18"/>
                <w:szCs w:val="18"/>
              </w:rPr>
              <w:t>%</w:t>
            </w:r>
          </w:p>
        </w:tc>
      </w:tr>
      <w:tr w:rsidR="005F43F3" w:rsidRPr="003478AF" w14:paraId="067C6E63" w14:textId="77777777" w:rsidTr="001B0CB3">
        <w:trPr>
          <w:trHeight w:val="283"/>
        </w:trPr>
        <w:tc>
          <w:tcPr>
            <w:tcW w:w="426" w:type="pct"/>
            <w:shd w:val="clear" w:color="auto" w:fill="FFFFFF" w:themeFill="background1"/>
            <w:vAlign w:val="center"/>
          </w:tcPr>
          <w:p w14:paraId="0F05D48F" w14:textId="77777777" w:rsidR="005F43F3" w:rsidRPr="003478AF" w:rsidRDefault="005F43F3" w:rsidP="00532CE7">
            <w:pPr>
              <w:ind w:firstLine="0"/>
              <w:jc w:val="center"/>
              <w:rPr>
                <w:rFonts w:eastAsia="Arial" w:cs="Arial"/>
                <w:sz w:val="18"/>
                <w:szCs w:val="18"/>
              </w:rPr>
            </w:pPr>
            <w:r w:rsidRPr="003478AF">
              <w:rPr>
                <w:rFonts w:eastAsia="Arial" w:cs="Arial"/>
                <w:sz w:val="18"/>
                <w:szCs w:val="18"/>
              </w:rPr>
              <w:t>19</w:t>
            </w:r>
          </w:p>
        </w:tc>
        <w:tc>
          <w:tcPr>
            <w:tcW w:w="3515" w:type="pct"/>
            <w:shd w:val="clear" w:color="auto" w:fill="FFFFFF" w:themeFill="background1"/>
            <w:vAlign w:val="center"/>
          </w:tcPr>
          <w:p w14:paraId="6DB81A8F" w14:textId="01F76F56" w:rsidR="005F43F3" w:rsidRPr="003478AF" w:rsidRDefault="005F43F3" w:rsidP="00532CE7">
            <w:pPr>
              <w:ind w:firstLine="0"/>
              <w:jc w:val="left"/>
              <w:rPr>
                <w:rFonts w:eastAsia="Arial" w:cs="Arial"/>
                <w:sz w:val="18"/>
                <w:szCs w:val="18"/>
              </w:rPr>
            </w:pPr>
            <w:r w:rsidRPr="003478AF">
              <w:rPr>
                <w:rFonts w:eastAsia="Arial" w:cs="Arial"/>
                <w:sz w:val="18"/>
                <w:szCs w:val="18"/>
              </w:rPr>
              <w:t>Zuży</w:t>
            </w:r>
            <w:r w:rsidR="003008DB" w:rsidRPr="003478AF">
              <w:rPr>
                <w:rFonts w:eastAsia="Arial" w:cs="Arial"/>
                <w:sz w:val="18"/>
                <w:szCs w:val="18"/>
              </w:rPr>
              <w:t>cie energii elektrycznej ogółem</w:t>
            </w:r>
          </w:p>
        </w:tc>
        <w:tc>
          <w:tcPr>
            <w:tcW w:w="1059" w:type="pct"/>
            <w:shd w:val="clear" w:color="auto" w:fill="FFFFFF" w:themeFill="background1"/>
            <w:vAlign w:val="center"/>
          </w:tcPr>
          <w:p w14:paraId="4ADFCB05" w14:textId="77777777" w:rsidR="005F43F3" w:rsidRPr="003478AF" w:rsidRDefault="005F43F3" w:rsidP="00532CE7">
            <w:pPr>
              <w:ind w:firstLine="0"/>
              <w:jc w:val="center"/>
              <w:rPr>
                <w:rFonts w:eastAsia="Arial" w:cs="Arial"/>
                <w:sz w:val="18"/>
                <w:szCs w:val="18"/>
              </w:rPr>
            </w:pPr>
            <w:r w:rsidRPr="003478AF">
              <w:rPr>
                <w:rFonts w:eastAsia="Arial" w:cs="Arial"/>
                <w:sz w:val="18"/>
                <w:szCs w:val="18"/>
              </w:rPr>
              <w:t>GWh</w:t>
            </w:r>
          </w:p>
        </w:tc>
      </w:tr>
      <w:tr w:rsidR="00C17D7A" w:rsidRPr="003478AF" w14:paraId="1EBB20BC" w14:textId="77777777" w:rsidTr="001B0CB3">
        <w:trPr>
          <w:trHeight w:val="283"/>
        </w:trPr>
        <w:tc>
          <w:tcPr>
            <w:tcW w:w="426" w:type="pct"/>
            <w:shd w:val="clear" w:color="auto" w:fill="FFFFFF" w:themeFill="background1"/>
            <w:vAlign w:val="center"/>
          </w:tcPr>
          <w:p w14:paraId="6EA39132" w14:textId="77777777" w:rsidR="00C17D7A" w:rsidRPr="003478AF" w:rsidRDefault="00C17D7A" w:rsidP="00532CE7">
            <w:pPr>
              <w:ind w:firstLine="0"/>
              <w:jc w:val="center"/>
              <w:rPr>
                <w:rFonts w:eastAsia="Arial" w:cs="Arial"/>
                <w:sz w:val="18"/>
                <w:szCs w:val="18"/>
              </w:rPr>
            </w:pPr>
            <w:r w:rsidRPr="003478AF">
              <w:rPr>
                <w:rFonts w:eastAsia="Arial" w:cs="Arial"/>
                <w:sz w:val="18"/>
                <w:szCs w:val="18"/>
              </w:rPr>
              <w:t>20</w:t>
            </w:r>
          </w:p>
        </w:tc>
        <w:tc>
          <w:tcPr>
            <w:tcW w:w="3515" w:type="pct"/>
            <w:shd w:val="clear" w:color="auto" w:fill="FFFFFF" w:themeFill="background1"/>
            <w:vAlign w:val="center"/>
          </w:tcPr>
          <w:p w14:paraId="14062513" w14:textId="4CBBCD77" w:rsidR="00C17D7A" w:rsidRPr="003478AF" w:rsidRDefault="00C17D7A" w:rsidP="00532CE7">
            <w:pPr>
              <w:ind w:firstLine="0"/>
              <w:jc w:val="left"/>
              <w:rPr>
                <w:rFonts w:eastAsia="Arial" w:cs="Arial"/>
                <w:sz w:val="18"/>
                <w:szCs w:val="18"/>
              </w:rPr>
            </w:pPr>
            <w:r w:rsidRPr="003478AF">
              <w:rPr>
                <w:rFonts w:eastAsia="Arial" w:cs="Arial"/>
                <w:sz w:val="18"/>
                <w:szCs w:val="18"/>
              </w:rPr>
              <w:t>Wynalazki zgłoszone do UPRP w obszarze technologii ochrony środowiska</w:t>
            </w:r>
          </w:p>
        </w:tc>
        <w:tc>
          <w:tcPr>
            <w:tcW w:w="1059" w:type="pct"/>
            <w:shd w:val="clear" w:color="auto" w:fill="FFFFFF" w:themeFill="background1"/>
            <w:vAlign w:val="center"/>
          </w:tcPr>
          <w:p w14:paraId="4AC911C2" w14:textId="32521D2C" w:rsidR="00C17D7A" w:rsidRPr="003478AF" w:rsidRDefault="00C17D7A" w:rsidP="00532CE7">
            <w:pPr>
              <w:ind w:firstLine="0"/>
              <w:jc w:val="center"/>
              <w:rPr>
                <w:rFonts w:eastAsia="Arial" w:cs="Arial"/>
                <w:sz w:val="18"/>
                <w:szCs w:val="18"/>
              </w:rPr>
            </w:pPr>
            <w:r w:rsidRPr="003478AF">
              <w:rPr>
                <w:rFonts w:eastAsia="Arial" w:cs="Arial"/>
                <w:sz w:val="18"/>
                <w:szCs w:val="18"/>
              </w:rPr>
              <w:t>szt.</w:t>
            </w:r>
          </w:p>
        </w:tc>
      </w:tr>
      <w:tr w:rsidR="00C17D7A" w:rsidRPr="003478AF" w14:paraId="7916DA5B" w14:textId="77777777" w:rsidTr="001B0CB3">
        <w:trPr>
          <w:trHeight w:val="283"/>
        </w:trPr>
        <w:tc>
          <w:tcPr>
            <w:tcW w:w="426" w:type="pct"/>
            <w:shd w:val="clear" w:color="auto" w:fill="FFFFFF" w:themeFill="background1"/>
            <w:vAlign w:val="center"/>
          </w:tcPr>
          <w:p w14:paraId="0BE39D4C" w14:textId="77777777" w:rsidR="00C17D7A" w:rsidRPr="003478AF" w:rsidRDefault="00C17D7A" w:rsidP="00532CE7">
            <w:pPr>
              <w:ind w:firstLine="0"/>
              <w:jc w:val="center"/>
              <w:rPr>
                <w:rFonts w:eastAsia="Arial" w:cs="Arial"/>
                <w:sz w:val="18"/>
                <w:szCs w:val="18"/>
              </w:rPr>
            </w:pPr>
            <w:r w:rsidRPr="003478AF">
              <w:rPr>
                <w:rFonts w:eastAsia="Arial" w:cs="Arial"/>
                <w:sz w:val="18"/>
                <w:szCs w:val="18"/>
              </w:rPr>
              <w:t>21</w:t>
            </w:r>
          </w:p>
        </w:tc>
        <w:tc>
          <w:tcPr>
            <w:tcW w:w="3515" w:type="pct"/>
            <w:shd w:val="clear" w:color="auto" w:fill="FFFFFF" w:themeFill="background1"/>
            <w:vAlign w:val="center"/>
          </w:tcPr>
          <w:p w14:paraId="36162DA6" w14:textId="5AFF1797" w:rsidR="00C17D7A" w:rsidRPr="003478AF" w:rsidRDefault="00C17D7A" w:rsidP="00532CE7">
            <w:pPr>
              <w:ind w:firstLine="0"/>
              <w:jc w:val="left"/>
              <w:rPr>
                <w:rFonts w:eastAsia="Arial" w:cs="Arial"/>
                <w:sz w:val="18"/>
                <w:szCs w:val="18"/>
              </w:rPr>
            </w:pPr>
            <w:r w:rsidRPr="003478AF">
              <w:rPr>
                <w:rFonts w:eastAsia="Arial" w:cs="Arial"/>
                <w:sz w:val="18"/>
                <w:szCs w:val="18"/>
              </w:rPr>
              <w:t>Patenty udzielone przez UPRP w obszarze technologii ochrony środowiska</w:t>
            </w:r>
          </w:p>
        </w:tc>
        <w:tc>
          <w:tcPr>
            <w:tcW w:w="1059" w:type="pct"/>
            <w:shd w:val="clear" w:color="auto" w:fill="FFFFFF" w:themeFill="background1"/>
            <w:vAlign w:val="center"/>
          </w:tcPr>
          <w:p w14:paraId="0BE20642" w14:textId="1335EE04" w:rsidR="00C17D7A" w:rsidRPr="003478AF" w:rsidRDefault="00C17D7A" w:rsidP="00532CE7">
            <w:pPr>
              <w:ind w:firstLine="0"/>
              <w:jc w:val="center"/>
              <w:rPr>
                <w:rFonts w:eastAsia="Arial" w:cs="Arial"/>
                <w:sz w:val="18"/>
                <w:szCs w:val="18"/>
              </w:rPr>
            </w:pPr>
            <w:r w:rsidRPr="003478AF">
              <w:rPr>
                <w:rFonts w:eastAsia="Arial" w:cs="Arial"/>
                <w:sz w:val="18"/>
                <w:szCs w:val="18"/>
              </w:rPr>
              <w:t>szt.</w:t>
            </w:r>
          </w:p>
        </w:tc>
      </w:tr>
    </w:tbl>
    <w:p w14:paraId="7CC3C0BA" w14:textId="7236AF81" w:rsidR="005F43F3" w:rsidRPr="003478AF" w:rsidRDefault="005F43F3" w:rsidP="00986D40">
      <w:pPr>
        <w:pStyle w:val="AZRODLO"/>
      </w:pPr>
      <w:r w:rsidRPr="003478AF">
        <w:t>Źródło: Opracowanie własne</w:t>
      </w:r>
    </w:p>
    <w:p w14:paraId="7CC5A085" w14:textId="77777777" w:rsidR="005F43F3" w:rsidRPr="003478AF" w:rsidRDefault="005F43F3" w:rsidP="005F43F3">
      <w:pPr>
        <w:rPr>
          <w:rFonts w:eastAsia="Arial" w:cs="Arial"/>
          <w:szCs w:val="20"/>
        </w:rPr>
      </w:pPr>
    </w:p>
    <w:p w14:paraId="44ABFF62" w14:textId="00154700" w:rsidR="005F43F3" w:rsidRPr="003478AF" w:rsidRDefault="005F43F3" w:rsidP="005F43F3">
      <w:pPr>
        <w:rPr>
          <w:rFonts w:eastAsia="Arial" w:cs="Arial"/>
          <w:szCs w:val="20"/>
        </w:rPr>
      </w:pPr>
      <w:r w:rsidRPr="003478AF">
        <w:rPr>
          <w:rFonts w:eastAsia="Arial" w:cs="Arial"/>
          <w:szCs w:val="20"/>
        </w:rPr>
        <w:lastRenderedPageBreak/>
        <w:t>Do polityk krajowych odnoszą się zapisy Strategii</w:t>
      </w:r>
      <w:r w:rsidR="00511378" w:rsidRPr="003478AF">
        <w:rPr>
          <w:rFonts w:eastAsia="Arial" w:cs="Arial"/>
          <w:szCs w:val="20"/>
        </w:rPr>
        <w:t xml:space="preserve"> </w:t>
      </w:r>
      <w:r w:rsidR="00D076C6" w:rsidRPr="003478AF">
        <w:rPr>
          <w:rFonts w:eastAsia="Arial" w:cs="Arial"/>
          <w:szCs w:val="20"/>
        </w:rPr>
        <w:t>r</w:t>
      </w:r>
      <w:r w:rsidR="00511378" w:rsidRPr="003478AF">
        <w:rPr>
          <w:rFonts w:eastAsia="Arial" w:cs="Arial"/>
          <w:szCs w:val="20"/>
        </w:rPr>
        <w:t>ozwoju</w:t>
      </w:r>
      <w:r w:rsidRPr="003478AF">
        <w:rPr>
          <w:rFonts w:eastAsia="Arial" w:cs="Arial"/>
          <w:szCs w:val="20"/>
        </w:rPr>
        <w:t xml:space="preserve"> </w:t>
      </w:r>
      <w:r w:rsidR="00D076C6" w:rsidRPr="003478AF">
        <w:rPr>
          <w:rFonts w:eastAsia="Arial" w:cs="Arial"/>
          <w:szCs w:val="20"/>
        </w:rPr>
        <w:t>w</w:t>
      </w:r>
      <w:r w:rsidR="00511378" w:rsidRPr="003478AF">
        <w:rPr>
          <w:rFonts w:eastAsia="Arial" w:cs="Arial"/>
          <w:szCs w:val="20"/>
        </w:rPr>
        <w:t xml:space="preserve">ojewództwa </w:t>
      </w:r>
      <w:r w:rsidR="00D076C6" w:rsidRPr="003478AF">
        <w:rPr>
          <w:rFonts w:eastAsia="Arial" w:cs="Arial"/>
          <w:szCs w:val="20"/>
        </w:rPr>
        <w:t>w</w:t>
      </w:r>
      <w:r w:rsidRPr="003478AF">
        <w:rPr>
          <w:rFonts w:eastAsia="Arial" w:cs="Arial"/>
          <w:szCs w:val="20"/>
        </w:rPr>
        <w:t>ielkopolsk</w:t>
      </w:r>
      <w:r w:rsidR="00511378" w:rsidRPr="003478AF">
        <w:rPr>
          <w:rFonts w:eastAsia="Arial" w:cs="Arial"/>
          <w:szCs w:val="20"/>
        </w:rPr>
        <w:t>iego</w:t>
      </w:r>
      <w:r w:rsidR="00A02CE5" w:rsidRPr="003478AF">
        <w:rPr>
          <w:rFonts w:eastAsia="Arial" w:cs="Arial"/>
          <w:szCs w:val="20"/>
        </w:rPr>
        <w:t xml:space="preserve"> do</w:t>
      </w:r>
      <w:r w:rsidRPr="003478AF">
        <w:rPr>
          <w:rFonts w:eastAsia="Arial" w:cs="Arial"/>
          <w:szCs w:val="20"/>
        </w:rPr>
        <w:t xml:space="preserve"> 2030</w:t>
      </w:r>
      <w:r w:rsidR="00A02CE5" w:rsidRPr="003478AF">
        <w:rPr>
          <w:rFonts w:eastAsia="Arial" w:cs="Arial"/>
          <w:szCs w:val="20"/>
        </w:rPr>
        <w:t xml:space="preserve"> roku</w:t>
      </w:r>
      <w:r w:rsidRPr="003478AF">
        <w:rPr>
          <w:rFonts w:eastAsia="Arial" w:cs="Arial"/>
          <w:szCs w:val="20"/>
        </w:rPr>
        <w:t xml:space="preserve">. Za szansę rozwoju w </w:t>
      </w:r>
      <w:r w:rsidR="00A02CE5" w:rsidRPr="003478AF">
        <w:rPr>
          <w:rFonts w:eastAsia="Arial" w:cs="Arial"/>
          <w:szCs w:val="20"/>
        </w:rPr>
        <w:t>SRWW</w:t>
      </w:r>
      <w:r w:rsidRPr="003478AF">
        <w:rPr>
          <w:rFonts w:eastAsia="Arial" w:cs="Arial"/>
          <w:szCs w:val="20"/>
        </w:rPr>
        <w:t xml:space="preserve"> uznano m.in. GOZ. Mowa o niej pierwszym </w:t>
      </w:r>
      <w:r w:rsidR="001B0CB3" w:rsidRPr="003478AF">
        <w:rPr>
          <w:rFonts w:eastAsia="Arial" w:cs="Arial"/>
          <w:szCs w:val="20"/>
        </w:rPr>
        <w:br/>
      </w:r>
      <w:r w:rsidRPr="003478AF">
        <w:rPr>
          <w:rFonts w:eastAsia="Arial" w:cs="Arial"/>
          <w:szCs w:val="20"/>
        </w:rPr>
        <w:t xml:space="preserve">i trzecim celu operacyjnym. Rozwój GOZ pomógłby </w:t>
      </w:r>
      <w:r w:rsidR="00AC0F3B" w:rsidRPr="003478AF">
        <w:rPr>
          <w:rFonts w:eastAsia="Arial" w:cs="Arial"/>
          <w:szCs w:val="20"/>
        </w:rPr>
        <w:t>w</w:t>
      </w:r>
      <w:r w:rsidR="00503CAB" w:rsidRPr="003478AF">
        <w:rPr>
          <w:rFonts w:eastAsia="Arial" w:cs="Arial"/>
          <w:szCs w:val="20"/>
        </w:rPr>
        <w:t xml:space="preserve"> </w:t>
      </w:r>
      <w:r w:rsidRPr="003478AF">
        <w:rPr>
          <w:rFonts w:eastAsia="Arial" w:cs="Arial"/>
          <w:szCs w:val="20"/>
        </w:rPr>
        <w:t>zwiększeni</w:t>
      </w:r>
      <w:r w:rsidR="00503CAB" w:rsidRPr="003478AF">
        <w:rPr>
          <w:rFonts w:eastAsia="Arial" w:cs="Arial"/>
          <w:szCs w:val="20"/>
        </w:rPr>
        <w:t>u</w:t>
      </w:r>
      <w:r w:rsidRPr="003478AF">
        <w:rPr>
          <w:rFonts w:eastAsia="Arial" w:cs="Arial"/>
          <w:szCs w:val="20"/>
        </w:rPr>
        <w:t xml:space="preserve"> innowacyjności </w:t>
      </w:r>
      <w:r w:rsidR="001B0CB3" w:rsidRPr="003478AF">
        <w:rPr>
          <w:rFonts w:eastAsia="Arial" w:cs="Arial"/>
          <w:szCs w:val="20"/>
        </w:rPr>
        <w:br/>
      </w:r>
      <w:r w:rsidRPr="003478AF">
        <w:rPr>
          <w:rFonts w:eastAsia="Arial" w:cs="Arial"/>
          <w:szCs w:val="20"/>
        </w:rPr>
        <w:t xml:space="preserve">i konkurencyjności gospodarki oraz poprawie stanu ochrony środowiska przyrodniczego regionu. W tym przypadku innowacyjność uwarunkowana jest przede wszystkim rozwojem przedsiębiorstw związanych z ekotechnologiami. Natomiast </w:t>
      </w:r>
      <w:r w:rsidR="00BA0A5D" w:rsidRPr="003478AF">
        <w:rPr>
          <w:rFonts w:eastAsia="Arial" w:cs="Arial"/>
          <w:szCs w:val="20"/>
        </w:rPr>
        <w:t xml:space="preserve">w </w:t>
      </w:r>
      <w:r w:rsidRPr="003478AF">
        <w:rPr>
          <w:rFonts w:eastAsia="Arial" w:cs="Arial"/>
          <w:szCs w:val="20"/>
        </w:rPr>
        <w:t>przypadku ochrony środowiska mowa jest o rozwoju istniejących i planowanych instalacji wyposażanych w urządzenia do odzysku surowców, materiałów lub energii, kontynuacj</w:t>
      </w:r>
      <w:r w:rsidR="00BA0A5D" w:rsidRPr="003478AF">
        <w:rPr>
          <w:rFonts w:eastAsia="Arial" w:cs="Arial"/>
          <w:szCs w:val="20"/>
        </w:rPr>
        <w:t>i</w:t>
      </w:r>
      <w:r w:rsidRPr="003478AF">
        <w:rPr>
          <w:rFonts w:eastAsia="Arial" w:cs="Arial"/>
          <w:szCs w:val="20"/>
        </w:rPr>
        <w:t xml:space="preserve"> budowy sieci punktów selektywnego zbierania odpadów komunalnych, a także zamykani</w:t>
      </w:r>
      <w:r w:rsidR="00BA0A5D" w:rsidRPr="003478AF">
        <w:rPr>
          <w:rFonts w:eastAsia="Arial" w:cs="Arial"/>
          <w:szCs w:val="20"/>
        </w:rPr>
        <w:t>u</w:t>
      </w:r>
      <w:r w:rsidRPr="003478AF">
        <w:rPr>
          <w:rFonts w:eastAsia="Arial" w:cs="Arial"/>
          <w:szCs w:val="20"/>
        </w:rPr>
        <w:t xml:space="preserve"> </w:t>
      </w:r>
      <w:r w:rsidR="00AC0F3B" w:rsidRPr="003478AF">
        <w:rPr>
          <w:rFonts w:eastAsia="Arial" w:cs="Arial"/>
          <w:szCs w:val="20"/>
        </w:rPr>
        <w:t>i</w:t>
      </w:r>
      <w:r w:rsidR="00BA0A5D" w:rsidRPr="003478AF">
        <w:rPr>
          <w:rFonts w:eastAsia="Arial" w:cs="Arial"/>
          <w:szCs w:val="20"/>
        </w:rPr>
        <w:t xml:space="preserve"> </w:t>
      </w:r>
      <w:r w:rsidRPr="003478AF">
        <w:rPr>
          <w:rFonts w:eastAsia="Arial" w:cs="Arial"/>
          <w:szCs w:val="20"/>
        </w:rPr>
        <w:t>rekultywacj</w:t>
      </w:r>
      <w:r w:rsidR="00BA0A5D" w:rsidRPr="003478AF">
        <w:rPr>
          <w:rFonts w:eastAsia="Arial" w:cs="Arial"/>
          <w:szCs w:val="20"/>
        </w:rPr>
        <w:t>i</w:t>
      </w:r>
      <w:r w:rsidRPr="003478AF">
        <w:rPr>
          <w:rFonts w:eastAsia="Arial" w:cs="Arial"/>
          <w:szCs w:val="20"/>
        </w:rPr>
        <w:t xml:space="preserve"> składowisk niespełniających wymogów ochrony środowiska. Kluczowe są także inicjatywy mające na celu wydłużenie życia produktów. Szczególna uwaga została </w:t>
      </w:r>
      <w:r w:rsidR="00BA0A5D" w:rsidRPr="003478AF">
        <w:rPr>
          <w:rFonts w:eastAsia="Arial" w:cs="Arial"/>
          <w:szCs w:val="20"/>
        </w:rPr>
        <w:t xml:space="preserve">ponadto </w:t>
      </w:r>
      <w:r w:rsidRPr="003478AF">
        <w:rPr>
          <w:rFonts w:eastAsia="Arial" w:cs="Arial"/>
          <w:szCs w:val="20"/>
        </w:rPr>
        <w:t>poświęcona rolnictwu, żywności na etapie jej produkcji, przetwórstw</w:t>
      </w:r>
      <w:r w:rsidR="008C2914" w:rsidRPr="003478AF">
        <w:rPr>
          <w:rFonts w:eastAsia="Arial" w:cs="Arial"/>
          <w:szCs w:val="20"/>
        </w:rPr>
        <w:t>u</w:t>
      </w:r>
      <w:r w:rsidRPr="003478AF">
        <w:rPr>
          <w:rFonts w:eastAsia="Arial" w:cs="Arial"/>
          <w:szCs w:val="20"/>
        </w:rPr>
        <w:t xml:space="preserve"> i konsumpcji, OZE </w:t>
      </w:r>
      <w:r w:rsidR="00AC0F3B" w:rsidRPr="003478AF">
        <w:rPr>
          <w:rFonts w:eastAsia="Arial" w:cs="Arial"/>
          <w:szCs w:val="20"/>
        </w:rPr>
        <w:t>i</w:t>
      </w:r>
      <w:r w:rsidR="000832A6" w:rsidRPr="003478AF">
        <w:rPr>
          <w:rFonts w:eastAsia="Arial" w:cs="Arial"/>
          <w:szCs w:val="20"/>
        </w:rPr>
        <w:t xml:space="preserve"> </w:t>
      </w:r>
      <w:r w:rsidRPr="003478AF">
        <w:rPr>
          <w:rFonts w:eastAsia="Arial" w:cs="Arial"/>
          <w:szCs w:val="20"/>
        </w:rPr>
        <w:t>niskiej emisji</w:t>
      </w:r>
      <w:r w:rsidR="00AC0F3B" w:rsidRPr="003478AF">
        <w:rPr>
          <w:rFonts w:eastAsia="Arial" w:cs="Arial"/>
          <w:szCs w:val="20"/>
        </w:rPr>
        <w:t>.</w:t>
      </w:r>
    </w:p>
    <w:p w14:paraId="15713031" w14:textId="57F63C35" w:rsidR="005F43F3" w:rsidRPr="003478AF" w:rsidRDefault="005F43F3" w:rsidP="005F43F3">
      <w:pPr>
        <w:rPr>
          <w:rFonts w:eastAsia="Arial" w:cs="Arial"/>
          <w:szCs w:val="20"/>
        </w:rPr>
      </w:pPr>
      <w:r w:rsidRPr="003478AF">
        <w:rPr>
          <w:rFonts w:eastAsia="Arial" w:cs="Arial"/>
          <w:szCs w:val="20"/>
        </w:rPr>
        <w:t xml:space="preserve">W </w:t>
      </w:r>
      <w:r w:rsidR="000832A6" w:rsidRPr="003478AF">
        <w:rPr>
          <w:rFonts w:eastAsia="Arial" w:cs="Arial"/>
          <w:szCs w:val="20"/>
        </w:rPr>
        <w:t xml:space="preserve">SRWW </w:t>
      </w:r>
      <w:r w:rsidRPr="003478AF">
        <w:rPr>
          <w:rFonts w:eastAsia="Arial" w:cs="Arial"/>
          <w:szCs w:val="20"/>
        </w:rPr>
        <w:t>znajdują się dwa wskaźniki wpisujące się w GOZ. Są to: pojemność obiektów małej retencji wodnej i udział energii odnawialnej w produkcji energii elektrycznej</w:t>
      </w:r>
      <w:r w:rsidR="008C2914" w:rsidRPr="003478AF">
        <w:rPr>
          <w:rFonts w:eastAsia="Arial" w:cs="Arial"/>
          <w:szCs w:val="20"/>
        </w:rPr>
        <w:t xml:space="preserve"> ogółem</w:t>
      </w:r>
      <w:r w:rsidRPr="003478AF">
        <w:rPr>
          <w:rFonts w:eastAsia="Arial" w:cs="Arial"/>
          <w:szCs w:val="20"/>
        </w:rPr>
        <w:t>.</w:t>
      </w:r>
    </w:p>
    <w:p w14:paraId="32527642" w14:textId="1C70AF72" w:rsidR="005F43F3" w:rsidRPr="003478AF" w:rsidRDefault="005F43F3" w:rsidP="005F43F3">
      <w:pPr>
        <w:rPr>
          <w:rFonts w:eastAsia="Arial" w:cs="Arial"/>
          <w:szCs w:val="20"/>
        </w:rPr>
      </w:pPr>
      <w:r w:rsidRPr="003478AF">
        <w:rPr>
          <w:rFonts w:eastAsia="Arial" w:cs="Arial"/>
          <w:szCs w:val="20"/>
        </w:rPr>
        <w:t>Tematykę związaną z GOZ znajduje się także w innych dokumentach strategicznych na poziomie regionu, t</w:t>
      </w:r>
      <w:r w:rsidR="000832A6" w:rsidRPr="003478AF">
        <w:rPr>
          <w:rFonts w:eastAsia="Arial" w:cs="Arial"/>
          <w:szCs w:val="20"/>
        </w:rPr>
        <w:t xml:space="preserve">akich </w:t>
      </w:r>
      <w:r w:rsidRPr="003478AF">
        <w:rPr>
          <w:rFonts w:eastAsia="Arial" w:cs="Arial"/>
          <w:szCs w:val="20"/>
        </w:rPr>
        <w:t>j</w:t>
      </w:r>
      <w:r w:rsidR="000832A6" w:rsidRPr="003478AF">
        <w:rPr>
          <w:rFonts w:eastAsia="Arial" w:cs="Arial"/>
          <w:szCs w:val="20"/>
        </w:rPr>
        <w:t>ak</w:t>
      </w:r>
      <w:r w:rsidRPr="003478AF">
        <w:rPr>
          <w:rFonts w:eastAsia="Arial" w:cs="Arial"/>
          <w:szCs w:val="20"/>
        </w:rPr>
        <w:t>:</w:t>
      </w:r>
    </w:p>
    <w:p w14:paraId="208F8D22" w14:textId="7CA021BC" w:rsidR="005F43F3" w:rsidRPr="003478AF" w:rsidRDefault="005F43F3" w:rsidP="00B13D49">
      <w:pPr>
        <w:numPr>
          <w:ilvl w:val="0"/>
          <w:numId w:val="11"/>
        </w:numPr>
        <w:rPr>
          <w:rFonts w:eastAsia="Arial" w:cs="Arial"/>
          <w:szCs w:val="20"/>
        </w:rPr>
      </w:pPr>
      <w:r w:rsidRPr="003478AF">
        <w:rPr>
          <w:rFonts w:eastAsia="Arial" w:cs="Arial"/>
          <w:szCs w:val="20"/>
        </w:rPr>
        <w:t xml:space="preserve">Wielkopolski Regionalny Program Operacyjny </w:t>
      </w:r>
      <w:r w:rsidR="000832A6" w:rsidRPr="003478AF">
        <w:rPr>
          <w:rFonts w:eastAsia="Arial" w:cs="Arial"/>
          <w:szCs w:val="20"/>
        </w:rPr>
        <w:t xml:space="preserve">na lata </w:t>
      </w:r>
      <w:r w:rsidRPr="003478AF">
        <w:rPr>
          <w:rFonts w:eastAsia="Arial" w:cs="Arial"/>
          <w:szCs w:val="20"/>
        </w:rPr>
        <w:t>2014-2020 (WRPO),</w:t>
      </w:r>
    </w:p>
    <w:p w14:paraId="3E260BF2" w14:textId="2AE2B53F" w:rsidR="005F43F3" w:rsidRPr="003478AF" w:rsidRDefault="005F43F3" w:rsidP="00B13D49">
      <w:pPr>
        <w:numPr>
          <w:ilvl w:val="0"/>
          <w:numId w:val="11"/>
        </w:numPr>
      </w:pPr>
      <w:r w:rsidRPr="003478AF">
        <w:rPr>
          <w:rFonts w:eastAsia="Arial" w:cs="Arial"/>
          <w:szCs w:val="20"/>
        </w:rPr>
        <w:t xml:space="preserve">Regionalna Strategia Innowacji dla Wielkopolski 2030 </w:t>
      </w:r>
      <w:r w:rsidRPr="003478AF">
        <w:t>(R</w:t>
      </w:r>
      <w:r w:rsidR="00511378" w:rsidRPr="003478AF">
        <w:t>IS</w:t>
      </w:r>
      <w:r w:rsidRPr="003478AF">
        <w:t>),</w:t>
      </w:r>
    </w:p>
    <w:p w14:paraId="54A51E67" w14:textId="66CECCB9" w:rsidR="005F43F3" w:rsidRPr="003478AF" w:rsidRDefault="005F43F3" w:rsidP="00B13D49">
      <w:pPr>
        <w:numPr>
          <w:ilvl w:val="0"/>
          <w:numId w:val="11"/>
        </w:numPr>
        <w:rPr>
          <w:rFonts w:eastAsia="Arial" w:cs="Arial"/>
          <w:szCs w:val="20"/>
        </w:rPr>
      </w:pPr>
      <w:r w:rsidRPr="003478AF">
        <w:rPr>
          <w:rFonts w:eastAsia="Arial" w:cs="Arial"/>
          <w:szCs w:val="20"/>
        </w:rPr>
        <w:t>Program Ochrony Środowiska dla Województwa Wielkopolskiego do roku 2030 (POS),</w:t>
      </w:r>
    </w:p>
    <w:p w14:paraId="5D8C26F0" w14:textId="3C8F1ADB" w:rsidR="005F43F3" w:rsidRPr="003478AF" w:rsidRDefault="008E6936" w:rsidP="00B13D49">
      <w:pPr>
        <w:numPr>
          <w:ilvl w:val="0"/>
          <w:numId w:val="11"/>
        </w:numPr>
        <w:rPr>
          <w:rFonts w:eastAsia="Arial" w:cs="Arial"/>
          <w:szCs w:val="20"/>
        </w:rPr>
      </w:pPr>
      <w:r w:rsidRPr="003478AF">
        <w:rPr>
          <w:rFonts w:eastAsia="MinionPro-Regular" w:cs="Arial"/>
          <w:color w:val="000000"/>
          <w:lang w:eastAsia="pl-PL"/>
        </w:rPr>
        <w:t>Plan Gospodarki Odpadami dla Województwa Wielkopolskiego na lata 2019-2025 (WPGO</w:t>
      </w:r>
      <w:r w:rsidR="002214E9" w:rsidRPr="003478AF">
        <w:rPr>
          <w:rFonts w:eastAsia="MinionPro-Regular" w:cs="Arial"/>
          <w:color w:val="000000"/>
          <w:lang w:eastAsia="pl-PL"/>
        </w:rPr>
        <w:t xml:space="preserve"> 2025</w:t>
      </w:r>
      <w:r w:rsidRPr="003478AF">
        <w:rPr>
          <w:rFonts w:eastAsia="MinionPro-Regular" w:cs="Arial"/>
          <w:color w:val="000000"/>
          <w:lang w:eastAsia="pl-PL"/>
        </w:rPr>
        <w:t xml:space="preserve">) </w:t>
      </w:r>
      <w:r w:rsidR="00AC0F3B" w:rsidRPr="003478AF">
        <w:rPr>
          <w:rFonts w:eastAsia="Arial" w:cs="Arial"/>
          <w:szCs w:val="20"/>
        </w:rPr>
        <w:t>,</w:t>
      </w:r>
    </w:p>
    <w:p w14:paraId="64BEB700" w14:textId="2764CB9B" w:rsidR="005F43F3" w:rsidRPr="003478AF" w:rsidRDefault="008E6936" w:rsidP="00B13D49">
      <w:pPr>
        <w:numPr>
          <w:ilvl w:val="0"/>
          <w:numId w:val="11"/>
        </w:numPr>
        <w:rPr>
          <w:rFonts w:eastAsia="Arial" w:cs="Arial"/>
          <w:szCs w:val="20"/>
        </w:rPr>
      </w:pPr>
      <w:r w:rsidRPr="003478AF">
        <w:rPr>
          <w:rFonts w:eastAsia="Arial" w:cs="Arial"/>
          <w:szCs w:val="20"/>
        </w:rPr>
        <w:t xml:space="preserve">Wielkopolski Regionalny </w:t>
      </w:r>
      <w:r w:rsidR="005F43F3" w:rsidRPr="003478AF">
        <w:rPr>
          <w:rFonts w:eastAsia="Arial" w:cs="Arial"/>
          <w:szCs w:val="20"/>
        </w:rPr>
        <w:t xml:space="preserve">Plan Działań na rzecz Zrównoważonej Energii i Klimatu </w:t>
      </w:r>
      <w:r w:rsidR="001B0CB3" w:rsidRPr="003478AF">
        <w:rPr>
          <w:rFonts w:eastAsia="Arial" w:cs="Arial"/>
          <w:szCs w:val="20"/>
        </w:rPr>
        <w:br/>
      </w:r>
      <w:r w:rsidR="005F43F3" w:rsidRPr="003478AF">
        <w:rPr>
          <w:rFonts w:eastAsia="Arial" w:cs="Arial"/>
          <w:szCs w:val="20"/>
        </w:rPr>
        <w:t>w zakresie źródeł odnawialnych i efektywności energetycznej z perspektywą do roku 2050</w:t>
      </w:r>
      <w:r w:rsidR="00AC0F3B" w:rsidRPr="003478AF">
        <w:rPr>
          <w:rFonts w:eastAsia="Arial" w:cs="Arial"/>
          <w:szCs w:val="20"/>
        </w:rPr>
        <w:t>.</w:t>
      </w:r>
    </w:p>
    <w:p w14:paraId="037F77D6" w14:textId="667BB331" w:rsidR="005F43F3" w:rsidRPr="003478AF" w:rsidRDefault="005F43F3" w:rsidP="005F43F3">
      <w:pPr>
        <w:rPr>
          <w:rFonts w:eastAsia="Arial" w:cs="Arial"/>
          <w:szCs w:val="20"/>
        </w:rPr>
      </w:pPr>
      <w:r w:rsidRPr="003478AF">
        <w:rPr>
          <w:rFonts w:eastAsia="Arial" w:cs="Arial"/>
          <w:szCs w:val="20"/>
        </w:rPr>
        <w:t xml:space="preserve">W </w:t>
      </w:r>
      <w:r w:rsidRPr="003478AF">
        <w:rPr>
          <w:rFonts w:eastAsia="Arial" w:cs="Arial"/>
          <w:b/>
          <w:bCs/>
          <w:szCs w:val="20"/>
        </w:rPr>
        <w:t>WRPO</w:t>
      </w:r>
      <w:r w:rsidRPr="003478AF">
        <w:rPr>
          <w:rFonts w:eastAsia="Arial" w:cs="Arial"/>
          <w:szCs w:val="20"/>
        </w:rPr>
        <w:t xml:space="preserve"> w </w:t>
      </w:r>
      <w:r w:rsidR="008F2DCC" w:rsidRPr="003478AF">
        <w:rPr>
          <w:rFonts w:eastAsia="Arial" w:cs="Arial"/>
          <w:szCs w:val="20"/>
        </w:rPr>
        <w:t xml:space="preserve">ramach </w:t>
      </w:r>
      <w:r w:rsidRPr="003478AF">
        <w:rPr>
          <w:rFonts w:eastAsia="Arial" w:cs="Arial"/>
          <w:szCs w:val="20"/>
        </w:rPr>
        <w:t>trzech osi priorytetowych dotyczących</w:t>
      </w:r>
      <w:r w:rsidR="008F2DCC" w:rsidRPr="003478AF">
        <w:rPr>
          <w:rFonts w:eastAsia="Arial" w:cs="Arial"/>
          <w:szCs w:val="20"/>
        </w:rPr>
        <w:t>:</w:t>
      </w:r>
      <w:r w:rsidRPr="003478AF">
        <w:rPr>
          <w:rFonts w:eastAsia="Arial" w:cs="Arial"/>
          <w:szCs w:val="20"/>
        </w:rPr>
        <w:t xml:space="preserve"> energii, środowiska </w:t>
      </w:r>
      <w:r w:rsidR="007C14CB" w:rsidRPr="003478AF">
        <w:rPr>
          <w:rFonts w:eastAsia="Arial" w:cs="Arial"/>
          <w:szCs w:val="20"/>
        </w:rPr>
        <w:br/>
      </w:r>
      <w:r w:rsidRPr="003478AF">
        <w:rPr>
          <w:rFonts w:eastAsia="Arial" w:cs="Arial"/>
          <w:szCs w:val="20"/>
        </w:rPr>
        <w:t>i infrastruktur</w:t>
      </w:r>
      <w:r w:rsidR="00503CAB" w:rsidRPr="003478AF">
        <w:rPr>
          <w:rFonts w:eastAsia="Arial" w:cs="Arial"/>
          <w:szCs w:val="20"/>
        </w:rPr>
        <w:t>y</w:t>
      </w:r>
      <w:r w:rsidRPr="003478AF">
        <w:rPr>
          <w:rFonts w:eastAsia="Arial" w:cs="Arial"/>
          <w:szCs w:val="20"/>
        </w:rPr>
        <w:t xml:space="preserve"> dla kapitału ludzkiego</w:t>
      </w:r>
      <w:r w:rsidR="008F2DCC" w:rsidRPr="003478AF">
        <w:rPr>
          <w:rFonts w:eastAsia="Arial" w:cs="Arial"/>
          <w:szCs w:val="20"/>
        </w:rPr>
        <w:t>,</w:t>
      </w:r>
      <w:r w:rsidRPr="003478AF">
        <w:rPr>
          <w:rFonts w:eastAsia="Arial" w:cs="Arial"/>
          <w:szCs w:val="20"/>
        </w:rPr>
        <w:t xml:space="preserve"> znajdują się wskaźniki nawiązujące do GOZ. Łącznie jest ich </w:t>
      </w:r>
      <w:r w:rsidR="00980C3F" w:rsidRPr="003478AF">
        <w:rPr>
          <w:rFonts w:eastAsia="Arial" w:cs="Arial"/>
          <w:szCs w:val="20"/>
        </w:rPr>
        <w:t>38</w:t>
      </w:r>
      <w:r w:rsidRPr="003478AF">
        <w:rPr>
          <w:rFonts w:eastAsia="Arial" w:cs="Arial"/>
          <w:szCs w:val="20"/>
        </w:rPr>
        <w:t xml:space="preserve">. W ramach energetyki </w:t>
      </w:r>
      <w:r w:rsidR="00503CAB" w:rsidRPr="003478AF">
        <w:rPr>
          <w:rFonts w:eastAsia="Arial" w:cs="Arial"/>
          <w:szCs w:val="20"/>
        </w:rPr>
        <w:t xml:space="preserve">uwzględniono </w:t>
      </w:r>
      <w:r w:rsidRPr="003478AF">
        <w:rPr>
          <w:rFonts w:eastAsia="Arial" w:cs="Arial"/>
          <w:szCs w:val="20"/>
        </w:rPr>
        <w:t xml:space="preserve">wskaźniki wpisujące się w: wytwarzanie </w:t>
      </w:r>
      <w:r w:rsidR="001B0CB3" w:rsidRPr="003478AF">
        <w:rPr>
          <w:rFonts w:eastAsia="Arial" w:cs="Arial"/>
          <w:szCs w:val="20"/>
        </w:rPr>
        <w:br/>
      </w:r>
      <w:r w:rsidRPr="003478AF">
        <w:rPr>
          <w:rFonts w:eastAsia="Arial" w:cs="Arial"/>
          <w:szCs w:val="20"/>
        </w:rPr>
        <w:t>i dystrybucję energii ze źródeł odnawialnych</w:t>
      </w:r>
      <w:r w:rsidR="00980C3F" w:rsidRPr="003478AF">
        <w:rPr>
          <w:rFonts w:eastAsia="Arial" w:cs="Arial"/>
          <w:szCs w:val="20"/>
        </w:rPr>
        <w:t xml:space="preserve">, </w:t>
      </w:r>
      <w:r w:rsidRPr="003478AF">
        <w:rPr>
          <w:rFonts w:eastAsia="Arial" w:cs="Arial"/>
          <w:szCs w:val="20"/>
        </w:rPr>
        <w:t>poprawę efektywności energetycznej w sektorze publicznym i mieszkaniowym</w:t>
      </w:r>
      <w:r w:rsidR="00980C3F" w:rsidRPr="003478AF">
        <w:rPr>
          <w:rFonts w:eastAsia="Arial" w:cs="Arial"/>
          <w:szCs w:val="20"/>
        </w:rPr>
        <w:t xml:space="preserve">, </w:t>
      </w:r>
      <w:r w:rsidRPr="003478AF">
        <w:rPr>
          <w:rFonts w:eastAsia="Arial" w:cs="Arial"/>
          <w:szCs w:val="20"/>
        </w:rPr>
        <w:t>wspieranie strategii niskoemisyjnych, w tym mobilnoś</w:t>
      </w:r>
      <w:r w:rsidR="00503CAB" w:rsidRPr="003478AF">
        <w:rPr>
          <w:rFonts w:eastAsia="Arial" w:cs="Arial"/>
          <w:szCs w:val="20"/>
        </w:rPr>
        <w:t>ci</w:t>
      </w:r>
      <w:r w:rsidRPr="003478AF">
        <w:rPr>
          <w:rFonts w:eastAsia="Arial" w:cs="Arial"/>
          <w:szCs w:val="20"/>
        </w:rPr>
        <w:t xml:space="preserve"> miejsk</w:t>
      </w:r>
      <w:r w:rsidR="00503CAB" w:rsidRPr="003478AF">
        <w:rPr>
          <w:rFonts w:eastAsia="Arial" w:cs="Arial"/>
          <w:szCs w:val="20"/>
        </w:rPr>
        <w:t>iej</w:t>
      </w:r>
      <w:r w:rsidRPr="003478AF">
        <w:rPr>
          <w:rFonts w:eastAsia="Arial" w:cs="Arial"/>
          <w:szCs w:val="20"/>
        </w:rPr>
        <w:t>. W środowisku dopasowano je do działań w zakresie: zapobiegania, likwidacji skutków klęsk żywiołowych i awarii środowiskowych</w:t>
      </w:r>
      <w:r w:rsidR="00980C3F" w:rsidRPr="003478AF">
        <w:rPr>
          <w:rFonts w:eastAsia="Arial" w:cs="Arial"/>
          <w:szCs w:val="20"/>
        </w:rPr>
        <w:t xml:space="preserve">, </w:t>
      </w:r>
      <w:r w:rsidRPr="003478AF">
        <w:rPr>
          <w:rFonts w:eastAsia="Arial" w:cs="Arial"/>
          <w:szCs w:val="20"/>
        </w:rPr>
        <w:t>gospodarki odpadami</w:t>
      </w:r>
      <w:r w:rsidR="00980C3F" w:rsidRPr="003478AF">
        <w:rPr>
          <w:rFonts w:eastAsia="Arial" w:cs="Arial"/>
          <w:szCs w:val="20"/>
        </w:rPr>
        <w:t xml:space="preserve">, </w:t>
      </w:r>
      <w:r w:rsidRPr="003478AF">
        <w:rPr>
          <w:rFonts w:eastAsia="Arial" w:cs="Arial"/>
          <w:szCs w:val="20"/>
        </w:rPr>
        <w:t>gospodarki wodno</w:t>
      </w:r>
      <w:r w:rsidR="00980C3F" w:rsidRPr="003478AF">
        <w:rPr>
          <w:rFonts w:eastAsia="Arial" w:cs="Arial"/>
          <w:szCs w:val="20"/>
        </w:rPr>
        <w:t>-</w:t>
      </w:r>
      <w:r w:rsidR="00AC0F3B" w:rsidRPr="003478AF">
        <w:rPr>
          <w:rFonts w:eastAsia="Arial" w:cs="Arial"/>
          <w:szCs w:val="20"/>
        </w:rPr>
        <w:t>ściekowej i</w:t>
      </w:r>
      <w:r w:rsidR="00503CAB" w:rsidRPr="003478AF">
        <w:rPr>
          <w:rFonts w:eastAsia="Arial" w:cs="Arial"/>
          <w:szCs w:val="20"/>
        </w:rPr>
        <w:t xml:space="preserve"> </w:t>
      </w:r>
      <w:r w:rsidRPr="003478AF">
        <w:rPr>
          <w:rFonts w:eastAsia="Arial" w:cs="Arial"/>
          <w:szCs w:val="20"/>
        </w:rPr>
        <w:t xml:space="preserve">ochrony przyrody. Wskaźniki GOZ w infrastrukturze dla kapitału ludzkiego znajdują się </w:t>
      </w:r>
      <w:r w:rsidR="00AC0F3B" w:rsidRPr="003478AF">
        <w:rPr>
          <w:rFonts w:eastAsia="Arial" w:cs="Arial"/>
          <w:szCs w:val="20"/>
        </w:rPr>
        <w:t>w</w:t>
      </w:r>
      <w:r w:rsidR="00503CAB" w:rsidRPr="003478AF">
        <w:rPr>
          <w:rFonts w:eastAsia="Arial" w:cs="Arial"/>
          <w:szCs w:val="20"/>
        </w:rPr>
        <w:t xml:space="preserve"> </w:t>
      </w:r>
      <w:r w:rsidRPr="003478AF">
        <w:rPr>
          <w:rFonts w:eastAsia="Arial" w:cs="Arial"/>
          <w:szCs w:val="20"/>
        </w:rPr>
        <w:t xml:space="preserve">działaniu </w:t>
      </w:r>
      <w:r w:rsidR="00980C3F" w:rsidRPr="003478AF">
        <w:rPr>
          <w:rFonts w:eastAsia="Arial" w:cs="Arial"/>
          <w:szCs w:val="20"/>
        </w:rPr>
        <w:t>–</w:t>
      </w:r>
      <w:r w:rsidRPr="003478AF">
        <w:rPr>
          <w:rFonts w:eastAsia="Arial" w:cs="Arial"/>
          <w:szCs w:val="20"/>
        </w:rPr>
        <w:t xml:space="preserve"> rewitalizacja obszarów problemowych.</w:t>
      </w:r>
    </w:p>
    <w:p w14:paraId="4C24F162" w14:textId="340AF094" w:rsidR="005F43F3" w:rsidRPr="003478AF" w:rsidRDefault="005F43F3" w:rsidP="005F43F3">
      <w:pPr>
        <w:rPr>
          <w:rFonts w:eastAsia="Arial" w:cs="Arial"/>
          <w:szCs w:val="20"/>
        </w:rPr>
      </w:pPr>
      <w:r w:rsidRPr="003478AF">
        <w:rPr>
          <w:rFonts w:eastAsia="Arial" w:cs="Arial"/>
          <w:szCs w:val="20"/>
        </w:rPr>
        <w:t xml:space="preserve">W </w:t>
      </w:r>
      <w:r w:rsidRPr="003478AF">
        <w:rPr>
          <w:rFonts w:eastAsia="Arial" w:cs="Arial"/>
          <w:b/>
          <w:bCs/>
          <w:szCs w:val="20"/>
        </w:rPr>
        <w:t>RIS</w:t>
      </w:r>
      <w:r w:rsidRPr="003478AF">
        <w:rPr>
          <w:rFonts w:eastAsia="Arial" w:cs="Arial"/>
          <w:szCs w:val="20"/>
        </w:rPr>
        <w:t xml:space="preserve"> nawiązuje się do GOZ w czterech wskaźnikach dotyczących: produkcji energii, ochrony powietrza, zanieczyszczeń i zużycia wody na potrzeby przemysłu</w:t>
      </w:r>
      <w:r w:rsidR="008F2DCC" w:rsidRPr="003478AF">
        <w:rPr>
          <w:rFonts w:eastAsia="Arial" w:cs="Arial"/>
          <w:szCs w:val="20"/>
        </w:rPr>
        <w:t>, p</w:t>
      </w:r>
      <w:r w:rsidRPr="003478AF">
        <w:rPr>
          <w:rFonts w:eastAsia="Arial" w:cs="Arial"/>
          <w:szCs w:val="20"/>
        </w:rPr>
        <w:t>rzy czym pierwszy z nich został rozbudowa</w:t>
      </w:r>
      <w:r w:rsidR="00696361" w:rsidRPr="003478AF">
        <w:rPr>
          <w:rFonts w:eastAsia="Arial" w:cs="Arial"/>
          <w:szCs w:val="20"/>
        </w:rPr>
        <w:t>n</w:t>
      </w:r>
      <w:r w:rsidRPr="003478AF">
        <w:rPr>
          <w:rFonts w:eastAsia="Arial" w:cs="Arial"/>
          <w:szCs w:val="20"/>
        </w:rPr>
        <w:t>y na cz</w:t>
      </w:r>
      <w:r w:rsidR="00696361" w:rsidRPr="003478AF">
        <w:rPr>
          <w:rFonts w:eastAsia="Arial" w:cs="Arial"/>
          <w:szCs w:val="20"/>
        </w:rPr>
        <w:t>t</w:t>
      </w:r>
      <w:r w:rsidRPr="003478AF">
        <w:rPr>
          <w:rFonts w:eastAsia="Arial" w:cs="Arial"/>
          <w:szCs w:val="20"/>
        </w:rPr>
        <w:t>ery kategorie, tj. produkcja energii ogółem, elektrownie wodne i na paliwa odnawialne, odnawialne nośniki energii oraz udział</w:t>
      </w:r>
      <w:r w:rsidR="001C16D6" w:rsidRPr="003478AF">
        <w:rPr>
          <w:rFonts w:eastAsia="Arial" w:cs="Arial"/>
          <w:szCs w:val="20"/>
        </w:rPr>
        <w:t xml:space="preserve"> </w:t>
      </w:r>
      <w:r w:rsidRPr="003478AF">
        <w:rPr>
          <w:rFonts w:eastAsia="Arial" w:cs="Arial"/>
          <w:szCs w:val="20"/>
        </w:rPr>
        <w:t>energii</w:t>
      </w:r>
      <w:r w:rsidR="001C16D6" w:rsidRPr="003478AF">
        <w:rPr>
          <w:rFonts w:eastAsia="Arial" w:cs="Arial"/>
          <w:szCs w:val="20"/>
        </w:rPr>
        <w:t xml:space="preserve"> </w:t>
      </w:r>
      <w:r w:rsidRPr="003478AF">
        <w:rPr>
          <w:rFonts w:eastAsia="Arial" w:cs="Arial"/>
          <w:szCs w:val="20"/>
        </w:rPr>
        <w:t>odnawialnej</w:t>
      </w:r>
      <w:r w:rsidR="001C16D6" w:rsidRPr="003478AF">
        <w:rPr>
          <w:rFonts w:eastAsia="Arial" w:cs="Arial"/>
          <w:szCs w:val="20"/>
        </w:rPr>
        <w:t xml:space="preserve"> </w:t>
      </w:r>
      <w:r w:rsidRPr="003478AF">
        <w:rPr>
          <w:rFonts w:eastAsia="Arial" w:cs="Arial"/>
          <w:szCs w:val="20"/>
        </w:rPr>
        <w:t>w</w:t>
      </w:r>
      <w:r w:rsidR="001C16D6" w:rsidRPr="003478AF">
        <w:rPr>
          <w:rFonts w:eastAsia="Arial" w:cs="Arial"/>
          <w:szCs w:val="20"/>
        </w:rPr>
        <w:t xml:space="preserve"> </w:t>
      </w:r>
      <w:r w:rsidRPr="003478AF">
        <w:rPr>
          <w:rFonts w:eastAsia="Arial" w:cs="Arial"/>
          <w:szCs w:val="20"/>
        </w:rPr>
        <w:t>produkcji</w:t>
      </w:r>
      <w:r w:rsidR="001C16D6" w:rsidRPr="003478AF">
        <w:rPr>
          <w:rFonts w:eastAsia="Arial" w:cs="Arial"/>
          <w:szCs w:val="20"/>
        </w:rPr>
        <w:t xml:space="preserve"> </w:t>
      </w:r>
      <w:r w:rsidRPr="003478AF">
        <w:rPr>
          <w:rFonts w:eastAsia="Arial" w:cs="Arial"/>
          <w:szCs w:val="20"/>
        </w:rPr>
        <w:t>energii elektrycznej ogółem.</w:t>
      </w:r>
    </w:p>
    <w:p w14:paraId="404D0F9F" w14:textId="3723CA5D" w:rsidR="005F43F3" w:rsidRPr="003478AF" w:rsidRDefault="00503CAB" w:rsidP="005F43F3">
      <w:pPr>
        <w:rPr>
          <w:rFonts w:eastAsia="Arial" w:cs="Arial"/>
          <w:szCs w:val="20"/>
        </w:rPr>
      </w:pPr>
      <w:r w:rsidRPr="003478AF">
        <w:rPr>
          <w:rFonts w:eastAsia="Arial" w:cs="Arial"/>
          <w:bCs/>
          <w:szCs w:val="20"/>
        </w:rPr>
        <w:t xml:space="preserve">W </w:t>
      </w:r>
      <w:r w:rsidR="005859D8" w:rsidRPr="003478AF">
        <w:rPr>
          <w:rFonts w:eastAsia="Arial" w:cs="Arial"/>
          <w:bCs/>
          <w:szCs w:val="20"/>
        </w:rPr>
        <w:t>WPGO</w:t>
      </w:r>
      <w:r w:rsidR="005F43F3" w:rsidRPr="003478AF">
        <w:rPr>
          <w:rFonts w:eastAsia="Arial" w:cs="Arial"/>
          <w:bCs/>
          <w:szCs w:val="20"/>
        </w:rPr>
        <w:t xml:space="preserve"> </w:t>
      </w:r>
      <w:r w:rsidR="002214E9" w:rsidRPr="003478AF">
        <w:rPr>
          <w:rFonts w:eastAsia="Arial" w:cs="Arial"/>
          <w:bCs/>
          <w:szCs w:val="20"/>
        </w:rPr>
        <w:t xml:space="preserve">2025 </w:t>
      </w:r>
      <w:r w:rsidR="005F43F3" w:rsidRPr="003478AF">
        <w:rPr>
          <w:rFonts w:eastAsia="Arial" w:cs="Arial"/>
          <w:bCs/>
          <w:szCs w:val="20"/>
        </w:rPr>
        <w:t xml:space="preserve">jest </w:t>
      </w:r>
      <w:r w:rsidR="005859D8" w:rsidRPr="003478AF">
        <w:rPr>
          <w:rFonts w:eastAsia="Arial" w:cs="Arial"/>
          <w:bCs/>
          <w:szCs w:val="20"/>
        </w:rPr>
        <w:t>57</w:t>
      </w:r>
      <w:r w:rsidR="005F43F3" w:rsidRPr="003478AF">
        <w:rPr>
          <w:rFonts w:eastAsia="Arial" w:cs="Arial"/>
          <w:bCs/>
          <w:szCs w:val="20"/>
        </w:rPr>
        <w:t xml:space="preserve"> </w:t>
      </w:r>
      <w:r w:rsidRPr="003478AF">
        <w:rPr>
          <w:rFonts w:eastAsia="Arial" w:cs="Arial"/>
          <w:bCs/>
          <w:szCs w:val="20"/>
        </w:rPr>
        <w:t xml:space="preserve">wskaźników wpisujących się w GOZ, które </w:t>
      </w:r>
      <w:r w:rsidR="005F43F3" w:rsidRPr="003478AF">
        <w:rPr>
          <w:rFonts w:eastAsia="Arial" w:cs="Arial"/>
          <w:bCs/>
          <w:szCs w:val="20"/>
        </w:rPr>
        <w:t>podzielono na pięć kategorii: ogólne, odpady komunalne, niebezpieczne oraz powstające z produktów</w:t>
      </w:r>
      <w:r w:rsidR="005859D8" w:rsidRPr="003478AF">
        <w:rPr>
          <w:rFonts w:eastAsia="Arial" w:cs="Arial"/>
          <w:bCs/>
          <w:szCs w:val="20"/>
        </w:rPr>
        <w:t>,</w:t>
      </w:r>
      <w:r w:rsidR="005F43F3" w:rsidRPr="003478AF">
        <w:rPr>
          <w:rFonts w:eastAsia="Arial" w:cs="Arial"/>
          <w:bCs/>
          <w:szCs w:val="20"/>
        </w:rPr>
        <w:t xml:space="preserve"> a także pozostałe</w:t>
      </w:r>
      <w:r w:rsidR="008F2DCC" w:rsidRPr="003478AF">
        <w:rPr>
          <w:rFonts w:eastAsia="Arial" w:cs="Arial"/>
          <w:bCs/>
          <w:szCs w:val="20"/>
        </w:rPr>
        <w:t>.</w:t>
      </w:r>
      <w:r w:rsidR="005F43F3" w:rsidRPr="003478AF">
        <w:rPr>
          <w:rFonts w:eastAsia="Arial" w:cs="Arial"/>
          <w:bCs/>
          <w:szCs w:val="20"/>
        </w:rPr>
        <w:t xml:space="preserve"> </w:t>
      </w:r>
    </w:p>
    <w:p w14:paraId="675D2A7D" w14:textId="5B280857" w:rsidR="005F43F3" w:rsidRPr="003478AF" w:rsidRDefault="005F43F3" w:rsidP="005F43F3">
      <w:pPr>
        <w:rPr>
          <w:rFonts w:eastAsia="Arial" w:cs="Arial"/>
          <w:szCs w:val="20"/>
        </w:rPr>
      </w:pPr>
      <w:r w:rsidRPr="003478AF">
        <w:rPr>
          <w:rFonts w:eastAsia="Arial" w:cs="Arial"/>
          <w:bCs/>
          <w:szCs w:val="20"/>
        </w:rPr>
        <w:t xml:space="preserve">W najbardziej aktualnym dokumencie </w:t>
      </w:r>
      <w:r w:rsidR="00511378" w:rsidRPr="003478AF">
        <w:rPr>
          <w:rFonts w:eastAsia="Arial" w:cs="Arial"/>
          <w:bCs/>
          <w:szCs w:val="20"/>
        </w:rPr>
        <w:t>kierunkowym</w:t>
      </w:r>
      <w:r w:rsidRPr="003478AF">
        <w:rPr>
          <w:rFonts w:eastAsia="Arial" w:cs="Arial"/>
          <w:bCs/>
          <w:szCs w:val="20"/>
        </w:rPr>
        <w:t xml:space="preserve"> dla Wielkopolski </w:t>
      </w:r>
      <w:r w:rsidR="005859D8" w:rsidRPr="003478AF">
        <w:rPr>
          <w:rFonts w:eastAsia="Arial" w:cs="Arial"/>
          <w:bCs/>
          <w:szCs w:val="20"/>
        </w:rPr>
        <w:t>–</w:t>
      </w:r>
      <w:r w:rsidRPr="003478AF">
        <w:rPr>
          <w:rFonts w:eastAsia="Arial" w:cs="Arial"/>
          <w:bCs/>
          <w:szCs w:val="20"/>
        </w:rPr>
        <w:t xml:space="preserve"> </w:t>
      </w:r>
      <w:r w:rsidRPr="003478AF">
        <w:rPr>
          <w:rFonts w:eastAsia="Arial" w:cs="Arial"/>
          <w:szCs w:val="20"/>
        </w:rPr>
        <w:t>Plan</w:t>
      </w:r>
      <w:r w:rsidR="005859D8" w:rsidRPr="003478AF">
        <w:rPr>
          <w:rFonts w:eastAsia="Arial" w:cs="Arial"/>
          <w:szCs w:val="20"/>
        </w:rPr>
        <w:t>ie</w:t>
      </w:r>
      <w:r w:rsidRPr="003478AF">
        <w:rPr>
          <w:rFonts w:eastAsia="Arial" w:cs="Arial"/>
          <w:szCs w:val="20"/>
        </w:rPr>
        <w:t xml:space="preserve"> Działań na rzecz Zrównoważonej Energii i Klimatu w zakresie źródeł odnawialnych i efektywności energetycznej z perspektywą do roku 2050 brak jest systemu monitoringu. Nie wykazano żadnych wskaźników</w:t>
      </w:r>
      <w:r w:rsidR="00816865" w:rsidRPr="003478AF">
        <w:rPr>
          <w:rFonts w:eastAsia="Arial" w:cs="Arial"/>
          <w:szCs w:val="20"/>
        </w:rPr>
        <w:t>,</w:t>
      </w:r>
      <w:r w:rsidRPr="003478AF">
        <w:rPr>
          <w:rFonts w:eastAsia="Arial" w:cs="Arial"/>
          <w:szCs w:val="20"/>
        </w:rPr>
        <w:t xml:space="preserve"> pomimo iż plan stanowi wizję polityki energetycznej regionu</w:t>
      </w:r>
      <w:r w:rsidR="00503CAB" w:rsidRPr="003478AF">
        <w:rPr>
          <w:rFonts w:eastAsia="Arial" w:cs="Arial"/>
          <w:szCs w:val="20"/>
        </w:rPr>
        <w:t xml:space="preserve"> oraz </w:t>
      </w:r>
      <w:r w:rsidRPr="003478AF">
        <w:rPr>
          <w:rFonts w:eastAsia="Arial" w:cs="Arial"/>
          <w:szCs w:val="20"/>
        </w:rPr>
        <w:t xml:space="preserve">swoisty </w:t>
      </w:r>
      <w:r w:rsidRPr="003478AF">
        <w:rPr>
          <w:rFonts w:eastAsia="Arial" w:cs="Arial"/>
          <w:szCs w:val="20"/>
        </w:rPr>
        <w:lastRenderedPageBreak/>
        <w:t>drogowskaz dla działań planowanych i podejmowanych w tym zakresie na terenie województwa na poziomie lokalnym.</w:t>
      </w:r>
      <w:r w:rsidR="001C16D6" w:rsidRPr="003478AF">
        <w:rPr>
          <w:rFonts w:eastAsia="Arial" w:cs="Arial"/>
          <w:szCs w:val="20"/>
        </w:rPr>
        <w:t xml:space="preserve"> </w:t>
      </w:r>
    </w:p>
    <w:p w14:paraId="7C33F48B" w14:textId="539A920E" w:rsidR="005F43F3" w:rsidRPr="003478AF" w:rsidRDefault="005F43F3" w:rsidP="005F43F3">
      <w:pPr>
        <w:rPr>
          <w:rFonts w:eastAsia="Arial" w:cs="Arial"/>
          <w:szCs w:val="20"/>
        </w:rPr>
      </w:pPr>
      <w:r w:rsidRPr="003478AF">
        <w:rPr>
          <w:rFonts w:eastAsia="Arial" w:cs="Arial"/>
          <w:szCs w:val="20"/>
        </w:rPr>
        <w:t xml:space="preserve">Należy zaznaczyć, iż na poziomie ponadlokalnym i lokalnym </w:t>
      </w:r>
      <w:r w:rsidR="00696361" w:rsidRPr="003478AF">
        <w:rPr>
          <w:rFonts w:eastAsia="Arial" w:cs="Arial"/>
          <w:szCs w:val="20"/>
        </w:rPr>
        <w:t>rz</w:t>
      </w:r>
      <w:r w:rsidRPr="003478AF">
        <w:rPr>
          <w:rFonts w:eastAsia="Arial" w:cs="Arial"/>
          <w:szCs w:val="20"/>
        </w:rPr>
        <w:t xml:space="preserve">adko publikowane są wskaźniki rozwoju. Wynika to m.in. z faktu braku obowiązku przygotowywania </w:t>
      </w:r>
      <w:r w:rsidR="00ED6DF8" w:rsidRPr="003478AF">
        <w:rPr>
          <w:rFonts w:eastAsia="Arial" w:cs="Arial"/>
          <w:szCs w:val="20"/>
        </w:rPr>
        <w:t>dokumentów strategicznych, zarówno w odniesieniu do poszczególnych gmin, jak i związków gmin powiązanych ze sobą funkcjonalnie. S</w:t>
      </w:r>
      <w:r w:rsidRPr="003478AF">
        <w:rPr>
          <w:rFonts w:eastAsia="Arial" w:cs="Arial"/>
          <w:szCs w:val="20"/>
        </w:rPr>
        <w:t xml:space="preserve">trategia </w:t>
      </w:r>
      <w:r w:rsidR="00816865" w:rsidRPr="003478AF">
        <w:rPr>
          <w:rFonts w:eastAsia="Arial" w:cs="Arial"/>
          <w:szCs w:val="20"/>
        </w:rPr>
        <w:t xml:space="preserve">rozwoju </w:t>
      </w:r>
      <w:r w:rsidRPr="003478AF">
        <w:rPr>
          <w:rFonts w:eastAsia="Arial" w:cs="Arial"/>
          <w:szCs w:val="20"/>
        </w:rPr>
        <w:t xml:space="preserve">gminy pozostaje dokumentem fakultatywnym, ale silne umocowanym </w:t>
      </w:r>
      <w:r w:rsidR="00AC0F3B" w:rsidRPr="003478AF">
        <w:rPr>
          <w:rFonts w:eastAsia="Arial" w:cs="Arial"/>
          <w:szCs w:val="20"/>
        </w:rPr>
        <w:t>w</w:t>
      </w:r>
      <w:r w:rsidR="00920E4C" w:rsidRPr="003478AF">
        <w:rPr>
          <w:rFonts w:eastAsia="Arial" w:cs="Arial"/>
          <w:szCs w:val="20"/>
        </w:rPr>
        <w:t xml:space="preserve"> </w:t>
      </w:r>
      <w:r w:rsidRPr="003478AF">
        <w:rPr>
          <w:rFonts w:eastAsia="Arial" w:cs="Arial"/>
          <w:szCs w:val="20"/>
        </w:rPr>
        <w:t xml:space="preserve">przepisach, niepozostawiających dowolności </w:t>
      </w:r>
      <w:r w:rsidR="001B0CB3" w:rsidRPr="003478AF">
        <w:rPr>
          <w:rFonts w:eastAsia="Arial" w:cs="Arial"/>
          <w:szCs w:val="20"/>
        </w:rPr>
        <w:br/>
      </w:r>
      <w:r w:rsidRPr="003478AF">
        <w:rPr>
          <w:rFonts w:eastAsia="Arial" w:cs="Arial"/>
          <w:szCs w:val="20"/>
        </w:rPr>
        <w:t xml:space="preserve">w zakresie jej treści, trybu przyjmowania oraz zgodności ze strategią regionalną. Sytuacja ta często powoduje niepublikowanie wskaźników rozwoju z wyjątkiem tych gromadzonych </w:t>
      </w:r>
      <w:r w:rsidR="001B0CB3" w:rsidRPr="003478AF">
        <w:rPr>
          <w:rFonts w:eastAsia="Arial" w:cs="Arial"/>
          <w:szCs w:val="20"/>
        </w:rPr>
        <w:br/>
      </w:r>
      <w:r w:rsidRPr="003478AF">
        <w:rPr>
          <w:rFonts w:eastAsia="Arial" w:cs="Arial"/>
          <w:szCs w:val="20"/>
        </w:rPr>
        <w:t xml:space="preserve">w bazie </w:t>
      </w:r>
      <w:r w:rsidR="00ED6DF8" w:rsidRPr="003478AF">
        <w:rPr>
          <w:rFonts w:eastAsia="Arial" w:cs="Arial"/>
          <w:szCs w:val="20"/>
        </w:rPr>
        <w:t>Banku Danych L</w:t>
      </w:r>
      <w:r w:rsidRPr="003478AF">
        <w:rPr>
          <w:rFonts w:eastAsia="Arial" w:cs="Arial"/>
          <w:szCs w:val="20"/>
        </w:rPr>
        <w:t xml:space="preserve">okalnych </w:t>
      </w:r>
      <w:r w:rsidR="00ED6DF8" w:rsidRPr="003478AF">
        <w:rPr>
          <w:rFonts w:eastAsia="Arial" w:cs="Arial"/>
          <w:szCs w:val="20"/>
        </w:rPr>
        <w:t>GUS (BDL)</w:t>
      </w:r>
      <w:r w:rsidRPr="003478AF">
        <w:rPr>
          <w:rFonts w:eastAsia="Arial" w:cs="Arial"/>
          <w:szCs w:val="20"/>
        </w:rPr>
        <w:t>.</w:t>
      </w:r>
      <w:r w:rsidR="001C16D6" w:rsidRPr="003478AF">
        <w:rPr>
          <w:rFonts w:eastAsia="Arial" w:cs="Arial"/>
          <w:szCs w:val="20"/>
        </w:rPr>
        <w:t xml:space="preserve"> </w:t>
      </w:r>
    </w:p>
    <w:p w14:paraId="7039715A" w14:textId="214C0C16" w:rsidR="005F43F3" w:rsidRPr="003478AF" w:rsidRDefault="005F43F3" w:rsidP="005F43F3">
      <w:pPr>
        <w:rPr>
          <w:rFonts w:eastAsia="Arial" w:cs="Arial"/>
          <w:szCs w:val="20"/>
        </w:rPr>
      </w:pPr>
      <w:r w:rsidRPr="003478AF">
        <w:rPr>
          <w:rFonts w:eastAsia="Arial" w:cs="Arial"/>
          <w:szCs w:val="20"/>
        </w:rPr>
        <w:t>Monitoring powyżej zebranych dokumentów</w:t>
      </w:r>
      <w:r w:rsidR="001C16D6" w:rsidRPr="003478AF">
        <w:rPr>
          <w:rFonts w:eastAsia="Arial" w:cs="Arial"/>
          <w:szCs w:val="20"/>
        </w:rPr>
        <w:t xml:space="preserve"> </w:t>
      </w:r>
      <w:r w:rsidRPr="003478AF">
        <w:rPr>
          <w:rFonts w:eastAsia="Arial" w:cs="Arial"/>
          <w:szCs w:val="20"/>
        </w:rPr>
        <w:t xml:space="preserve">strategicznych na poziomie krajowym </w:t>
      </w:r>
      <w:r w:rsidR="007C14CB" w:rsidRPr="003478AF">
        <w:rPr>
          <w:rFonts w:eastAsia="Arial" w:cs="Arial"/>
          <w:szCs w:val="20"/>
        </w:rPr>
        <w:br/>
      </w:r>
      <w:r w:rsidRPr="003478AF">
        <w:rPr>
          <w:rFonts w:eastAsia="Arial" w:cs="Arial"/>
          <w:szCs w:val="20"/>
        </w:rPr>
        <w:t>i region</w:t>
      </w:r>
      <w:r w:rsidR="00ED6DF8" w:rsidRPr="003478AF">
        <w:rPr>
          <w:rFonts w:eastAsia="Arial" w:cs="Arial"/>
          <w:szCs w:val="20"/>
        </w:rPr>
        <w:t>alnym</w:t>
      </w:r>
      <w:r w:rsidR="001C16D6" w:rsidRPr="003478AF">
        <w:rPr>
          <w:rFonts w:eastAsia="Arial" w:cs="Arial"/>
          <w:szCs w:val="20"/>
        </w:rPr>
        <w:t xml:space="preserve"> </w:t>
      </w:r>
      <w:r w:rsidRPr="003478AF">
        <w:rPr>
          <w:rFonts w:eastAsia="Arial" w:cs="Arial"/>
          <w:szCs w:val="20"/>
        </w:rPr>
        <w:t>uwzględnia wskaźniki publikowane przede wszystki</w:t>
      </w:r>
      <w:r w:rsidR="00920E4C" w:rsidRPr="003478AF">
        <w:rPr>
          <w:rFonts w:eastAsia="Arial" w:cs="Arial"/>
          <w:szCs w:val="20"/>
        </w:rPr>
        <w:t xml:space="preserve">m </w:t>
      </w:r>
      <w:r w:rsidR="00ED6DF8" w:rsidRPr="003478AF">
        <w:rPr>
          <w:rFonts w:eastAsia="Arial" w:cs="Arial"/>
          <w:szCs w:val="20"/>
        </w:rPr>
        <w:t>przez</w:t>
      </w:r>
      <w:r w:rsidRPr="003478AF">
        <w:rPr>
          <w:rFonts w:eastAsia="Arial" w:cs="Arial"/>
          <w:szCs w:val="20"/>
        </w:rPr>
        <w:t xml:space="preserve"> GUS. </w:t>
      </w:r>
      <w:r w:rsidR="007C14CB" w:rsidRPr="003478AF">
        <w:rPr>
          <w:rFonts w:eastAsia="Arial" w:cs="Arial"/>
          <w:szCs w:val="20"/>
        </w:rPr>
        <w:br/>
      </w:r>
      <w:r w:rsidRPr="003478AF">
        <w:rPr>
          <w:rFonts w:eastAsia="Arial" w:cs="Arial"/>
          <w:szCs w:val="20"/>
        </w:rPr>
        <w:t xml:space="preserve">W </w:t>
      </w:r>
      <w:r w:rsidR="00ED6DF8" w:rsidRPr="003478AF">
        <w:rPr>
          <w:rFonts w:eastAsia="Arial" w:cs="Arial"/>
          <w:szCs w:val="20"/>
        </w:rPr>
        <w:t>WRPO</w:t>
      </w:r>
      <w:r w:rsidR="00B80EA3" w:rsidRPr="003478AF">
        <w:rPr>
          <w:rFonts w:eastAsia="Arial" w:cs="Arial"/>
          <w:szCs w:val="20"/>
        </w:rPr>
        <w:t xml:space="preserve"> </w:t>
      </w:r>
      <w:r w:rsidR="00ED6DF8" w:rsidRPr="003478AF">
        <w:rPr>
          <w:rFonts w:eastAsia="Arial" w:cs="Arial"/>
          <w:szCs w:val="20"/>
        </w:rPr>
        <w:t xml:space="preserve">rolę tę spełnia </w:t>
      </w:r>
      <w:r w:rsidRPr="003478AF">
        <w:rPr>
          <w:rFonts w:eastAsia="Arial" w:cs="Arial"/>
          <w:szCs w:val="20"/>
        </w:rPr>
        <w:t>monitoring projektów, które otrzymały wsparcie</w:t>
      </w:r>
      <w:r w:rsidR="00ED6DF8" w:rsidRPr="003478AF">
        <w:rPr>
          <w:rFonts w:eastAsia="Arial" w:cs="Arial"/>
          <w:szCs w:val="20"/>
        </w:rPr>
        <w:t xml:space="preserve"> ze środków UE</w:t>
      </w:r>
      <w:r w:rsidRPr="003478AF">
        <w:rPr>
          <w:rFonts w:eastAsia="Arial" w:cs="Arial"/>
          <w:szCs w:val="20"/>
        </w:rPr>
        <w:t>. Zda</w:t>
      </w:r>
      <w:r w:rsidR="00696361" w:rsidRPr="003478AF">
        <w:rPr>
          <w:rFonts w:eastAsia="Arial" w:cs="Arial"/>
          <w:szCs w:val="20"/>
        </w:rPr>
        <w:t>rz</w:t>
      </w:r>
      <w:r w:rsidRPr="003478AF">
        <w:rPr>
          <w:rFonts w:eastAsia="Arial" w:cs="Arial"/>
          <w:szCs w:val="20"/>
        </w:rPr>
        <w:t>a się również, iż są one w</w:t>
      </w:r>
      <w:r w:rsidR="00696361" w:rsidRPr="003478AF">
        <w:rPr>
          <w:rFonts w:eastAsia="Arial" w:cs="Arial"/>
          <w:szCs w:val="20"/>
        </w:rPr>
        <w:t>y</w:t>
      </w:r>
      <w:r w:rsidRPr="003478AF">
        <w:rPr>
          <w:rFonts w:eastAsia="Arial" w:cs="Arial"/>
          <w:szCs w:val="20"/>
        </w:rPr>
        <w:t>nikiem różn</w:t>
      </w:r>
      <w:r w:rsidR="00ED6DF8" w:rsidRPr="003478AF">
        <w:rPr>
          <w:rFonts w:eastAsia="Arial" w:cs="Arial"/>
          <w:szCs w:val="20"/>
        </w:rPr>
        <w:t>ego rodzaju</w:t>
      </w:r>
      <w:r w:rsidR="001C16D6" w:rsidRPr="003478AF">
        <w:rPr>
          <w:rFonts w:eastAsia="Arial" w:cs="Arial"/>
          <w:szCs w:val="20"/>
        </w:rPr>
        <w:t xml:space="preserve"> </w:t>
      </w:r>
      <w:r w:rsidR="00ED6DF8" w:rsidRPr="003478AF">
        <w:rPr>
          <w:rFonts w:eastAsia="Arial" w:cs="Arial"/>
          <w:szCs w:val="20"/>
        </w:rPr>
        <w:t xml:space="preserve">analiz, </w:t>
      </w:r>
      <w:r w:rsidRPr="003478AF">
        <w:rPr>
          <w:rFonts w:eastAsia="Arial" w:cs="Arial"/>
          <w:szCs w:val="20"/>
        </w:rPr>
        <w:t>raportów</w:t>
      </w:r>
      <w:r w:rsidR="001C16D6" w:rsidRPr="003478AF">
        <w:rPr>
          <w:rFonts w:eastAsia="Arial" w:cs="Arial"/>
          <w:szCs w:val="20"/>
        </w:rPr>
        <w:t xml:space="preserve"> </w:t>
      </w:r>
      <w:r w:rsidRPr="003478AF">
        <w:rPr>
          <w:rFonts w:eastAsia="Arial" w:cs="Arial"/>
          <w:szCs w:val="20"/>
        </w:rPr>
        <w:t>i sprawozdań.</w:t>
      </w:r>
      <w:r w:rsidR="001C16D6" w:rsidRPr="003478AF">
        <w:rPr>
          <w:rFonts w:eastAsia="Arial" w:cs="Arial"/>
          <w:szCs w:val="20"/>
        </w:rPr>
        <w:t xml:space="preserve"> </w:t>
      </w:r>
    </w:p>
    <w:p w14:paraId="66BE8972" w14:textId="0502D4B7" w:rsidR="005F43F3" w:rsidRPr="003478AF" w:rsidRDefault="005F43F3" w:rsidP="005F43F3">
      <w:pPr>
        <w:rPr>
          <w:rFonts w:eastAsia="Arial" w:cs="Arial"/>
          <w:szCs w:val="20"/>
        </w:rPr>
      </w:pPr>
      <w:r w:rsidRPr="003478AF">
        <w:rPr>
          <w:rFonts w:eastAsia="Arial" w:cs="Arial"/>
          <w:szCs w:val="20"/>
        </w:rPr>
        <w:t>Monitoring realizowany</w:t>
      </w:r>
      <w:r w:rsidR="001C16D6" w:rsidRPr="003478AF">
        <w:rPr>
          <w:rFonts w:eastAsia="Arial" w:cs="Arial"/>
          <w:szCs w:val="20"/>
        </w:rPr>
        <w:t xml:space="preserve"> </w:t>
      </w:r>
      <w:r w:rsidRPr="003478AF">
        <w:rPr>
          <w:rFonts w:eastAsia="Arial" w:cs="Arial"/>
          <w:szCs w:val="20"/>
        </w:rPr>
        <w:t>jest</w:t>
      </w:r>
      <w:r w:rsidR="001C16D6" w:rsidRPr="003478AF">
        <w:rPr>
          <w:rFonts w:eastAsia="Arial" w:cs="Arial"/>
          <w:szCs w:val="20"/>
        </w:rPr>
        <w:t xml:space="preserve"> </w:t>
      </w:r>
      <w:r w:rsidRPr="003478AF">
        <w:rPr>
          <w:rFonts w:eastAsia="Arial" w:cs="Arial"/>
          <w:szCs w:val="20"/>
        </w:rPr>
        <w:t>za</w:t>
      </w:r>
      <w:r w:rsidR="001C16D6" w:rsidRPr="003478AF">
        <w:rPr>
          <w:rFonts w:eastAsia="Arial" w:cs="Arial"/>
          <w:szCs w:val="20"/>
        </w:rPr>
        <w:t xml:space="preserve"> </w:t>
      </w:r>
      <w:r w:rsidRPr="003478AF">
        <w:rPr>
          <w:rFonts w:eastAsia="Arial" w:cs="Arial"/>
          <w:szCs w:val="20"/>
        </w:rPr>
        <w:t>pomocą</w:t>
      </w:r>
      <w:r w:rsidR="001C16D6" w:rsidRPr="003478AF">
        <w:rPr>
          <w:rFonts w:eastAsia="Arial" w:cs="Arial"/>
          <w:szCs w:val="20"/>
        </w:rPr>
        <w:t xml:space="preserve"> </w:t>
      </w:r>
      <w:r w:rsidRPr="003478AF">
        <w:rPr>
          <w:rFonts w:eastAsia="Arial" w:cs="Arial"/>
          <w:szCs w:val="20"/>
        </w:rPr>
        <w:t>dwóch mechanizmów:</w:t>
      </w:r>
      <w:r w:rsidR="001C16D6" w:rsidRPr="003478AF">
        <w:rPr>
          <w:rFonts w:eastAsia="Arial" w:cs="Arial"/>
          <w:szCs w:val="20"/>
        </w:rPr>
        <w:t xml:space="preserve"> </w:t>
      </w:r>
      <w:r w:rsidRPr="003478AF">
        <w:rPr>
          <w:rFonts w:eastAsia="Arial" w:cs="Arial"/>
          <w:szCs w:val="20"/>
        </w:rPr>
        <w:t>współzarządzania</w:t>
      </w:r>
      <w:r w:rsidR="001C16D6" w:rsidRPr="003478AF">
        <w:rPr>
          <w:rFonts w:eastAsia="Arial" w:cs="Arial"/>
          <w:szCs w:val="20"/>
        </w:rPr>
        <w:t xml:space="preserve"> </w:t>
      </w:r>
      <w:r w:rsidR="00075829" w:rsidRPr="003478AF">
        <w:rPr>
          <w:rFonts w:eastAsia="Arial" w:cs="Arial"/>
          <w:szCs w:val="20"/>
        </w:rPr>
        <w:br/>
      </w:r>
      <w:r w:rsidRPr="003478AF">
        <w:rPr>
          <w:rFonts w:eastAsia="Arial" w:cs="Arial"/>
          <w:szCs w:val="20"/>
        </w:rPr>
        <w:t>(tj.</w:t>
      </w:r>
      <w:r w:rsidR="001C16D6" w:rsidRPr="003478AF">
        <w:rPr>
          <w:rFonts w:eastAsia="Arial" w:cs="Arial"/>
          <w:szCs w:val="20"/>
        </w:rPr>
        <w:t xml:space="preserve"> </w:t>
      </w:r>
      <w:r w:rsidRPr="003478AF">
        <w:rPr>
          <w:rFonts w:eastAsia="Arial" w:cs="Arial"/>
          <w:szCs w:val="20"/>
        </w:rPr>
        <w:t>monitoring</w:t>
      </w:r>
      <w:r w:rsidR="001C16D6" w:rsidRPr="003478AF">
        <w:rPr>
          <w:rFonts w:eastAsia="Arial" w:cs="Arial"/>
          <w:szCs w:val="20"/>
        </w:rPr>
        <w:t xml:space="preserve"> </w:t>
      </w:r>
      <w:r w:rsidRPr="003478AF">
        <w:rPr>
          <w:rFonts w:eastAsia="Arial" w:cs="Arial"/>
          <w:szCs w:val="20"/>
        </w:rPr>
        <w:t>partycypacyjny</w:t>
      </w:r>
      <w:r w:rsidR="001C16D6" w:rsidRPr="003478AF">
        <w:rPr>
          <w:rFonts w:eastAsia="Arial" w:cs="Arial"/>
          <w:szCs w:val="20"/>
        </w:rPr>
        <w:t xml:space="preserve"> </w:t>
      </w:r>
      <w:r w:rsidRPr="003478AF">
        <w:rPr>
          <w:rFonts w:eastAsia="Arial" w:cs="Arial"/>
          <w:szCs w:val="20"/>
        </w:rPr>
        <w:t>–</w:t>
      </w:r>
      <w:r w:rsidR="001C16D6" w:rsidRPr="003478AF">
        <w:rPr>
          <w:rFonts w:eastAsia="Arial" w:cs="Arial"/>
          <w:szCs w:val="20"/>
        </w:rPr>
        <w:t xml:space="preserve"> </w:t>
      </w:r>
      <w:r w:rsidRPr="003478AF">
        <w:rPr>
          <w:rFonts w:eastAsia="Arial" w:cs="Arial"/>
          <w:szCs w:val="20"/>
        </w:rPr>
        <w:t>identyfikacja</w:t>
      </w:r>
      <w:r w:rsidR="001C16D6" w:rsidRPr="003478AF">
        <w:rPr>
          <w:rFonts w:eastAsia="Arial" w:cs="Arial"/>
          <w:szCs w:val="20"/>
        </w:rPr>
        <w:t xml:space="preserve"> </w:t>
      </w:r>
      <w:r w:rsidRPr="003478AF">
        <w:rPr>
          <w:rFonts w:eastAsia="Arial" w:cs="Arial"/>
          <w:szCs w:val="20"/>
        </w:rPr>
        <w:t>zjawisk</w:t>
      </w:r>
      <w:r w:rsidR="001C16D6" w:rsidRPr="003478AF">
        <w:rPr>
          <w:rFonts w:eastAsia="Arial" w:cs="Arial"/>
          <w:szCs w:val="20"/>
        </w:rPr>
        <w:t xml:space="preserve"> </w:t>
      </w:r>
      <w:r w:rsidRPr="003478AF">
        <w:rPr>
          <w:rFonts w:eastAsia="Arial" w:cs="Arial"/>
          <w:szCs w:val="20"/>
        </w:rPr>
        <w:t xml:space="preserve">i problemów społeczno-gospodarczych oraz ich skali, dokonana w trakcie współpracy czy dialogu) oraz badań i analiz </w:t>
      </w:r>
      <w:r w:rsidR="00075829" w:rsidRPr="003478AF">
        <w:rPr>
          <w:rFonts w:eastAsia="Arial" w:cs="Arial"/>
          <w:szCs w:val="20"/>
        </w:rPr>
        <w:br/>
      </w:r>
      <w:r w:rsidRPr="003478AF">
        <w:rPr>
          <w:rFonts w:eastAsia="Arial" w:cs="Arial"/>
          <w:szCs w:val="20"/>
        </w:rPr>
        <w:t>z</w:t>
      </w:r>
      <w:r w:rsidR="001C16D6" w:rsidRPr="003478AF">
        <w:rPr>
          <w:rFonts w:eastAsia="Arial" w:cs="Arial"/>
          <w:szCs w:val="20"/>
        </w:rPr>
        <w:t xml:space="preserve"> </w:t>
      </w:r>
      <w:r w:rsidRPr="003478AF">
        <w:rPr>
          <w:rFonts w:eastAsia="Arial" w:cs="Arial"/>
          <w:szCs w:val="20"/>
        </w:rPr>
        <w:t>wykorzystaniem</w:t>
      </w:r>
      <w:r w:rsidR="001C16D6" w:rsidRPr="003478AF">
        <w:rPr>
          <w:rFonts w:eastAsia="Arial" w:cs="Arial"/>
          <w:szCs w:val="20"/>
        </w:rPr>
        <w:t xml:space="preserve"> </w:t>
      </w:r>
      <w:r w:rsidRPr="003478AF">
        <w:rPr>
          <w:rFonts w:eastAsia="Arial" w:cs="Arial"/>
          <w:szCs w:val="20"/>
        </w:rPr>
        <w:t>danych</w:t>
      </w:r>
      <w:r w:rsidR="001C16D6" w:rsidRPr="003478AF">
        <w:rPr>
          <w:rFonts w:eastAsia="Arial" w:cs="Arial"/>
          <w:szCs w:val="20"/>
        </w:rPr>
        <w:t xml:space="preserve"> </w:t>
      </w:r>
      <w:r w:rsidRPr="003478AF">
        <w:rPr>
          <w:rFonts w:eastAsia="Arial" w:cs="Arial"/>
          <w:szCs w:val="20"/>
        </w:rPr>
        <w:t>zastanych</w:t>
      </w:r>
      <w:r w:rsidR="001C16D6" w:rsidRPr="003478AF">
        <w:rPr>
          <w:rFonts w:eastAsia="Arial" w:cs="Arial"/>
          <w:szCs w:val="20"/>
        </w:rPr>
        <w:t xml:space="preserve"> </w:t>
      </w:r>
      <w:r w:rsidRPr="003478AF">
        <w:rPr>
          <w:rFonts w:eastAsia="Arial" w:cs="Arial"/>
          <w:szCs w:val="20"/>
        </w:rPr>
        <w:t>(m.in.</w:t>
      </w:r>
      <w:r w:rsidR="001C16D6" w:rsidRPr="003478AF">
        <w:rPr>
          <w:rFonts w:eastAsia="Arial" w:cs="Arial"/>
          <w:szCs w:val="20"/>
        </w:rPr>
        <w:t xml:space="preserve"> </w:t>
      </w:r>
      <w:r w:rsidRPr="003478AF">
        <w:rPr>
          <w:rFonts w:eastAsia="Arial" w:cs="Arial"/>
          <w:szCs w:val="20"/>
        </w:rPr>
        <w:t>statystyki</w:t>
      </w:r>
      <w:r w:rsidR="001C16D6" w:rsidRPr="003478AF">
        <w:rPr>
          <w:rFonts w:eastAsia="Arial" w:cs="Arial"/>
          <w:szCs w:val="20"/>
        </w:rPr>
        <w:t xml:space="preserve"> </w:t>
      </w:r>
      <w:r w:rsidRPr="003478AF">
        <w:rPr>
          <w:rFonts w:eastAsia="Arial" w:cs="Arial"/>
          <w:szCs w:val="20"/>
        </w:rPr>
        <w:t xml:space="preserve">publicznej). </w:t>
      </w:r>
    </w:p>
    <w:p w14:paraId="374452A7" w14:textId="0BED7BEB" w:rsidR="00AB76B2" w:rsidRPr="003478AF" w:rsidRDefault="00206B83" w:rsidP="005568F9">
      <w:pPr>
        <w:rPr>
          <w:rFonts w:eastAsia="Arial" w:cs="Arial"/>
          <w:szCs w:val="20"/>
        </w:rPr>
      </w:pPr>
      <w:r w:rsidRPr="003478AF">
        <w:rPr>
          <w:rFonts w:eastAsia="Arial" w:cs="Arial"/>
          <w:szCs w:val="20"/>
        </w:rPr>
        <w:t xml:space="preserve">W </w:t>
      </w:r>
      <w:r w:rsidR="005F43F3" w:rsidRPr="003478AF">
        <w:rPr>
          <w:rFonts w:eastAsia="Arial" w:cs="Arial"/>
          <w:szCs w:val="20"/>
        </w:rPr>
        <w:t>oparciu o omówio</w:t>
      </w:r>
      <w:r w:rsidR="001C16D6" w:rsidRPr="003478AF">
        <w:rPr>
          <w:rFonts w:eastAsia="Arial" w:cs="Arial"/>
          <w:szCs w:val="20"/>
        </w:rPr>
        <w:t>n</w:t>
      </w:r>
      <w:r w:rsidR="005F43F3" w:rsidRPr="003478AF">
        <w:rPr>
          <w:rFonts w:eastAsia="Arial" w:cs="Arial"/>
          <w:szCs w:val="20"/>
        </w:rPr>
        <w:t xml:space="preserve">e dokumenty strategiczne i dane </w:t>
      </w:r>
      <w:r w:rsidR="00ED6DF8" w:rsidRPr="003478AF">
        <w:rPr>
          <w:rFonts w:eastAsia="Arial" w:cs="Arial"/>
          <w:szCs w:val="20"/>
        </w:rPr>
        <w:t xml:space="preserve">publikowane </w:t>
      </w:r>
      <w:r w:rsidR="005F43F3" w:rsidRPr="003478AF">
        <w:rPr>
          <w:rFonts w:eastAsia="Arial" w:cs="Arial"/>
          <w:szCs w:val="20"/>
        </w:rPr>
        <w:t>przez GUS</w:t>
      </w:r>
      <w:r w:rsidRPr="003478AF">
        <w:rPr>
          <w:rFonts w:eastAsia="Arial" w:cs="Arial"/>
          <w:szCs w:val="20"/>
        </w:rPr>
        <w:t xml:space="preserve"> </w:t>
      </w:r>
      <w:r w:rsidRPr="003478AF">
        <w:rPr>
          <w:rFonts w:eastAsia="Arial" w:cs="Arial"/>
          <w:b/>
          <w:bCs/>
          <w:szCs w:val="20"/>
        </w:rPr>
        <w:t>wyróżniono 24 wskaźniki na poziomie województwa wielkopolskiego</w:t>
      </w:r>
      <w:r w:rsidR="006E0391" w:rsidRPr="003478AF">
        <w:rPr>
          <w:rFonts w:eastAsia="Arial" w:cs="Arial"/>
          <w:szCs w:val="20"/>
        </w:rPr>
        <w:t>.</w:t>
      </w:r>
    </w:p>
    <w:p w14:paraId="7EE67874" w14:textId="77777777" w:rsidR="005568F9" w:rsidRPr="003478AF" w:rsidRDefault="005568F9" w:rsidP="005568F9">
      <w:pPr>
        <w:rPr>
          <w:rFonts w:eastAsia="Arial" w:cs="Arial"/>
          <w:szCs w:val="20"/>
        </w:rPr>
      </w:pPr>
    </w:p>
    <w:p w14:paraId="13B02BBF" w14:textId="30B7AC35" w:rsidR="001C16D6" w:rsidRPr="003478AF" w:rsidRDefault="005D34A6" w:rsidP="00986D40">
      <w:pPr>
        <w:pStyle w:val="ARYCINA"/>
      </w:pPr>
      <w:r w:rsidRPr="003478AF">
        <w:t xml:space="preserve">Tab. </w:t>
      </w:r>
      <w:r w:rsidR="00863BE9" w:rsidRPr="003478AF">
        <w:rPr>
          <w:noProof/>
        </w:rPr>
        <w:t>8.3</w:t>
      </w:r>
      <w:r w:rsidR="001C16D6" w:rsidRPr="003478AF">
        <w:t xml:space="preserve"> Wskaźniki </w:t>
      </w:r>
      <w:r w:rsidR="00E659F0" w:rsidRPr="003478AF">
        <w:t xml:space="preserve">GOZ </w:t>
      </w:r>
      <w:r w:rsidR="001C16D6" w:rsidRPr="003478AF">
        <w:t>na poziomie województwa wielkopolskiego</w:t>
      </w:r>
    </w:p>
    <w:tbl>
      <w:tblPr>
        <w:tblStyle w:val="Tabela-Siatka"/>
        <w:tblW w:w="0" w:type="auto"/>
        <w:shd w:val="clear" w:color="auto" w:fill="FFFFFF" w:themeFill="background1"/>
        <w:tblLook w:val="04A0" w:firstRow="1" w:lastRow="0" w:firstColumn="1" w:lastColumn="0" w:noHBand="0" w:noVBand="1"/>
      </w:tblPr>
      <w:tblGrid>
        <w:gridCol w:w="2122"/>
        <w:gridCol w:w="4904"/>
        <w:gridCol w:w="1241"/>
      </w:tblGrid>
      <w:tr w:rsidR="00166B3C" w:rsidRPr="003478AF" w14:paraId="452A6B73" w14:textId="77777777" w:rsidTr="00535900">
        <w:trPr>
          <w:tblHeader/>
        </w:trPr>
        <w:tc>
          <w:tcPr>
            <w:tcW w:w="2122" w:type="dxa"/>
            <w:shd w:val="clear" w:color="auto" w:fill="CCA879"/>
            <w:vAlign w:val="center"/>
          </w:tcPr>
          <w:p w14:paraId="2B048C7E" w14:textId="779C1A63" w:rsidR="00186656" w:rsidRPr="003478AF" w:rsidRDefault="001728FF" w:rsidP="00DF58CA">
            <w:pPr>
              <w:ind w:firstLine="0"/>
              <w:jc w:val="center"/>
              <w:rPr>
                <w:rFonts w:eastAsia="Arial" w:cs="Arial"/>
                <w:b/>
                <w:bCs/>
                <w:sz w:val="18"/>
                <w:szCs w:val="18"/>
              </w:rPr>
            </w:pPr>
            <w:bookmarkStart w:id="69" w:name="_Hlk75837114"/>
            <w:r w:rsidRPr="003478AF">
              <w:rPr>
                <w:rFonts w:eastAsia="Arial" w:cs="Arial"/>
                <w:b/>
                <w:bCs/>
                <w:sz w:val="18"/>
                <w:szCs w:val="18"/>
              </w:rPr>
              <w:t>Obszary</w:t>
            </w:r>
          </w:p>
        </w:tc>
        <w:tc>
          <w:tcPr>
            <w:tcW w:w="4904" w:type="dxa"/>
            <w:shd w:val="clear" w:color="auto" w:fill="CCA879"/>
            <w:vAlign w:val="center"/>
          </w:tcPr>
          <w:p w14:paraId="46A5B189" w14:textId="39CC8F24" w:rsidR="00186656" w:rsidRPr="003478AF" w:rsidRDefault="00186656" w:rsidP="00DF58CA">
            <w:pPr>
              <w:ind w:firstLine="0"/>
              <w:jc w:val="center"/>
              <w:rPr>
                <w:rFonts w:eastAsia="Arial" w:cs="Arial"/>
                <w:b/>
                <w:bCs/>
                <w:sz w:val="18"/>
                <w:szCs w:val="18"/>
              </w:rPr>
            </w:pPr>
            <w:r w:rsidRPr="003478AF">
              <w:rPr>
                <w:rFonts w:eastAsia="Arial" w:cs="Arial"/>
                <w:b/>
                <w:bCs/>
                <w:sz w:val="18"/>
                <w:szCs w:val="18"/>
              </w:rPr>
              <w:t>Wskaźnik</w:t>
            </w:r>
            <w:r w:rsidR="001728FF" w:rsidRPr="003478AF">
              <w:rPr>
                <w:rFonts w:eastAsia="Arial" w:cs="Arial"/>
                <w:b/>
                <w:bCs/>
                <w:sz w:val="18"/>
                <w:szCs w:val="18"/>
              </w:rPr>
              <w:t>i</w:t>
            </w:r>
          </w:p>
        </w:tc>
        <w:tc>
          <w:tcPr>
            <w:tcW w:w="1241" w:type="dxa"/>
            <w:shd w:val="clear" w:color="auto" w:fill="CCA879"/>
            <w:vAlign w:val="center"/>
          </w:tcPr>
          <w:p w14:paraId="5D98ACCF" w14:textId="77777777" w:rsidR="00186656" w:rsidRPr="003478AF" w:rsidRDefault="00186656" w:rsidP="00DF58CA">
            <w:pPr>
              <w:ind w:firstLine="0"/>
              <w:jc w:val="center"/>
              <w:rPr>
                <w:rFonts w:eastAsia="Arial" w:cs="Arial"/>
                <w:b/>
                <w:bCs/>
                <w:sz w:val="18"/>
                <w:szCs w:val="18"/>
              </w:rPr>
            </w:pPr>
            <w:r w:rsidRPr="003478AF">
              <w:rPr>
                <w:rFonts w:eastAsia="Arial" w:cs="Arial"/>
                <w:b/>
                <w:bCs/>
                <w:sz w:val="18"/>
                <w:szCs w:val="18"/>
              </w:rPr>
              <w:t>Jednostka miary</w:t>
            </w:r>
          </w:p>
        </w:tc>
      </w:tr>
      <w:tr w:rsidR="00166B3C" w:rsidRPr="003478AF" w14:paraId="2461E5AD" w14:textId="77777777" w:rsidTr="001B0CB3">
        <w:tc>
          <w:tcPr>
            <w:tcW w:w="2122" w:type="dxa"/>
            <w:vMerge w:val="restart"/>
            <w:shd w:val="clear" w:color="auto" w:fill="FFFFFF" w:themeFill="background1"/>
            <w:vAlign w:val="center"/>
          </w:tcPr>
          <w:p w14:paraId="3E8F73E9" w14:textId="0711BEC6" w:rsidR="00186656" w:rsidRPr="003478AF" w:rsidRDefault="00186656" w:rsidP="00DF58CA">
            <w:pPr>
              <w:ind w:firstLine="0"/>
              <w:jc w:val="left"/>
              <w:rPr>
                <w:rFonts w:eastAsia="Arial" w:cs="Arial"/>
                <w:sz w:val="18"/>
                <w:szCs w:val="18"/>
              </w:rPr>
            </w:pPr>
            <w:r w:rsidRPr="003478AF">
              <w:rPr>
                <w:rFonts w:eastAsia="Arial" w:cs="Arial"/>
                <w:sz w:val="18"/>
                <w:szCs w:val="18"/>
              </w:rPr>
              <w:t xml:space="preserve">Woda i ścieki </w:t>
            </w:r>
          </w:p>
        </w:tc>
        <w:tc>
          <w:tcPr>
            <w:tcW w:w="4904" w:type="dxa"/>
            <w:shd w:val="clear" w:color="auto" w:fill="FFFFFF" w:themeFill="background1"/>
            <w:vAlign w:val="center"/>
          </w:tcPr>
          <w:p w14:paraId="5DFEFFC7" w14:textId="77777777" w:rsidR="00186656" w:rsidRPr="003478AF" w:rsidRDefault="00186656" w:rsidP="00DF58CA">
            <w:pPr>
              <w:ind w:firstLine="0"/>
              <w:jc w:val="left"/>
              <w:rPr>
                <w:rFonts w:eastAsia="Arial" w:cs="Arial"/>
                <w:sz w:val="18"/>
                <w:szCs w:val="18"/>
              </w:rPr>
            </w:pPr>
            <w:r w:rsidRPr="003478AF">
              <w:rPr>
                <w:rFonts w:eastAsia="Arial" w:cs="Arial"/>
                <w:sz w:val="18"/>
                <w:szCs w:val="18"/>
              </w:rPr>
              <w:t>Zużycie wody ogółem</w:t>
            </w:r>
          </w:p>
        </w:tc>
        <w:tc>
          <w:tcPr>
            <w:tcW w:w="1241" w:type="dxa"/>
            <w:shd w:val="clear" w:color="auto" w:fill="FFFFFF" w:themeFill="background1"/>
            <w:vAlign w:val="center"/>
          </w:tcPr>
          <w:p w14:paraId="1AA76F34" w14:textId="3FC4B145" w:rsidR="00186656" w:rsidRPr="003478AF" w:rsidRDefault="00186656" w:rsidP="00DF58CA">
            <w:pPr>
              <w:ind w:firstLine="0"/>
              <w:jc w:val="center"/>
              <w:rPr>
                <w:rFonts w:eastAsia="Arial" w:cs="Arial"/>
                <w:sz w:val="18"/>
                <w:szCs w:val="18"/>
              </w:rPr>
            </w:pPr>
            <w:r w:rsidRPr="003478AF">
              <w:rPr>
                <w:rFonts w:eastAsia="Arial" w:cs="Arial"/>
                <w:sz w:val="18"/>
                <w:szCs w:val="18"/>
              </w:rPr>
              <w:t>hm</w:t>
            </w:r>
            <w:r w:rsidRPr="003478AF">
              <w:rPr>
                <w:rFonts w:eastAsia="Arial" w:cs="Arial"/>
                <w:sz w:val="18"/>
                <w:szCs w:val="18"/>
                <w:vertAlign w:val="superscript"/>
              </w:rPr>
              <w:t>3</w:t>
            </w:r>
          </w:p>
        </w:tc>
      </w:tr>
      <w:tr w:rsidR="00166B3C" w:rsidRPr="003478AF" w14:paraId="5E710B70" w14:textId="77777777" w:rsidTr="001B0CB3">
        <w:tc>
          <w:tcPr>
            <w:tcW w:w="2122" w:type="dxa"/>
            <w:vMerge/>
            <w:shd w:val="clear" w:color="auto" w:fill="FFFFFF" w:themeFill="background1"/>
            <w:vAlign w:val="center"/>
          </w:tcPr>
          <w:p w14:paraId="6495D72D" w14:textId="77777777" w:rsidR="00186656" w:rsidRPr="003478AF" w:rsidRDefault="00186656" w:rsidP="00DF58CA">
            <w:pPr>
              <w:ind w:firstLine="0"/>
              <w:jc w:val="left"/>
              <w:rPr>
                <w:rFonts w:eastAsia="Arial" w:cs="Arial"/>
                <w:sz w:val="18"/>
                <w:szCs w:val="18"/>
              </w:rPr>
            </w:pPr>
          </w:p>
        </w:tc>
        <w:tc>
          <w:tcPr>
            <w:tcW w:w="4904" w:type="dxa"/>
            <w:shd w:val="clear" w:color="auto" w:fill="FFFFFF" w:themeFill="background1"/>
            <w:vAlign w:val="center"/>
          </w:tcPr>
          <w:p w14:paraId="65E06E0C" w14:textId="77777777" w:rsidR="00186656" w:rsidRPr="003478AF" w:rsidRDefault="00186656" w:rsidP="00DF58CA">
            <w:pPr>
              <w:ind w:firstLine="0"/>
              <w:jc w:val="left"/>
              <w:rPr>
                <w:rFonts w:eastAsia="Arial" w:cs="Arial"/>
                <w:sz w:val="18"/>
                <w:szCs w:val="18"/>
              </w:rPr>
            </w:pPr>
            <w:r w:rsidRPr="003478AF">
              <w:rPr>
                <w:rFonts w:eastAsia="Arial" w:cs="Arial"/>
                <w:sz w:val="18"/>
                <w:szCs w:val="18"/>
              </w:rPr>
              <w:t>Zużycie wody z wodociągów w gospodarstwach domowych na 1 mieszkańca</w:t>
            </w:r>
          </w:p>
        </w:tc>
        <w:tc>
          <w:tcPr>
            <w:tcW w:w="1241" w:type="dxa"/>
            <w:shd w:val="clear" w:color="auto" w:fill="FFFFFF" w:themeFill="background1"/>
            <w:vAlign w:val="center"/>
          </w:tcPr>
          <w:p w14:paraId="6DEAA962" w14:textId="77777777" w:rsidR="00186656" w:rsidRPr="003478AF" w:rsidRDefault="00186656" w:rsidP="00DF58CA">
            <w:pPr>
              <w:ind w:firstLine="0"/>
              <w:jc w:val="center"/>
              <w:rPr>
                <w:rFonts w:eastAsia="Arial" w:cs="Arial"/>
                <w:sz w:val="18"/>
                <w:szCs w:val="18"/>
              </w:rPr>
            </w:pPr>
            <w:r w:rsidRPr="003478AF">
              <w:rPr>
                <w:rFonts w:eastAsia="Arial" w:cs="Arial"/>
                <w:sz w:val="18"/>
                <w:szCs w:val="18"/>
              </w:rPr>
              <w:t>m</w:t>
            </w:r>
            <w:r w:rsidRPr="003478AF">
              <w:rPr>
                <w:rFonts w:eastAsia="Arial" w:cs="Arial"/>
                <w:sz w:val="18"/>
                <w:szCs w:val="18"/>
                <w:vertAlign w:val="superscript"/>
              </w:rPr>
              <w:t>3</w:t>
            </w:r>
          </w:p>
        </w:tc>
      </w:tr>
      <w:tr w:rsidR="00166B3C" w:rsidRPr="003478AF" w14:paraId="54D4A428" w14:textId="77777777" w:rsidTr="001B0CB3">
        <w:tc>
          <w:tcPr>
            <w:tcW w:w="2122" w:type="dxa"/>
            <w:vMerge/>
            <w:shd w:val="clear" w:color="auto" w:fill="FFFFFF" w:themeFill="background1"/>
            <w:vAlign w:val="center"/>
          </w:tcPr>
          <w:p w14:paraId="5EF489A6" w14:textId="77777777" w:rsidR="00186656" w:rsidRPr="003478AF" w:rsidRDefault="00186656" w:rsidP="00DF58CA">
            <w:pPr>
              <w:ind w:firstLine="0"/>
              <w:jc w:val="left"/>
              <w:rPr>
                <w:rFonts w:eastAsia="Arial" w:cs="Arial"/>
                <w:sz w:val="18"/>
                <w:szCs w:val="18"/>
              </w:rPr>
            </w:pPr>
          </w:p>
        </w:tc>
        <w:tc>
          <w:tcPr>
            <w:tcW w:w="4904" w:type="dxa"/>
            <w:shd w:val="clear" w:color="auto" w:fill="FFFFFF" w:themeFill="background1"/>
            <w:vAlign w:val="center"/>
          </w:tcPr>
          <w:p w14:paraId="2C500407" w14:textId="6D9BB72C" w:rsidR="00186656" w:rsidRPr="003478AF" w:rsidRDefault="00186656" w:rsidP="00DF58CA">
            <w:pPr>
              <w:ind w:firstLine="0"/>
              <w:jc w:val="left"/>
              <w:rPr>
                <w:rFonts w:eastAsia="Arial" w:cs="Arial"/>
                <w:sz w:val="18"/>
                <w:szCs w:val="18"/>
              </w:rPr>
            </w:pPr>
            <w:r w:rsidRPr="003478AF">
              <w:rPr>
                <w:rFonts w:eastAsia="Arial" w:cs="Arial"/>
                <w:sz w:val="18"/>
                <w:szCs w:val="18"/>
              </w:rPr>
              <w:t>Wodochłonność przemysłu (</w:t>
            </w:r>
            <w:r w:rsidR="00680463" w:rsidRPr="003478AF">
              <w:rPr>
                <w:rFonts w:eastAsia="Arial" w:cs="Arial"/>
                <w:sz w:val="18"/>
                <w:szCs w:val="18"/>
              </w:rPr>
              <w:t>zużyci</w:t>
            </w:r>
            <w:r w:rsidR="00E659F0" w:rsidRPr="003478AF">
              <w:rPr>
                <w:rFonts w:eastAsia="Arial" w:cs="Arial"/>
                <w:sz w:val="18"/>
                <w:szCs w:val="18"/>
              </w:rPr>
              <w:t>e</w:t>
            </w:r>
            <w:r w:rsidRPr="003478AF">
              <w:rPr>
                <w:rFonts w:cs="Arial"/>
                <w:sz w:val="18"/>
                <w:szCs w:val="18"/>
              </w:rPr>
              <w:t xml:space="preserve"> wody na potrzeby przemysłu</w:t>
            </w:r>
            <w:r w:rsidR="00680463" w:rsidRPr="003478AF">
              <w:rPr>
                <w:rFonts w:cs="Arial"/>
                <w:sz w:val="18"/>
                <w:szCs w:val="18"/>
              </w:rPr>
              <w:t xml:space="preserve"> w </w:t>
            </w:r>
            <w:r w:rsidR="00E659F0" w:rsidRPr="003478AF">
              <w:rPr>
                <w:rFonts w:cs="Arial"/>
                <w:sz w:val="18"/>
                <w:szCs w:val="18"/>
              </w:rPr>
              <w:t xml:space="preserve">przeliczeniu na </w:t>
            </w:r>
            <w:r w:rsidRPr="003478AF">
              <w:rPr>
                <w:rFonts w:cs="Arial"/>
                <w:sz w:val="18"/>
                <w:szCs w:val="18"/>
              </w:rPr>
              <w:t>wartoś</w:t>
            </w:r>
            <w:r w:rsidR="00E659F0" w:rsidRPr="003478AF">
              <w:rPr>
                <w:rFonts w:cs="Arial"/>
                <w:sz w:val="18"/>
                <w:szCs w:val="18"/>
              </w:rPr>
              <w:t>ć</w:t>
            </w:r>
            <w:r w:rsidRPr="003478AF">
              <w:rPr>
                <w:rFonts w:cs="Arial"/>
                <w:sz w:val="18"/>
                <w:szCs w:val="18"/>
              </w:rPr>
              <w:t xml:space="preserve"> produkcji sprzedanej</w:t>
            </w:r>
            <w:r w:rsidR="00680463" w:rsidRPr="003478AF">
              <w:rPr>
                <w:rFonts w:cs="Arial"/>
                <w:sz w:val="18"/>
                <w:szCs w:val="18"/>
              </w:rPr>
              <w:t xml:space="preserve"> ogółem</w:t>
            </w:r>
            <w:r w:rsidRPr="003478AF">
              <w:rPr>
                <w:rFonts w:cs="Arial"/>
                <w:sz w:val="18"/>
                <w:szCs w:val="18"/>
              </w:rPr>
              <w:t xml:space="preserve"> przemysłu)</w:t>
            </w:r>
          </w:p>
        </w:tc>
        <w:tc>
          <w:tcPr>
            <w:tcW w:w="1241" w:type="dxa"/>
            <w:shd w:val="clear" w:color="auto" w:fill="FFFFFF" w:themeFill="background1"/>
            <w:vAlign w:val="center"/>
          </w:tcPr>
          <w:p w14:paraId="14B73E10" w14:textId="511AB9A8" w:rsidR="00186656" w:rsidRPr="003478AF" w:rsidRDefault="002E7D99" w:rsidP="00DF58CA">
            <w:pPr>
              <w:ind w:firstLine="0"/>
              <w:jc w:val="center"/>
              <w:rPr>
                <w:rFonts w:eastAsia="Arial" w:cs="Arial"/>
                <w:sz w:val="18"/>
                <w:szCs w:val="18"/>
              </w:rPr>
            </w:pPr>
            <w:r w:rsidRPr="003478AF">
              <w:rPr>
                <w:rFonts w:eastAsia="Arial" w:cs="Arial"/>
                <w:sz w:val="18"/>
                <w:szCs w:val="18"/>
              </w:rPr>
              <w:t>da</w:t>
            </w:r>
            <w:r w:rsidR="00186656" w:rsidRPr="003478AF">
              <w:rPr>
                <w:rFonts w:eastAsia="Arial" w:cs="Arial"/>
                <w:sz w:val="18"/>
                <w:szCs w:val="18"/>
              </w:rPr>
              <w:t>m</w:t>
            </w:r>
            <w:r w:rsidR="00186656" w:rsidRPr="003478AF">
              <w:rPr>
                <w:rFonts w:eastAsia="Arial" w:cs="Arial"/>
                <w:sz w:val="18"/>
                <w:szCs w:val="18"/>
                <w:vertAlign w:val="superscript"/>
              </w:rPr>
              <w:t>3</w:t>
            </w:r>
            <w:r w:rsidR="00186656" w:rsidRPr="003478AF">
              <w:rPr>
                <w:rFonts w:eastAsia="Arial" w:cs="Arial"/>
                <w:sz w:val="18"/>
                <w:szCs w:val="18"/>
              </w:rPr>
              <w:t>/zł</w:t>
            </w:r>
          </w:p>
        </w:tc>
      </w:tr>
      <w:tr w:rsidR="00166B3C" w:rsidRPr="003478AF" w14:paraId="1B1D8ED7" w14:textId="77777777" w:rsidTr="001B0CB3">
        <w:tc>
          <w:tcPr>
            <w:tcW w:w="2122" w:type="dxa"/>
            <w:vMerge/>
            <w:shd w:val="clear" w:color="auto" w:fill="FFFFFF" w:themeFill="background1"/>
            <w:vAlign w:val="center"/>
          </w:tcPr>
          <w:p w14:paraId="5FACDE6E" w14:textId="77777777" w:rsidR="00186656" w:rsidRPr="003478AF" w:rsidRDefault="00186656" w:rsidP="00DF58CA">
            <w:pPr>
              <w:ind w:firstLine="0"/>
              <w:jc w:val="left"/>
              <w:rPr>
                <w:rFonts w:eastAsia="Arial" w:cs="Arial"/>
                <w:sz w:val="18"/>
                <w:szCs w:val="18"/>
              </w:rPr>
            </w:pPr>
          </w:p>
        </w:tc>
        <w:tc>
          <w:tcPr>
            <w:tcW w:w="4904" w:type="dxa"/>
            <w:shd w:val="clear" w:color="auto" w:fill="FFFFFF" w:themeFill="background1"/>
            <w:vAlign w:val="center"/>
          </w:tcPr>
          <w:p w14:paraId="347622DF" w14:textId="1409A34B" w:rsidR="00186656" w:rsidRPr="003478AF" w:rsidRDefault="00186656" w:rsidP="00DF58CA">
            <w:pPr>
              <w:ind w:firstLine="0"/>
              <w:jc w:val="left"/>
              <w:rPr>
                <w:rFonts w:eastAsia="Arial" w:cs="Arial"/>
                <w:sz w:val="18"/>
                <w:szCs w:val="18"/>
              </w:rPr>
            </w:pPr>
            <w:r w:rsidRPr="003478AF">
              <w:rPr>
                <w:rFonts w:eastAsia="Arial" w:cs="Arial"/>
                <w:sz w:val="18"/>
                <w:szCs w:val="18"/>
              </w:rPr>
              <w:t>Wodochłonność gospodarki (</w:t>
            </w:r>
            <w:r w:rsidRPr="003478AF">
              <w:rPr>
                <w:rFonts w:cs="Arial"/>
                <w:sz w:val="18"/>
                <w:szCs w:val="18"/>
              </w:rPr>
              <w:t>zużyci</w:t>
            </w:r>
            <w:r w:rsidR="00E659F0" w:rsidRPr="003478AF">
              <w:rPr>
                <w:rFonts w:cs="Arial"/>
                <w:sz w:val="18"/>
                <w:szCs w:val="18"/>
              </w:rPr>
              <w:t>e</w:t>
            </w:r>
            <w:r w:rsidRPr="003478AF">
              <w:rPr>
                <w:rFonts w:cs="Arial"/>
                <w:sz w:val="18"/>
                <w:szCs w:val="18"/>
              </w:rPr>
              <w:t xml:space="preserve"> wody na potrzeby gospodarki narodowej </w:t>
            </w:r>
            <w:r w:rsidR="00C63B1E" w:rsidRPr="003478AF">
              <w:rPr>
                <w:rFonts w:cs="Arial"/>
                <w:sz w:val="18"/>
                <w:szCs w:val="18"/>
              </w:rPr>
              <w:t>i</w:t>
            </w:r>
            <w:r w:rsidRPr="003478AF">
              <w:rPr>
                <w:rFonts w:cs="Arial"/>
                <w:sz w:val="18"/>
                <w:szCs w:val="18"/>
              </w:rPr>
              <w:t xml:space="preserve"> ludności</w:t>
            </w:r>
            <w:r w:rsidR="00E659F0" w:rsidRPr="003478AF">
              <w:rPr>
                <w:rFonts w:cs="Arial"/>
                <w:sz w:val="18"/>
                <w:szCs w:val="18"/>
              </w:rPr>
              <w:t xml:space="preserve"> w przeliczeniu na wartość </w:t>
            </w:r>
            <w:r w:rsidRPr="003478AF">
              <w:rPr>
                <w:rFonts w:cs="Arial"/>
                <w:sz w:val="18"/>
                <w:szCs w:val="18"/>
              </w:rPr>
              <w:t>PKB)</w:t>
            </w:r>
          </w:p>
        </w:tc>
        <w:tc>
          <w:tcPr>
            <w:tcW w:w="1241" w:type="dxa"/>
            <w:shd w:val="clear" w:color="auto" w:fill="FFFFFF" w:themeFill="background1"/>
            <w:vAlign w:val="center"/>
          </w:tcPr>
          <w:p w14:paraId="33248560" w14:textId="52B6370A" w:rsidR="00186656" w:rsidRPr="003478AF" w:rsidRDefault="00186656" w:rsidP="00DF58CA">
            <w:pPr>
              <w:ind w:firstLine="0"/>
              <w:jc w:val="center"/>
              <w:rPr>
                <w:rFonts w:eastAsia="Arial" w:cs="Arial"/>
                <w:sz w:val="18"/>
                <w:szCs w:val="18"/>
              </w:rPr>
            </w:pPr>
            <w:r w:rsidRPr="003478AF">
              <w:rPr>
                <w:rFonts w:eastAsia="Arial" w:cs="Arial"/>
                <w:sz w:val="18"/>
                <w:szCs w:val="18"/>
              </w:rPr>
              <w:t>dam</w:t>
            </w:r>
            <w:r w:rsidRPr="003478AF">
              <w:rPr>
                <w:rFonts w:eastAsia="Arial" w:cs="Arial"/>
                <w:sz w:val="18"/>
                <w:szCs w:val="18"/>
                <w:vertAlign w:val="superscript"/>
              </w:rPr>
              <w:t>3</w:t>
            </w:r>
            <w:r w:rsidRPr="003478AF">
              <w:rPr>
                <w:rFonts w:eastAsia="Arial" w:cs="Arial"/>
                <w:sz w:val="18"/>
                <w:szCs w:val="18"/>
              </w:rPr>
              <w:t>/zł</w:t>
            </w:r>
          </w:p>
        </w:tc>
      </w:tr>
      <w:tr w:rsidR="00166B3C" w:rsidRPr="003478AF" w14:paraId="454640A3" w14:textId="77777777" w:rsidTr="001B0CB3">
        <w:tc>
          <w:tcPr>
            <w:tcW w:w="2122" w:type="dxa"/>
            <w:vMerge/>
            <w:shd w:val="clear" w:color="auto" w:fill="FFFFFF" w:themeFill="background1"/>
            <w:vAlign w:val="center"/>
          </w:tcPr>
          <w:p w14:paraId="3378B1F6" w14:textId="77777777" w:rsidR="00186656" w:rsidRPr="003478AF" w:rsidRDefault="00186656" w:rsidP="00DF58CA">
            <w:pPr>
              <w:ind w:firstLine="0"/>
              <w:jc w:val="left"/>
              <w:rPr>
                <w:rFonts w:eastAsia="Arial" w:cs="Arial"/>
                <w:sz w:val="18"/>
                <w:szCs w:val="18"/>
              </w:rPr>
            </w:pPr>
          </w:p>
        </w:tc>
        <w:tc>
          <w:tcPr>
            <w:tcW w:w="4904" w:type="dxa"/>
            <w:shd w:val="clear" w:color="auto" w:fill="FFFFFF" w:themeFill="background1"/>
            <w:vAlign w:val="center"/>
          </w:tcPr>
          <w:p w14:paraId="365220EB" w14:textId="31DBE477" w:rsidR="00186656" w:rsidRPr="003478AF" w:rsidRDefault="00186656" w:rsidP="00DF58CA">
            <w:pPr>
              <w:ind w:firstLine="0"/>
              <w:jc w:val="left"/>
              <w:rPr>
                <w:rFonts w:eastAsia="Arial" w:cs="Arial"/>
                <w:sz w:val="18"/>
                <w:szCs w:val="18"/>
              </w:rPr>
            </w:pPr>
            <w:r w:rsidRPr="003478AF">
              <w:rPr>
                <w:rFonts w:eastAsia="Arial" w:cs="Arial"/>
                <w:sz w:val="18"/>
                <w:szCs w:val="18"/>
              </w:rPr>
              <w:t xml:space="preserve">Wodochłonność gospodarstw domowych </w:t>
            </w:r>
            <w:r w:rsidRPr="003478AF">
              <w:rPr>
                <w:rFonts w:cs="Arial"/>
                <w:sz w:val="18"/>
                <w:szCs w:val="18"/>
              </w:rPr>
              <w:t>(zuży</w:t>
            </w:r>
            <w:r w:rsidR="00680463" w:rsidRPr="003478AF">
              <w:rPr>
                <w:rFonts w:cs="Arial"/>
                <w:sz w:val="18"/>
                <w:szCs w:val="18"/>
              </w:rPr>
              <w:t>t</w:t>
            </w:r>
            <w:r w:rsidR="00E659F0" w:rsidRPr="003478AF">
              <w:rPr>
                <w:rFonts w:cs="Arial"/>
                <w:sz w:val="18"/>
                <w:szCs w:val="18"/>
              </w:rPr>
              <w:t>a woda</w:t>
            </w:r>
            <w:r w:rsidRPr="003478AF">
              <w:rPr>
                <w:rFonts w:cs="Arial"/>
                <w:sz w:val="18"/>
                <w:szCs w:val="18"/>
              </w:rPr>
              <w:t xml:space="preserve"> z wodociągów w gospodarstwach domowych</w:t>
            </w:r>
            <w:r w:rsidR="00680463" w:rsidRPr="003478AF">
              <w:rPr>
                <w:rFonts w:cs="Arial"/>
                <w:sz w:val="18"/>
                <w:szCs w:val="18"/>
              </w:rPr>
              <w:t xml:space="preserve"> w </w:t>
            </w:r>
            <w:r w:rsidR="00E659F0" w:rsidRPr="003478AF">
              <w:rPr>
                <w:rFonts w:cs="Arial"/>
                <w:sz w:val="18"/>
                <w:szCs w:val="18"/>
              </w:rPr>
              <w:t xml:space="preserve">odniesieniu do </w:t>
            </w:r>
            <w:r w:rsidRPr="003478AF">
              <w:rPr>
                <w:rFonts w:cs="Arial"/>
                <w:sz w:val="18"/>
                <w:szCs w:val="18"/>
              </w:rPr>
              <w:t>wartoś</w:t>
            </w:r>
            <w:r w:rsidR="00E659F0" w:rsidRPr="003478AF">
              <w:rPr>
                <w:rFonts w:cs="Arial"/>
                <w:sz w:val="18"/>
                <w:szCs w:val="18"/>
              </w:rPr>
              <w:t>ci</w:t>
            </w:r>
            <w:r w:rsidR="00680463" w:rsidRPr="003478AF">
              <w:rPr>
                <w:rFonts w:cs="Arial"/>
                <w:sz w:val="18"/>
                <w:szCs w:val="18"/>
              </w:rPr>
              <w:t xml:space="preserve"> </w:t>
            </w:r>
            <w:r w:rsidRPr="003478AF">
              <w:rPr>
                <w:rFonts w:cs="Arial"/>
                <w:sz w:val="18"/>
                <w:szCs w:val="18"/>
              </w:rPr>
              <w:t>dodan</w:t>
            </w:r>
            <w:r w:rsidR="00E659F0" w:rsidRPr="003478AF">
              <w:rPr>
                <w:rFonts w:cs="Arial"/>
                <w:sz w:val="18"/>
                <w:szCs w:val="18"/>
              </w:rPr>
              <w:t xml:space="preserve">ej </w:t>
            </w:r>
            <w:r w:rsidRPr="003478AF">
              <w:rPr>
                <w:rFonts w:cs="Arial"/>
                <w:sz w:val="18"/>
                <w:szCs w:val="18"/>
              </w:rPr>
              <w:t>brutto gospodarstw domowych)</w:t>
            </w:r>
          </w:p>
        </w:tc>
        <w:tc>
          <w:tcPr>
            <w:tcW w:w="1241" w:type="dxa"/>
            <w:shd w:val="clear" w:color="auto" w:fill="FFFFFF" w:themeFill="background1"/>
            <w:vAlign w:val="center"/>
          </w:tcPr>
          <w:p w14:paraId="07C5AB38" w14:textId="0F2A4C64" w:rsidR="00186656" w:rsidRPr="003478AF" w:rsidRDefault="002E7D99" w:rsidP="00DF58CA">
            <w:pPr>
              <w:ind w:firstLine="0"/>
              <w:jc w:val="center"/>
              <w:rPr>
                <w:rFonts w:eastAsia="Arial" w:cs="Arial"/>
                <w:sz w:val="18"/>
                <w:szCs w:val="18"/>
              </w:rPr>
            </w:pPr>
            <w:r w:rsidRPr="003478AF">
              <w:rPr>
                <w:rFonts w:eastAsia="Arial" w:cs="Arial"/>
                <w:sz w:val="18"/>
                <w:szCs w:val="18"/>
              </w:rPr>
              <w:t>da</w:t>
            </w:r>
            <w:r w:rsidR="00186656" w:rsidRPr="003478AF">
              <w:rPr>
                <w:rFonts w:eastAsia="Arial" w:cs="Arial"/>
                <w:sz w:val="18"/>
                <w:szCs w:val="18"/>
              </w:rPr>
              <w:t>m</w:t>
            </w:r>
            <w:r w:rsidR="00186656" w:rsidRPr="003478AF">
              <w:rPr>
                <w:rFonts w:eastAsia="Arial" w:cs="Arial"/>
                <w:sz w:val="18"/>
                <w:szCs w:val="18"/>
                <w:vertAlign w:val="superscript"/>
              </w:rPr>
              <w:t>3</w:t>
            </w:r>
            <w:r w:rsidR="00186656" w:rsidRPr="003478AF">
              <w:rPr>
                <w:rFonts w:eastAsia="Arial" w:cs="Arial"/>
                <w:sz w:val="18"/>
                <w:szCs w:val="18"/>
              </w:rPr>
              <w:t>/zł</w:t>
            </w:r>
          </w:p>
        </w:tc>
      </w:tr>
      <w:tr w:rsidR="00166B3C" w:rsidRPr="003478AF" w14:paraId="25A62C67" w14:textId="77777777" w:rsidTr="001B0CB3">
        <w:tc>
          <w:tcPr>
            <w:tcW w:w="2122" w:type="dxa"/>
            <w:vMerge/>
            <w:shd w:val="clear" w:color="auto" w:fill="FFFFFF" w:themeFill="background1"/>
            <w:vAlign w:val="center"/>
          </w:tcPr>
          <w:p w14:paraId="12786582" w14:textId="77777777" w:rsidR="00C63B1E" w:rsidRPr="003478AF" w:rsidRDefault="00C63B1E" w:rsidP="00DF58CA">
            <w:pPr>
              <w:ind w:firstLine="0"/>
              <w:jc w:val="left"/>
              <w:rPr>
                <w:rFonts w:eastAsia="Arial" w:cs="Arial"/>
                <w:sz w:val="18"/>
                <w:szCs w:val="18"/>
              </w:rPr>
            </w:pPr>
          </w:p>
        </w:tc>
        <w:tc>
          <w:tcPr>
            <w:tcW w:w="4904" w:type="dxa"/>
            <w:shd w:val="clear" w:color="auto" w:fill="FFFFFF" w:themeFill="background1"/>
            <w:vAlign w:val="center"/>
          </w:tcPr>
          <w:p w14:paraId="2FDAF62F" w14:textId="20DA84D6" w:rsidR="00C63B1E" w:rsidRPr="003478AF" w:rsidRDefault="000168AE" w:rsidP="00DF58CA">
            <w:pPr>
              <w:ind w:firstLine="0"/>
              <w:jc w:val="left"/>
              <w:rPr>
                <w:rFonts w:eastAsia="Arial" w:cs="Arial"/>
                <w:sz w:val="18"/>
                <w:szCs w:val="18"/>
              </w:rPr>
            </w:pPr>
            <w:r w:rsidRPr="003478AF">
              <w:rPr>
                <w:rFonts w:eastAsia="Arial" w:cs="Arial"/>
                <w:sz w:val="18"/>
                <w:szCs w:val="18"/>
              </w:rPr>
              <w:t xml:space="preserve">Ścieki przemysłowe odprowadzone </w:t>
            </w:r>
            <w:r w:rsidR="00C63B1E" w:rsidRPr="003478AF">
              <w:rPr>
                <w:rFonts w:eastAsia="Arial" w:cs="Arial"/>
                <w:sz w:val="18"/>
                <w:szCs w:val="18"/>
              </w:rPr>
              <w:t>w ciągu roku</w:t>
            </w:r>
          </w:p>
        </w:tc>
        <w:tc>
          <w:tcPr>
            <w:tcW w:w="1241" w:type="dxa"/>
            <w:shd w:val="clear" w:color="auto" w:fill="FFFFFF" w:themeFill="background1"/>
            <w:vAlign w:val="center"/>
          </w:tcPr>
          <w:p w14:paraId="7E232743" w14:textId="6BAAAC54" w:rsidR="00C63B1E" w:rsidRPr="003478AF" w:rsidRDefault="00C63B1E" w:rsidP="00DF58CA">
            <w:pPr>
              <w:ind w:firstLine="0"/>
              <w:jc w:val="center"/>
              <w:rPr>
                <w:rFonts w:eastAsia="Arial" w:cs="Arial"/>
                <w:sz w:val="18"/>
                <w:szCs w:val="18"/>
              </w:rPr>
            </w:pPr>
            <w:r w:rsidRPr="003478AF">
              <w:rPr>
                <w:rFonts w:eastAsia="Arial" w:cs="Arial"/>
                <w:sz w:val="18"/>
                <w:szCs w:val="18"/>
              </w:rPr>
              <w:t>dam</w:t>
            </w:r>
            <w:r w:rsidRPr="003478AF">
              <w:rPr>
                <w:rFonts w:eastAsia="Arial" w:cs="Arial"/>
                <w:sz w:val="18"/>
                <w:szCs w:val="18"/>
                <w:vertAlign w:val="superscript"/>
              </w:rPr>
              <w:t>3</w:t>
            </w:r>
          </w:p>
        </w:tc>
      </w:tr>
      <w:tr w:rsidR="00166B3C" w:rsidRPr="003478AF" w14:paraId="4643C38E" w14:textId="77777777" w:rsidTr="001B0CB3">
        <w:tc>
          <w:tcPr>
            <w:tcW w:w="2122" w:type="dxa"/>
            <w:vMerge/>
            <w:shd w:val="clear" w:color="auto" w:fill="FFFFFF" w:themeFill="background1"/>
            <w:vAlign w:val="center"/>
          </w:tcPr>
          <w:p w14:paraId="6D853C0A" w14:textId="77777777" w:rsidR="00186656" w:rsidRPr="003478AF" w:rsidRDefault="00186656" w:rsidP="00DF58CA">
            <w:pPr>
              <w:ind w:firstLine="0"/>
              <w:jc w:val="left"/>
              <w:rPr>
                <w:rFonts w:eastAsia="Arial" w:cs="Arial"/>
                <w:sz w:val="18"/>
                <w:szCs w:val="18"/>
              </w:rPr>
            </w:pPr>
          </w:p>
        </w:tc>
        <w:tc>
          <w:tcPr>
            <w:tcW w:w="4904" w:type="dxa"/>
            <w:shd w:val="clear" w:color="auto" w:fill="FFFFFF" w:themeFill="background1"/>
            <w:vAlign w:val="center"/>
          </w:tcPr>
          <w:p w14:paraId="7F24D16E" w14:textId="0F49F8ED" w:rsidR="00186656" w:rsidRPr="003478AF" w:rsidRDefault="00E659F0" w:rsidP="00DF58CA">
            <w:pPr>
              <w:ind w:firstLine="0"/>
              <w:jc w:val="left"/>
              <w:rPr>
                <w:rFonts w:eastAsia="Arial" w:cs="Arial"/>
                <w:sz w:val="18"/>
                <w:szCs w:val="18"/>
              </w:rPr>
            </w:pPr>
            <w:r w:rsidRPr="003478AF">
              <w:rPr>
                <w:rFonts w:eastAsia="Arial" w:cs="Arial"/>
                <w:sz w:val="18"/>
                <w:szCs w:val="18"/>
              </w:rPr>
              <w:t>Ścieki</w:t>
            </w:r>
            <w:r w:rsidR="00186656" w:rsidRPr="003478AF">
              <w:rPr>
                <w:rFonts w:eastAsia="Arial" w:cs="Arial"/>
                <w:sz w:val="18"/>
                <w:szCs w:val="18"/>
              </w:rPr>
              <w:t xml:space="preserve"> przemysłow</w:t>
            </w:r>
            <w:r w:rsidRPr="003478AF">
              <w:rPr>
                <w:rFonts w:eastAsia="Arial" w:cs="Arial"/>
                <w:sz w:val="18"/>
                <w:szCs w:val="18"/>
              </w:rPr>
              <w:t>e</w:t>
            </w:r>
            <w:r w:rsidR="00186656" w:rsidRPr="003478AF">
              <w:rPr>
                <w:rFonts w:eastAsia="Arial" w:cs="Arial"/>
                <w:sz w:val="18"/>
                <w:szCs w:val="18"/>
              </w:rPr>
              <w:t xml:space="preserve"> odprowadz</w:t>
            </w:r>
            <w:r w:rsidRPr="003478AF">
              <w:rPr>
                <w:rFonts w:eastAsia="Arial" w:cs="Arial"/>
                <w:sz w:val="18"/>
                <w:szCs w:val="18"/>
              </w:rPr>
              <w:t>o</w:t>
            </w:r>
            <w:r w:rsidR="00680463" w:rsidRPr="003478AF">
              <w:rPr>
                <w:rFonts w:eastAsia="Arial" w:cs="Arial"/>
                <w:sz w:val="18"/>
                <w:szCs w:val="18"/>
              </w:rPr>
              <w:t>n</w:t>
            </w:r>
            <w:r w:rsidRPr="003478AF">
              <w:rPr>
                <w:rFonts w:eastAsia="Arial" w:cs="Arial"/>
                <w:sz w:val="18"/>
                <w:szCs w:val="18"/>
              </w:rPr>
              <w:t>e</w:t>
            </w:r>
            <w:r w:rsidR="00186656" w:rsidRPr="003478AF">
              <w:rPr>
                <w:rFonts w:eastAsia="Arial" w:cs="Arial"/>
                <w:sz w:val="18"/>
                <w:szCs w:val="18"/>
              </w:rPr>
              <w:t xml:space="preserve"> w ciągu roku do sieci kanalizacyjnej</w:t>
            </w:r>
          </w:p>
        </w:tc>
        <w:tc>
          <w:tcPr>
            <w:tcW w:w="1241" w:type="dxa"/>
            <w:shd w:val="clear" w:color="auto" w:fill="FFFFFF" w:themeFill="background1"/>
            <w:vAlign w:val="center"/>
          </w:tcPr>
          <w:p w14:paraId="42836844" w14:textId="64C14B81" w:rsidR="00186656" w:rsidRPr="003478AF" w:rsidRDefault="00C63B1E" w:rsidP="00DF58CA">
            <w:pPr>
              <w:ind w:firstLine="0"/>
              <w:jc w:val="center"/>
              <w:rPr>
                <w:rFonts w:eastAsia="Arial" w:cs="Arial"/>
                <w:sz w:val="18"/>
                <w:szCs w:val="18"/>
              </w:rPr>
            </w:pPr>
            <w:r w:rsidRPr="003478AF">
              <w:rPr>
                <w:rFonts w:eastAsia="Arial" w:cs="Arial"/>
                <w:sz w:val="18"/>
                <w:szCs w:val="18"/>
              </w:rPr>
              <w:t>da</w:t>
            </w:r>
            <w:r w:rsidR="00186656" w:rsidRPr="003478AF">
              <w:rPr>
                <w:rFonts w:eastAsia="Arial" w:cs="Arial"/>
                <w:sz w:val="18"/>
                <w:szCs w:val="18"/>
              </w:rPr>
              <w:t>m</w:t>
            </w:r>
            <w:r w:rsidR="00186656" w:rsidRPr="003478AF">
              <w:rPr>
                <w:rFonts w:eastAsia="Arial" w:cs="Arial"/>
                <w:sz w:val="18"/>
                <w:szCs w:val="18"/>
                <w:vertAlign w:val="superscript"/>
              </w:rPr>
              <w:t>3</w:t>
            </w:r>
          </w:p>
        </w:tc>
      </w:tr>
      <w:tr w:rsidR="00166B3C" w:rsidRPr="003478AF" w14:paraId="38A0DD61" w14:textId="77777777" w:rsidTr="001B0CB3">
        <w:tc>
          <w:tcPr>
            <w:tcW w:w="2122" w:type="dxa"/>
            <w:vMerge/>
            <w:shd w:val="clear" w:color="auto" w:fill="FFFFFF" w:themeFill="background1"/>
            <w:vAlign w:val="center"/>
          </w:tcPr>
          <w:p w14:paraId="3427CE98" w14:textId="77777777" w:rsidR="00186656" w:rsidRPr="003478AF" w:rsidRDefault="00186656" w:rsidP="00DF58CA">
            <w:pPr>
              <w:ind w:firstLine="0"/>
              <w:jc w:val="left"/>
              <w:rPr>
                <w:rFonts w:eastAsia="Arial" w:cs="Arial"/>
                <w:sz w:val="18"/>
                <w:szCs w:val="18"/>
              </w:rPr>
            </w:pPr>
          </w:p>
        </w:tc>
        <w:tc>
          <w:tcPr>
            <w:tcW w:w="4904" w:type="dxa"/>
            <w:shd w:val="clear" w:color="auto" w:fill="FFFFFF" w:themeFill="background1"/>
            <w:vAlign w:val="center"/>
          </w:tcPr>
          <w:p w14:paraId="3937C0E1" w14:textId="03FA2436" w:rsidR="00186656" w:rsidRPr="003478AF" w:rsidRDefault="000168AE" w:rsidP="00DF58CA">
            <w:pPr>
              <w:ind w:firstLine="0"/>
              <w:jc w:val="left"/>
              <w:rPr>
                <w:rFonts w:cs="Arial"/>
                <w:sz w:val="18"/>
                <w:szCs w:val="18"/>
              </w:rPr>
            </w:pPr>
            <w:r w:rsidRPr="003478AF">
              <w:rPr>
                <w:rFonts w:cs="Arial"/>
                <w:sz w:val="18"/>
                <w:szCs w:val="18"/>
              </w:rPr>
              <w:t>Ścieki przemysłowe i komunalne wymagające oczyszczania odprowadzone do wód lub do ziemi w ciągu roku na 1 mieszkańca</w:t>
            </w:r>
          </w:p>
        </w:tc>
        <w:tc>
          <w:tcPr>
            <w:tcW w:w="1241" w:type="dxa"/>
            <w:shd w:val="clear" w:color="auto" w:fill="FFFFFF" w:themeFill="background1"/>
            <w:vAlign w:val="center"/>
          </w:tcPr>
          <w:p w14:paraId="2AEF47C3" w14:textId="4A657618" w:rsidR="00186656" w:rsidRPr="003478AF" w:rsidRDefault="00C63B1E" w:rsidP="00DF58CA">
            <w:pPr>
              <w:ind w:firstLine="0"/>
              <w:jc w:val="center"/>
              <w:rPr>
                <w:rFonts w:eastAsia="Arial" w:cs="Arial"/>
                <w:sz w:val="18"/>
                <w:szCs w:val="18"/>
              </w:rPr>
            </w:pPr>
            <w:r w:rsidRPr="003478AF">
              <w:rPr>
                <w:rFonts w:eastAsia="Arial" w:cs="Arial"/>
                <w:sz w:val="18"/>
                <w:szCs w:val="18"/>
              </w:rPr>
              <w:t>m</w:t>
            </w:r>
            <w:r w:rsidRPr="003478AF">
              <w:rPr>
                <w:rFonts w:eastAsia="Arial" w:cs="Arial"/>
                <w:sz w:val="18"/>
                <w:szCs w:val="18"/>
                <w:vertAlign w:val="superscript"/>
              </w:rPr>
              <w:t>3</w:t>
            </w:r>
          </w:p>
        </w:tc>
      </w:tr>
      <w:tr w:rsidR="007B6F8B" w:rsidRPr="003478AF" w14:paraId="5716EE47" w14:textId="77777777" w:rsidTr="001B0CB3">
        <w:tc>
          <w:tcPr>
            <w:tcW w:w="2122" w:type="dxa"/>
            <w:vMerge w:val="restart"/>
            <w:shd w:val="clear" w:color="auto" w:fill="FFFFFF" w:themeFill="background1"/>
            <w:vAlign w:val="center"/>
          </w:tcPr>
          <w:p w14:paraId="457497B4" w14:textId="02E022FE" w:rsidR="00F801D2" w:rsidRPr="003478AF" w:rsidRDefault="00F801D2" w:rsidP="00DF58CA">
            <w:pPr>
              <w:ind w:firstLine="0"/>
              <w:jc w:val="left"/>
              <w:rPr>
                <w:rFonts w:eastAsia="Arial" w:cs="Arial"/>
                <w:sz w:val="18"/>
                <w:szCs w:val="18"/>
              </w:rPr>
            </w:pPr>
            <w:r w:rsidRPr="003478AF">
              <w:rPr>
                <w:rFonts w:eastAsia="Arial" w:cs="Arial"/>
                <w:sz w:val="18"/>
                <w:szCs w:val="18"/>
              </w:rPr>
              <w:t>Emisj</w:t>
            </w:r>
            <w:r w:rsidR="003C4D3F" w:rsidRPr="003478AF">
              <w:rPr>
                <w:rFonts w:eastAsia="Arial" w:cs="Arial"/>
                <w:sz w:val="18"/>
                <w:szCs w:val="18"/>
              </w:rPr>
              <w:t>a</w:t>
            </w:r>
            <w:r w:rsidRPr="003478AF">
              <w:rPr>
                <w:rFonts w:eastAsia="Arial" w:cs="Arial"/>
                <w:sz w:val="18"/>
                <w:szCs w:val="18"/>
              </w:rPr>
              <w:t xml:space="preserve"> zanieczyszczeń</w:t>
            </w:r>
            <w:r w:rsidR="003C4D3F" w:rsidRPr="003478AF">
              <w:rPr>
                <w:rFonts w:eastAsia="Arial" w:cs="Arial"/>
                <w:sz w:val="18"/>
                <w:szCs w:val="18"/>
              </w:rPr>
              <w:t xml:space="preserve"> powietrza</w:t>
            </w:r>
          </w:p>
        </w:tc>
        <w:tc>
          <w:tcPr>
            <w:tcW w:w="4904" w:type="dxa"/>
            <w:shd w:val="clear" w:color="auto" w:fill="FFFFFF" w:themeFill="background1"/>
            <w:vAlign w:val="center"/>
          </w:tcPr>
          <w:p w14:paraId="218468EE" w14:textId="1438B86B" w:rsidR="00F801D2" w:rsidRPr="003478AF" w:rsidRDefault="00F801D2" w:rsidP="00DF58CA">
            <w:pPr>
              <w:ind w:firstLine="0"/>
              <w:jc w:val="left"/>
              <w:rPr>
                <w:rFonts w:eastAsia="Arial" w:cs="Arial"/>
                <w:sz w:val="18"/>
                <w:szCs w:val="18"/>
              </w:rPr>
            </w:pPr>
            <w:r w:rsidRPr="003478AF">
              <w:rPr>
                <w:rFonts w:eastAsia="Arial" w:cs="Arial"/>
                <w:sz w:val="18"/>
                <w:szCs w:val="18"/>
              </w:rPr>
              <w:t>Emisja metanu z zakładów szczególnie uciążliwych</w:t>
            </w:r>
          </w:p>
        </w:tc>
        <w:tc>
          <w:tcPr>
            <w:tcW w:w="1241" w:type="dxa"/>
            <w:shd w:val="clear" w:color="auto" w:fill="FFFFFF" w:themeFill="background1"/>
            <w:vAlign w:val="center"/>
          </w:tcPr>
          <w:p w14:paraId="6FBA3F2F" w14:textId="57A7AE18" w:rsidR="00F801D2" w:rsidRPr="003478AF" w:rsidRDefault="00F801D2" w:rsidP="00DF58CA">
            <w:pPr>
              <w:ind w:firstLine="0"/>
              <w:jc w:val="center"/>
              <w:rPr>
                <w:rFonts w:eastAsia="Arial" w:cs="Arial"/>
                <w:sz w:val="18"/>
                <w:szCs w:val="18"/>
              </w:rPr>
            </w:pPr>
            <w:r w:rsidRPr="003478AF">
              <w:rPr>
                <w:rFonts w:eastAsia="Arial" w:cs="Arial"/>
                <w:sz w:val="18"/>
                <w:szCs w:val="18"/>
              </w:rPr>
              <w:t>t/rok</w:t>
            </w:r>
          </w:p>
        </w:tc>
      </w:tr>
      <w:tr w:rsidR="007B6F8B" w:rsidRPr="003478AF" w14:paraId="0B97B7DE" w14:textId="77777777" w:rsidTr="001B0CB3">
        <w:tc>
          <w:tcPr>
            <w:tcW w:w="2122" w:type="dxa"/>
            <w:vMerge/>
            <w:shd w:val="clear" w:color="auto" w:fill="FFFFFF" w:themeFill="background1"/>
            <w:vAlign w:val="center"/>
          </w:tcPr>
          <w:p w14:paraId="27FE926F" w14:textId="77777777" w:rsidR="00F801D2" w:rsidRPr="003478AF" w:rsidRDefault="00F801D2" w:rsidP="00DF58CA">
            <w:pPr>
              <w:ind w:firstLine="0"/>
              <w:jc w:val="left"/>
              <w:rPr>
                <w:rFonts w:eastAsia="Arial" w:cs="Arial"/>
                <w:sz w:val="18"/>
                <w:szCs w:val="18"/>
              </w:rPr>
            </w:pPr>
          </w:p>
        </w:tc>
        <w:tc>
          <w:tcPr>
            <w:tcW w:w="4904" w:type="dxa"/>
            <w:shd w:val="clear" w:color="auto" w:fill="FFFFFF" w:themeFill="background1"/>
            <w:vAlign w:val="center"/>
          </w:tcPr>
          <w:p w14:paraId="4EBBED7D" w14:textId="38D2795D" w:rsidR="00F801D2" w:rsidRPr="003478AF" w:rsidRDefault="00F801D2" w:rsidP="00DF58CA">
            <w:pPr>
              <w:ind w:firstLine="0"/>
              <w:jc w:val="left"/>
              <w:rPr>
                <w:rFonts w:eastAsia="Arial" w:cs="Arial"/>
                <w:sz w:val="18"/>
                <w:szCs w:val="18"/>
              </w:rPr>
            </w:pPr>
            <w:r w:rsidRPr="003478AF">
              <w:rPr>
                <w:rFonts w:eastAsia="Arial" w:cs="Arial"/>
                <w:sz w:val="18"/>
                <w:szCs w:val="18"/>
              </w:rPr>
              <w:t>Emisja dwutlenku węgla z zakładów szczególnie uciążliwych</w:t>
            </w:r>
            <w:r w:rsidR="00C17D7A" w:rsidRPr="003478AF">
              <w:rPr>
                <w:rFonts w:eastAsia="Arial" w:cs="Arial"/>
                <w:sz w:val="18"/>
                <w:szCs w:val="18"/>
              </w:rPr>
              <w:t xml:space="preserve"> dla czystości powietrza</w:t>
            </w:r>
          </w:p>
        </w:tc>
        <w:tc>
          <w:tcPr>
            <w:tcW w:w="1241" w:type="dxa"/>
            <w:shd w:val="clear" w:color="auto" w:fill="FFFFFF" w:themeFill="background1"/>
            <w:vAlign w:val="center"/>
          </w:tcPr>
          <w:p w14:paraId="1A92C4E1" w14:textId="4BBCE0D0" w:rsidR="00F801D2" w:rsidRPr="003478AF" w:rsidRDefault="00F801D2" w:rsidP="00DF58CA">
            <w:pPr>
              <w:ind w:firstLine="0"/>
              <w:jc w:val="center"/>
              <w:rPr>
                <w:rFonts w:eastAsia="Arial" w:cs="Arial"/>
                <w:sz w:val="18"/>
                <w:szCs w:val="18"/>
              </w:rPr>
            </w:pPr>
            <w:r w:rsidRPr="003478AF">
              <w:rPr>
                <w:rFonts w:eastAsia="Arial" w:cs="Arial"/>
                <w:sz w:val="18"/>
                <w:szCs w:val="18"/>
              </w:rPr>
              <w:t>t/rok</w:t>
            </w:r>
          </w:p>
        </w:tc>
      </w:tr>
      <w:tr w:rsidR="007B6F8B" w:rsidRPr="003478AF" w14:paraId="47413413" w14:textId="77777777" w:rsidTr="001B0CB3">
        <w:tc>
          <w:tcPr>
            <w:tcW w:w="2122" w:type="dxa"/>
            <w:vMerge/>
            <w:shd w:val="clear" w:color="auto" w:fill="FFFFFF" w:themeFill="background1"/>
            <w:vAlign w:val="center"/>
          </w:tcPr>
          <w:p w14:paraId="18C26EA0" w14:textId="77777777" w:rsidR="00F801D2" w:rsidRPr="003478AF" w:rsidRDefault="00F801D2" w:rsidP="00DF58CA">
            <w:pPr>
              <w:ind w:firstLine="0"/>
              <w:jc w:val="left"/>
              <w:rPr>
                <w:rFonts w:eastAsia="Arial" w:cs="Arial"/>
                <w:sz w:val="18"/>
                <w:szCs w:val="18"/>
              </w:rPr>
            </w:pPr>
          </w:p>
        </w:tc>
        <w:tc>
          <w:tcPr>
            <w:tcW w:w="4904" w:type="dxa"/>
            <w:shd w:val="clear" w:color="auto" w:fill="FFFFFF" w:themeFill="background1"/>
            <w:vAlign w:val="center"/>
          </w:tcPr>
          <w:p w14:paraId="75F34015" w14:textId="3446C40D" w:rsidR="00F801D2" w:rsidRPr="003478AF" w:rsidRDefault="00F801D2" w:rsidP="00DF58CA">
            <w:pPr>
              <w:ind w:firstLine="0"/>
              <w:jc w:val="left"/>
              <w:rPr>
                <w:rFonts w:eastAsia="Arial" w:cs="Arial"/>
                <w:sz w:val="18"/>
                <w:szCs w:val="18"/>
              </w:rPr>
            </w:pPr>
            <w:r w:rsidRPr="003478AF">
              <w:rPr>
                <w:rFonts w:eastAsia="Arial" w:cs="Arial"/>
                <w:sz w:val="18"/>
                <w:szCs w:val="18"/>
              </w:rPr>
              <w:t>Emisja zanieczyszczeń pyłowych powietrza z zakładów szczególnie uciążliwych dla czystości powietrza</w:t>
            </w:r>
          </w:p>
        </w:tc>
        <w:tc>
          <w:tcPr>
            <w:tcW w:w="1241" w:type="dxa"/>
            <w:shd w:val="clear" w:color="auto" w:fill="FFFFFF" w:themeFill="background1"/>
            <w:vAlign w:val="center"/>
          </w:tcPr>
          <w:p w14:paraId="0FEE6263" w14:textId="7FE6EB34" w:rsidR="00F801D2" w:rsidRPr="003478AF" w:rsidRDefault="00F801D2" w:rsidP="00DF58CA">
            <w:pPr>
              <w:ind w:firstLine="0"/>
              <w:jc w:val="center"/>
              <w:rPr>
                <w:rFonts w:eastAsia="Arial" w:cs="Arial"/>
                <w:sz w:val="18"/>
                <w:szCs w:val="18"/>
              </w:rPr>
            </w:pPr>
            <w:r w:rsidRPr="003478AF">
              <w:rPr>
                <w:rFonts w:eastAsia="Arial" w:cs="Arial"/>
                <w:sz w:val="18"/>
                <w:szCs w:val="18"/>
              </w:rPr>
              <w:t>t/rok</w:t>
            </w:r>
          </w:p>
        </w:tc>
      </w:tr>
      <w:tr w:rsidR="007B6F8B" w:rsidRPr="003478AF" w14:paraId="7FDF78DD" w14:textId="77777777" w:rsidTr="001B0CB3">
        <w:tc>
          <w:tcPr>
            <w:tcW w:w="2122" w:type="dxa"/>
            <w:vMerge/>
            <w:shd w:val="clear" w:color="auto" w:fill="FFFFFF" w:themeFill="background1"/>
            <w:vAlign w:val="center"/>
          </w:tcPr>
          <w:p w14:paraId="7AB1F232" w14:textId="77777777" w:rsidR="00F801D2" w:rsidRPr="003478AF" w:rsidRDefault="00F801D2" w:rsidP="00DF58CA">
            <w:pPr>
              <w:ind w:firstLine="0"/>
              <w:jc w:val="left"/>
              <w:rPr>
                <w:rFonts w:eastAsia="Arial" w:cs="Arial"/>
                <w:sz w:val="18"/>
                <w:szCs w:val="18"/>
              </w:rPr>
            </w:pPr>
          </w:p>
        </w:tc>
        <w:tc>
          <w:tcPr>
            <w:tcW w:w="4904" w:type="dxa"/>
            <w:shd w:val="clear" w:color="auto" w:fill="FFFFFF" w:themeFill="background1"/>
            <w:vAlign w:val="center"/>
          </w:tcPr>
          <w:p w14:paraId="2682A153" w14:textId="23DE363A" w:rsidR="00F801D2" w:rsidRPr="003478AF" w:rsidRDefault="00F801D2" w:rsidP="00DF58CA">
            <w:pPr>
              <w:ind w:firstLine="0"/>
              <w:jc w:val="left"/>
              <w:rPr>
                <w:rFonts w:eastAsia="Arial" w:cs="Arial"/>
                <w:sz w:val="18"/>
                <w:szCs w:val="18"/>
              </w:rPr>
            </w:pPr>
            <w:r w:rsidRPr="003478AF">
              <w:rPr>
                <w:rFonts w:eastAsia="Arial" w:cs="Arial"/>
                <w:sz w:val="18"/>
                <w:szCs w:val="18"/>
              </w:rPr>
              <w:t>Emisja zanieczyszczeń gazowych powietrza z zakładów szczególnie uciążliwych dla czystości powietrza</w:t>
            </w:r>
          </w:p>
        </w:tc>
        <w:tc>
          <w:tcPr>
            <w:tcW w:w="1241" w:type="dxa"/>
            <w:shd w:val="clear" w:color="auto" w:fill="FFFFFF" w:themeFill="background1"/>
            <w:vAlign w:val="center"/>
          </w:tcPr>
          <w:p w14:paraId="7C73C1D1" w14:textId="4DC202A0" w:rsidR="00F801D2" w:rsidRPr="003478AF" w:rsidRDefault="00F801D2" w:rsidP="00DF58CA">
            <w:pPr>
              <w:ind w:firstLine="0"/>
              <w:jc w:val="center"/>
              <w:rPr>
                <w:rFonts w:eastAsia="Arial" w:cs="Arial"/>
                <w:sz w:val="18"/>
                <w:szCs w:val="18"/>
              </w:rPr>
            </w:pPr>
            <w:r w:rsidRPr="003478AF">
              <w:rPr>
                <w:rFonts w:eastAsia="Arial" w:cs="Arial"/>
                <w:sz w:val="18"/>
                <w:szCs w:val="18"/>
              </w:rPr>
              <w:t>t/rok</w:t>
            </w:r>
          </w:p>
        </w:tc>
      </w:tr>
      <w:tr w:rsidR="00166B3C" w:rsidRPr="003478AF" w14:paraId="261D9EFA" w14:textId="77777777" w:rsidTr="001B0CB3">
        <w:tc>
          <w:tcPr>
            <w:tcW w:w="2122" w:type="dxa"/>
            <w:vMerge w:val="restart"/>
            <w:shd w:val="clear" w:color="auto" w:fill="FFFFFF" w:themeFill="background1"/>
            <w:vAlign w:val="center"/>
          </w:tcPr>
          <w:p w14:paraId="48BB462F" w14:textId="76B9E7A6" w:rsidR="00186656" w:rsidRPr="003478AF" w:rsidRDefault="00186656" w:rsidP="00DF58CA">
            <w:pPr>
              <w:ind w:firstLine="0"/>
              <w:jc w:val="left"/>
              <w:rPr>
                <w:rFonts w:eastAsia="Arial" w:cs="Arial"/>
                <w:sz w:val="18"/>
                <w:szCs w:val="18"/>
              </w:rPr>
            </w:pPr>
            <w:r w:rsidRPr="003478AF">
              <w:rPr>
                <w:rFonts w:eastAsia="Arial" w:cs="Arial"/>
                <w:sz w:val="18"/>
                <w:szCs w:val="18"/>
              </w:rPr>
              <w:t>Gospodarka odpadami</w:t>
            </w:r>
          </w:p>
        </w:tc>
        <w:tc>
          <w:tcPr>
            <w:tcW w:w="4904" w:type="dxa"/>
            <w:shd w:val="clear" w:color="auto" w:fill="FFFFFF" w:themeFill="background1"/>
            <w:vAlign w:val="center"/>
          </w:tcPr>
          <w:p w14:paraId="0AA560D4" w14:textId="421B0165" w:rsidR="00186656" w:rsidRPr="003478AF" w:rsidRDefault="00166B3C" w:rsidP="00DF58CA">
            <w:pPr>
              <w:ind w:firstLine="0"/>
              <w:jc w:val="left"/>
              <w:rPr>
                <w:rFonts w:eastAsia="Arial" w:cs="Arial"/>
                <w:sz w:val="18"/>
                <w:szCs w:val="18"/>
              </w:rPr>
            </w:pPr>
            <w:r w:rsidRPr="003478AF">
              <w:rPr>
                <w:rFonts w:eastAsia="Arial" w:cs="Arial"/>
                <w:sz w:val="18"/>
                <w:szCs w:val="18"/>
              </w:rPr>
              <w:t>Odpady</w:t>
            </w:r>
            <w:r w:rsidR="00C63B1E" w:rsidRPr="003478AF">
              <w:rPr>
                <w:rFonts w:eastAsia="Arial" w:cs="Arial"/>
                <w:sz w:val="18"/>
                <w:szCs w:val="18"/>
              </w:rPr>
              <w:t xml:space="preserve"> komunaln</w:t>
            </w:r>
            <w:r w:rsidRPr="003478AF">
              <w:rPr>
                <w:rFonts w:eastAsia="Arial" w:cs="Arial"/>
                <w:sz w:val="18"/>
                <w:szCs w:val="18"/>
              </w:rPr>
              <w:t>e</w:t>
            </w:r>
            <w:r w:rsidR="00C63B1E" w:rsidRPr="003478AF">
              <w:rPr>
                <w:rFonts w:eastAsia="Arial" w:cs="Arial"/>
                <w:sz w:val="18"/>
                <w:szCs w:val="18"/>
              </w:rPr>
              <w:t xml:space="preserve"> zebran</w:t>
            </w:r>
            <w:r w:rsidRPr="003478AF">
              <w:rPr>
                <w:rFonts w:eastAsia="Arial" w:cs="Arial"/>
                <w:sz w:val="18"/>
                <w:szCs w:val="18"/>
              </w:rPr>
              <w:t>e</w:t>
            </w:r>
            <w:r w:rsidR="00C63B1E" w:rsidRPr="003478AF">
              <w:rPr>
                <w:rFonts w:eastAsia="Arial" w:cs="Arial"/>
                <w:sz w:val="18"/>
                <w:szCs w:val="18"/>
              </w:rPr>
              <w:t xml:space="preserve"> w ciągu roku </w:t>
            </w:r>
          </w:p>
        </w:tc>
        <w:tc>
          <w:tcPr>
            <w:tcW w:w="1241" w:type="dxa"/>
            <w:shd w:val="clear" w:color="auto" w:fill="FFFFFF" w:themeFill="background1"/>
            <w:vAlign w:val="center"/>
          </w:tcPr>
          <w:p w14:paraId="05804D2E" w14:textId="7D46BC4D" w:rsidR="00186656" w:rsidRPr="003478AF" w:rsidRDefault="00C63B1E" w:rsidP="00DF58CA">
            <w:pPr>
              <w:ind w:firstLine="0"/>
              <w:jc w:val="center"/>
              <w:rPr>
                <w:rFonts w:eastAsia="Arial" w:cs="Arial"/>
                <w:sz w:val="18"/>
                <w:szCs w:val="18"/>
              </w:rPr>
            </w:pPr>
            <w:r w:rsidRPr="003478AF">
              <w:rPr>
                <w:rFonts w:eastAsia="Arial" w:cs="Arial"/>
                <w:sz w:val="18"/>
                <w:szCs w:val="18"/>
              </w:rPr>
              <w:t>t</w:t>
            </w:r>
          </w:p>
        </w:tc>
      </w:tr>
      <w:tr w:rsidR="00166B3C" w:rsidRPr="003478AF" w14:paraId="257CF2C8" w14:textId="77777777" w:rsidTr="001B0CB3">
        <w:tc>
          <w:tcPr>
            <w:tcW w:w="2122" w:type="dxa"/>
            <w:vMerge/>
            <w:shd w:val="clear" w:color="auto" w:fill="FFFFFF" w:themeFill="background1"/>
            <w:vAlign w:val="center"/>
          </w:tcPr>
          <w:p w14:paraId="7D1F0AFF" w14:textId="77777777" w:rsidR="00186656" w:rsidRPr="003478AF" w:rsidRDefault="00186656" w:rsidP="00DF58CA">
            <w:pPr>
              <w:ind w:firstLine="0"/>
              <w:jc w:val="left"/>
              <w:rPr>
                <w:rFonts w:eastAsia="Arial" w:cs="Arial"/>
                <w:sz w:val="18"/>
                <w:szCs w:val="18"/>
              </w:rPr>
            </w:pPr>
          </w:p>
        </w:tc>
        <w:tc>
          <w:tcPr>
            <w:tcW w:w="4904" w:type="dxa"/>
            <w:shd w:val="clear" w:color="auto" w:fill="FFFFFF" w:themeFill="background1"/>
            <w:vAlign w:val="center"/>
          </w:tcPr>
          <w:p w14:paraId="1CA81772" w14:textId="1B0151DA" w:rsidR="00186656" w:rsidRPr="003478AF" w:rsidRDefault="002D6426" w:rsidP="00DF58CA">
            <w:pPr>
              <w:ind w:firstLine="0"/>
              <w:jc w:val="left"/>
              <w:rPr>
                <w:rFonts w:eastAsia="Arial" w:cs="Arial"/>
                <w:sz w:val="18"/>
                <w:szCs w:val="18"/>
              </w:rPr>
            </w:pPr>
            <w:r w:rsidRPr="003478AF">
              <w:rPr>
                <w:rFonts w:eastAsia="Arial" w:cs="Arial"/>
                <w:sz w:val="18"/>
                <w:szCs w:val="18"/>
              </w:rPr>
              <w:t xml:space="preserve">Ilość </w:t>
            </w:r>
            <w:r w:rsidR="00C63B1E" w:rsidRPr="003478AF">
              <w:rPr>
                <w:rFonts w:eastAsia="Arial" w:cs="Arial"/>
                <w:sz w:val="18"/>
                <w:szCs w:val="18"/>
              </w:rPr>
              <w:t xml:space="preserve">zmieszanych </w:t>
            </w:r>
            <w:r w:rsidRPr="003478AF">
              <w:rPr>
                <w:rFonts w:eastAsia="Arial" w:cs="Arial"/>
                <w:sz w:val="18"/>
                <w:szCs w:val="18"/>
              </w:rPr>
              <w:t>odpadów</w:t>
            </w:r>
            <w:r w:rsidR="00186656" w:rsidRPr="003478AF">
              <w:rPr>
                <w:rFonts w:eastAsia="Arial" w:cs="Arial"/>
                <w:sz w:val="18"/>
                <w:szCs w:val="18"/>
              </w:rPr>
              <w:t xml:space="preserve"> zebran</w:t>
            </w:r>
            <w:r w:rsidR="00C63B1E" w:rsidRPr="003478AF">
              <w:rPr>
                <w:rFonts w:eastAsia="Arial" w:cs="Arial"/>
                <w:sz w:val="18"/>
                <w:szCs w:val="18"/>
              </w:rPr>
              <w:t>ych</w:t>
            </w:r>
            <w:r w:rsidR="00186656" w:rsidRPr="003478AF">
              <w:rPr>
                <w:rFonts w:eastAsia="Arial" w:cs="Arial"/>
                <w:sz w:val="18"/>
                <w:szCs w:val="18"/>
              </w:rPr>
              <w:t xml:space="preserve"> w ciągu roku na 1 mieszkańca</w:t>
            </w:r>
          </w:p>
        </w:tc>
        <w:tc>
          <w:tcPr>
            <w:tcW w:w="1241" w:type="dxa"/>
            <w:shd w:val="clear" w:color="auto" w:fill="FFFFFF" w:themeFill="background1"/>
            <w:vAlign w:val="center"/>
          </w:tcPr>
          <w:p w14:paraId="779836D8" w14:textId="77777777" w:rsidR="00186656" w:rsidRPr="003478AF" w:rsidRDefault="00186656" w:rsidP="00DF58CA">
            <w:pPr>
              <w:ind w:firstLine="0"/>
              <w:jc w:val="center"/>
              <w:rPr>
                <w:rFonts w:eastAsia="Arial" w:cs="Arial"/>
                <w:sz w:val="18"/>
                <w:szCs w:val="18"/>
              </w:rPr>
            </w:pPr>
            <w:r w:rsidRPr="003478AF">
              <w:rPr>
                <w:rFonts w:eastAsia="Arial" w:cs="Arial"/>
                <w:sz w:val="18"/>
                <w:szCs w:val="18"/>
              </w:rPr>
              <w:t>kg</w:t>
            </w:r>
          </w:p>
        </w:tc>
      </w:tr>
      <w:tr w:rsidR="00166B3C" w:rsidRPr="003478AF" w14:paraId="28E50E9E" w14:textId="77777777" w:rsidTr="001B0CB3">
        <w:tc>
          <w:tcPr>
            <w:tcW w:w="2122" w:type="dxa"/>
            <w:vMerge/>
            <w:shd w:val="clear" w:color="auto" w:fill="FFFFFF" w:themeFill="background1"/>
            <w:vAlign w:val="center"/>
          </w:tcPr>
          <w:p w14:paraId="3233BCF5" w14:textId="77777777" w:rsidR="00186656" w:rsidRPr="003478AF" w:rsidRDefault="00186656" w:rsidP="00DF58CA">
            <w:pPr>
              <w:ind w:firstLine="0"/>
              <w:jc w:val="left"/>
              <w:rPr>
                <w:rFonts w:eastAsia="Arial" w:cs="Arial"/>
                <w:sz w:val="18"/>
                <w:szCs w:val="18"/>
              </w:rPr>
            </w:pPr>
          </w:p>
        </w:tc>
        <w:tc>
          <w:tcPr>
            <w:tcW w:w="4904" w:type="dxa"/>
            <w:shd w:val="clear" w:color="auto" w:fill="FFFFFF" w:themeFill="background1"/>
            <w:vAlign w:val="center"/>
          </w:tcPr>
          <w:p w14:paraId="0F8A323A" w14:textId="61D9570A" w:rsidR="00186656" w:rsidRPr="003478AF" w:rsidRDefault="00166B3C" w:rsidP="00DF58CA">
            <w:pPr>
              <w:ind w:firstLine="0"/>
              <w:jc w:val="left"/>
              <w:rPr>
                <w:rFonts w:eastAsia="Arial" w:cs="Arial"/>
                <w:sz w:val="18"/>
                <w:szCs w:val="18"/>
              </w:rPr>
            </w:pPr>
            <w:r w:rsidRPr="003478AF">
              <w:rPr>
                <w:rFonts w:eastAsia="Arial" w:cs="Arial"/>
                <w:sz w:val="18"/>
                <w:szCs w:val="18"/>
              </w:rPr>
              <w:t>Udział odpadów zebranych selektywnie w ilości odpadów ogółem</w:t>
            </w:r>
          </w:p>
        </w:tc>
        <w:tc>
          <w:tcPr>
            <w:tcW w:w="1241" w:type="dxa"/>
            <w:shd w:val="clear" w:color="auto" w:fill="FFFFFF" w:themeFill="background1"/>
            <w:vAlign w:val="center"/>
          </w:tcPr>
          <w:p w14:paraId="43B59A16" w14:textId="77777777" w:rsidR="00186656" w:rsidRPr="003478AF" w:rsidRDefault="00186656" w:rsidP="00DF58CA">
            <w:pPr>
              <w:ind w:firstLine="0"/>
              <w:jc w:val="center"/>
              <w:rPr>
                <w:rFonts w:eastAsia="Arial" w:cs="Arial"/>
                <w:sz w:val="18"/>
                <w:szCs w:val="18"/>
              </w:rPr>
            </w:pPr>
            <w:r w:rsidRPr="003478AF">
              <w:rPr>
                <w:rFonts w:eastAsia="Arial" w:cs="Arial"/>
                <w:sz w:val="18"/>
                <w:szCs w:val="18"/>
              </w:rPr>
              <w:t>%</w:t>
            </w:r>
          </w:p>
        </w:tc>
      </w:tr>
      <w:tr w:rsidR="00166B3C" w:rsidRPr="003478AF" w14:paraId="5DD1BBF2" w14:textId="77777777" w:rsidTr="001B0CB3">
        <w:tc>
          <w:tcPr>
            <w:tcW w:w="2122" w:type="dxa"/>
            <w:vMerge/>
            <w:shd w:val="clear" w:color="auto" w:fill="FFFFFF" w:themeFill="background1"/>
            <w:vAlign w:val="center"/>
          </w:tcPr>
          <w:p w14:paraId="36D6C934" w14:textId="77777777" w:rsidR="00186656" w:rsidRPr="003478AF" w:rsidRDefault="00186656" w:rsidP="00DF58CA">
            <w:pPr>
              <w:ind w:firstLine="0"/>
              <w:jc w:val="left"/>
              <w:rPr>
                <w:rFonts w:eastAsia="Arial" w:cs="Arial"/>
                <w:sz w:val="18"/>
                <w:szCs w:val="18"/>
              </w:rPr>
            </w:pPr>
          </w:p>
        </w:tc>
        <w:tc>
          <w:tcPr>
            <w:tcW w:w="4904" w:type="dxa"/>
            <w:shd w:val="clear" w:color="auto" w:fill="FFFFFF" w:themeFill="background1"/>
            <w:vAlign w:val="center"/>
          </w:tcPr>
          <w:p w14:paraId="0962A390" w14:textId="2B88317B" w:rsidR="00186656" w:rsidRPr="003478AF" w:rsidRDefault="002F2149" w:rsidP="00DF58CA">
            <w:pPr>
              <w:ind w:firstLine="0"/>
              <w:jc w:val="left"/>
              <w:rPr>
                <w:rFonts w:eastAsia="Arial" w:cs="Arial"/>
                <w:sz w:val="18"/>
                <w:szCs w:val="18"/>
              </w:rPr>
            </w:pPr>
            <w:r w:rsidRPr="003478AF">
              <w:rPr>
                <w:rFonts w:eastAsia="Arial" w:cs="Arial"/>
                <w:sz w:val="18"/>
                <w:szCs w:val="18"/>
              </w:rPr>
              <w:t xml:space="preserve">Ilość </w:t>
            </w:r>
            <w:r w:rsidR="002D6426" w:rsidRPr="003478AF">
              <w:rPr>
                <w:rFonts w:eastAsia="Arial" w:cs="Arial"/>
                <w:sz w:val="18"/>
                <w:szCs w:val="18"/>
              </w:rPr>
              <w:t xml:space="preserve">odpadów </w:t>
            </w:r>
            <w:r w:rsidR="00186656" w:rsidRPr="003478AF">
              <w:rPr>
                <w:rFonts w:eastAsia="Arial" w:cs="Arial"/>
                <w:sz w:val="18"/>
                <w:szCs w:val="18"/>
              </w:rPr>
              <w:t xml:space="preserve">biodegradowalnych </w:t>
            </w:r>
            <w:r w:rsidRPr="003478AF">
              <w:rPr>
                <w:rFonts w:eastAsia="Arial" w:cs="Arial"/>
                <w:sz w:val="18"/>
                <w:szCs w:val="18"/>
              </w:rPr>
              <w:t>zebranych selektywnie w ciągu roku</w:t>
            </w:r>
          </w:p>
        </w:tc>
        <w:tc>
          <w:tcPr>
            <w:tcW w:w="1241" w:type="dxa"/>
            <w:shd w:val="clear" w:color="auto" w:fill="FFFFFF" w:themeFill="background1"/>
            <w:vAlign w:val="center"/>
          </w:tcPr>
          <w:p w14:paraId="282991F9" w14:textId="6466CB44" w:rsidR="00186656" w:rsidRPr="003478AF" w:rsidRDefault="00166B3C" w:rsidP="00DF58CA">
            <w:pPr>
              <w:ind w:firstLine="0"/>
              <w:jc w:val="center"/>
              <w:rPr>
                <w:rFonts w:eastAsia="Arial" w:cs="Arial"/>
                <w:sz w:val="18"/>
                <w:szCs w:val="18"/>
              </w:rPr>
            </w:pPr>
            <w:r w:rsidRPr="003478AF">
              <w:rPr>
                <w:rFonts w:eastAsia="Arial" w:cs="Arial"/>
                <w:sz w:val="18"/>
                <w:szCs w:val="18"/>
              </w:rPr>
              <w:t>t</w:t>
            </w:r>
          </w:p>
        </w:tc>
      </w:tr>
      <w:tr w:rsidR="00166B3C" w:rsidRPr="003478AF" w14:paraId="6271960F" w14:textId="77777777" w:rsidTr="001B0CB3">
        <w:tc>
          <w:tcPr>
            <w:tcW w:w="2122" w:type="dxa"/>
            <w:shd w:val="clear" w:color="auto" w:fill="FFFFFF" w:themeFill="background1"/>
            <w:vAlign w:val="center"/>
          </w:tcPr>
          <w:p w14:paraId="191AA758" w14:textId="685A070D" w:rsidR="00186656" w:rsidRPr="003478AF" w:rsidRDefault="00186656" w:rsidP="00DF58CA">
            <w:pPr>
              <w:ind w:firstLine="0"/>
              <w:jc w:val="left"/>
              <w:rPr>
                <w:rFonts w:eastAsia="Arial" w:cs="Arial"/>
                <w:sz w:val="18"/>
                <w:szCs w:val="18"/>
              </w:rPr>
            </w:pPr>
            <w:r w:rsidRPr="003478AF">
              <w:rPr>
                <w:rFonts w:eastAsia="Arial" w:cs="Arial"/>
                <w:sz w:val="18"/>
                <w:szCs w:val="18"/>
              </w:rPr>
              <w:t>Nakłady na ochronę środowiska</w:t>
            </w:r>
          </w:p>
        </w:tc>
        <w:tc>
          <w:tcPr>
            <w:tcW w:w="4904" w:type="dxa"/>
            <w:shd w:val="clear" w:color="auto" w:fill="FFFFFF" w:themeFill="background1"/>
            <w:vAlign w:val="center"/>
          </w:tcPr>
          <w:p w14:paraId="4ED8B974" w14:textId="16A3061C" w:rsidR="00186656" w:rsidRPr="003478AF" w:rsidRDefault="00166B3C" w:rsidP="00DF58CA">
            <w:pPr>
              <w:ind w:firstLine="0"/>
              <w:jc w:val="left"/>
              <w:rPr>
                <w:rFonts w:eastAsia="Arial" w:cs="Arial"/>
                <w:sz w:val="18"/>
                <w:szCs w:val="18"/>
              </w:rPr>
            </w:pPr>
            <w:r w:rsidRPr="003478AF">
              <w:rPr>
                <w:rFonts w:eastAsia="Arial" w:cs="Arial"/>
                <w:sz w:val="18"/>
                <w:szCs w:val="18"/>
              </w:rPr>
              <w:t>N</w:t>
            </w:r>
            <w:r w:rsidR="00186656" w:rsidRPr="003478AF">
              <w:rPr>
                <w:rFonts w:eastAsia="Arial" w:cs="Arial"/>
                <w:sz w:val="18"/>
                <w:szCs w:val="18"/>
              </w:rPr>
              <w:t>akład</w:t>
            </w:r>
            <w:r w:rsidRPr="003478AF">
              <w:rPr>
                <w:rFonts w:eastAsia="Arial" w:cs="Arial"/>
                <w:sz w:val="18"/>
                <w:szCs w:val="18"/>
              </w:rPr>
              <w:t>y</w:t>
            </w:r>
            <w:r w:rsidR="00186656" w:rsidRPr="003478AF">
              <w:rPr>
                <w:rFonts w:eastAsia="Arial" w:cs="Arial"/>
                <w:sz w:val="18"/>
                <w:szCs w:val="18"/>
              </w:rPr>
              <w:t xml:space="preserve"> na </w:t>
            </w:r>
            <w:r w:rsidR="00C17D7A" w:rsidRPr="003478AF">
              <w:rPr>
                <w:rFonts w:eastAsia="Arial" w:cs="Arial"/>
                <w:sz w:val="18"/>
                <w:szCs w:val="18"/>
              </w:rPr>
              <w:t xml:space="preserve">środki trwałe służące </w:t>
            </w:r>
            <w:r w:rsidR="00186656" w:rsidRPr="003478AF">
              <w:rPr>
                <w:rFonts w:eastAsia="Arial" w:cs="Arial"/>
                <w:sz w:val="18"/>
                <w:szCs w:val="18"/>
              </w:rPr>
              <w:t>ochron</w:t>
            </w:r>
            <w:r w:rsidR="00C17D7A" w:rsidRPr="003478AF">
              <w:rPr>
                <w:rFonts w:eastAsia="Arial" w:cs="Arial"/>
                <w:sz w:val="18"/>
                <w:szCs w:val="18"/>
              </w:rPr>
              <w:t>ie środowiska</w:t>
            </w:r>
          </w:p>
        </w:tc>
        <w:tc>
          <w:tcPr>
            <w:tcW w:w="1241" w:type="dxa"/>
            <w:shd w:val="clear" w:color="auto" w:fill="FFFFFF" w:themeFill="background1"/>
            <w:vAlign w:val="center"/>
          </w:tcPr>
          <w:p w14:paraId="6B4F7613" w14:textId="0EFFA9B8" w:rsidR="00186656" w:rsidRPr="003478AF" w:rsidRDefault="002F2149" w:rsidP="00DF58CA">
            <w:pPr>
              <w:ind w:firstLine="0"/>
              <w:jc w:val="center"/>
              <w:rPr>
                <w:rFonts w:eastAsia="Arial" w:cs="Arial"/>
                <w:sz w:val="18"/>
                <w:szCs w:val="18"/>
              </w:rPr>
            </w:pPr>
            <w:r w:rsidRPr="003478AF">
              <w:rPr>
                <w:rFonts w:eastAsia="Arial" w:cs="Arial"/>
                <w:sz w:val="18"/>
                <w:szCs w:val="18"/>
              </w:rPr>
              <w:t>zł</w:t>
            </w:r>
          </w:p>
        </w:tc>
      </w:tr>
      <w:tr w:rsidR="00166B3C" w:rsidRPr="003478AF" w14:paraId="543C476B" w14:textId="77777777" w:rsidTr="001B0CB3">
        <w:tc>
          <w:tcPr>
            <w:tcW w:w="2122" w:type="dxa"/>
            <w:vMerge w:val="restart"/>
            <w:shd w:val="clear" w:color="auto" w:fill="FFFFFF" w:themeFill="background1"/>
            <w:vAlign w:val="center"/>
          </w:tcPr>
          <w:p w14:paraId="46E2A36C" w14:textId="111450DD" w:rsidR="00186656" w:rsidRPr="003478AF" w:rsidRDefault="00186656" w:rsidP="00DF58CA">
            <w:pPr>
              <w:ind w:firstLine="0"/>
              <w:jc w:val="left"/>
              <w:rPr>
                <w:rFonts w:eastAsia="Arial" w:cs="Arial"/>
                <w:sz w:val="18"/>
                <w:szCs w:val="18"/>
              </w:rPr>
            </w:pPr>
            <w:r w:rsidRPr="003478AF">
              <w:rPr>
                <w:rFonts w:eastAsia="Arial" w:cs="Arial"/>
                <w:sz w:val="18"/>
                <w:szCs w:val="18"/>
              </w:rPr>
              <w:t>Energetyka</w:t>
            </w:r>
          </w:p>
        </w:tc>
        <w:tc>
          <w:tcPr>
            <w:tcW w:w="4904" w:type="dxa"/>
            <w:shd w:val="clear" w:color="auto" w:fill="FFFFFF" w:themeFill="background1"/>
            <w:vAlign w:val="center"/>
          </w:tcPr>
          <w:p w14:paraId="422A9608" w14:textId="481B5601" w:rsidR="00186656" w:rsidRPr="003478AF" w:rsidRDefault="00186656" w:rsidP="00DF58CA">
            <w:pPr>
              <w:ind w:firstLine="0"/>
              <w:jc w:val="left"/>
              <w:rPr>
                <w:rFonts w:eastAsia="Arial" w:cs="Arial"/>
                <w:sz w:val="18"/>
                <w:szCs w:val="18"/>
              </w:rPr>
            </w:pPr>
            <w:r w:rsidRPr="003478AF">
              <w:rPr>
                <w:rFonts w:eastAsia="Arial" w:cs="Arial"/>
                <w:sz w:val="18"/>
                <w:szCs w:val="18"/>
              </w:rPr>
              <w:t>Udział energii odnawialnej w produkcji energii elektrycznej ogółem</w:t>
            </w:r>
          </w:p>
        </w:tc>
        <w:tc>
          <w:tcPr>
            <w:tcW w:w="1241" w:type="dxa"/>
            <w:shd w:val="clear" w:color="auto" w:fill="FFFFFF" w:themeFill="background1"/>
            <w:vAlign w:val="center"/>
          </w:tcPr>
          <w:p w14:paraId="76CA917C" w14:textId="0E47E4DA" w:rsidR="00186656" w:rsidRPr="003478AF" w:rsidRDefault="00EB235F" w:rsidP="00DF58CA">
            <w:pPr>
              <w:ind w:firstLine="0"/>
              <w:jc w:val="center"/>
              <w:rPr>
                <w:rFonts w:eastAsia="Arial" w:cs="Arial"/>
                <w:sz w:val="18"/>
                <w:szCs w:val="18"/>
              </w:rPr>
            </w:pPr>
            <w:r w:rsidRPr="003478AF">
              <w:rPr>
                <w:rFonts w:eastAsia="Arial" w:cs="Arial"/>
                <w:sz w:val="18"/>
                <w:szCs w:val="18"/>
              </w:rPr>
              <w:t>%</w:t>
            </w:r>
          </w:p>
        </w:tc>
      </w:tr>
      <w:tr w:rsidR="00166B3C" w:rsidRPr="003478AF" w14:paraId="19205ECD" w14:textId="77777777" w:rsidTr="001B0CB3">
        <w:tc>
          <w:tcPr>
            <w:tcW w:w="2122" w:type="dxa"/>
            <w:vMerge/>
            <w:shd w:val="clear" w:color="auto" w:fill="FFFFFF" w:themeFill="background1"/>
            <w:vAlign w:val="center"/>
          </w:tcPr>
          <w:p w14:paraId="03919E01" w14:textId="77777777" w:rsidR="00186656" w:rsidRPr="003478AF" w:rsidRDefault="00186656" w:rsidP="00DF58CA">
            <w:pPr>
              <w:ind w:firstLine="0"/>
              <w:jc w:val="left"/>
              <w:rPr>
                <w:rFonts w:eastAsia="Arial" w:cs="Arial"/>
                <w:sz w:val="18"/>
                <w:szCs w:val="18"/>
              </w:rPr>
            </w:pPr>
          </w:p>
        </w:tc>
        <w:tc>
          <w:tcPr>
            <w:tcW w:w="4904" w:type="dxa"/>
            <w:shd w:val="clear" w:color="auto" w:fill="FFFFFF" w:themeFill="background1"/>
            <w:vAlign w:val="center"/>
          </w:tcPr>
          <w:p w14:paraId="73614B26" w14:textId="0764A3A5" w:rsidR="00186656" w:rsidRPr="003478AF" w:rsidRDefault="00186656" w:rsidP="00DF58CA">
            <w:pPr>
              <w:ind w:firstLine="0"/>
              <w:jc w:val="left"/>
              <w:rPr>
                <w:rFonts w:eastAsia="Arial" w:cs="Arial"/>
                <w:sz w:val="18"/>
                <w:szCs w:val="18"/>
              </w:rPr>
            </w:pPr>
            <w:r w:rsidRPr="003478AF">
              <w:rPr>
                <w:rFonts w:eastAsia="Arial" w:cs="Arial"/>
                <w:sz w:val="18"/>
                <w:szCs w:val="18"/>
              </w:rPr>
              <w:t>Zuży</w:t>
            </w:r>
            <w:r w:rsidR="00EB235F" w:rsidRPr="003478AF">
              <w:rPr>
                <w:rFonts w:eastAsia="Arial" w:cs="Arial"/>
                <w:sz w:val="18"/>
                <w:szCs w:val="18"/>
              </w:rPr>
              <w:t>cie energii elektrycznej ogółem</w:t>
            </w:r>
          </w:p>
        </w:tc>
        <w:tc>
          <w:tcPr>
            <w:tcW w:w="1241" w:type="dxa"/>
            <w:shd w:val="clear" w:color="auto" w:fill="FFFFFF" w:themeFill="background1"/>
            <w:vAlign w:val="center"/>
          </w:tcPr>
          <w:p w14:paraId="768CF859" w14:textId="77777777" w:rsidR="00186656" w:rsidRPr="003478AF" w:rsidRDefault="00186656" w:rsidP="00DF58CA">
            <w:pPr>
              <w:ind w:firstLine="0"/>
              <w:jc w:val="center"/>
              <w:rPr>
                <w:rFonts w:eastAsia="Arial" w:cs="Arial"/>
                <w:sz w:val="18"/>
                <w:szCs w:val="18"/>
              </w:rPr>
            </w:pPr>
            <w:r w:rsidRPr="003478AF">
              <w:rPr>
                <w:rFonts w:eastAsia="Arial" w:cs="Arial"/>
                <w:sz w:val="18"/>
                <w:szCs w:val="18"/>
              </w:rPr>
              <w:t>GWh</w:t>
            </w:r>
          </w:p>
        </w:tc>
      </w:tr>
      <w:tr w:rsidR="00166B3C" w:rsidRPr="003478AF" w14:paraId="3E314DB7" w14:textId="77777777" w:rsidTr="001B0CB3">
        <w:tc>
          <w:tcPr>
            <w:tcW w:w="2122" w:type="dxa"/>
            <w:shd w:val="clear" w:color="auto" w:fill="FFFFFF" w:themeFill="background1"/>
            <w:vAlign w:val="center"/>
          </w:tcPr>
          <w:p w14:paraId="70E63A0C" w14:textId="62250D00" w:rsidR="00186656" w:rsidRPr="003478AF" w:rsidRDefault="00186656" w:rsidP="00DF58CA">
            <w:pPr>
              <w:ind w:firstLine="0"/>
              <w:jc w:val="left"/>
              <w:rPr>
                <w:rFonts w:eastAsia="Arial" w:cs="Arial"/>
                <w:sz w:val="18"/>
                <w:szCs w:val="18"/>
              </w:rPr>
            </w:pPr>
            <w:r w:rsidRPr="003478AF">
              <w:rPr>
                <w:rFonts w:eastAsia="Arial" w:cs="Arial"/>
                <w:sz w:val="18"/>
                <w:szCs w:val="18"/>
              </w:rPr>
              <w:t>Powierzchnia o szczególnych walorach przyrodniczych</w:t>
            </w:r>
          </w:p>
        </w:tc>
        <w:tc>
          <w:tcPr>
            <w:tcW w:w="4904" w:type="dxa"/>
            <w:shd w:val="clear" w:color="auto" w:fill="FFFFFF" w:themeFill="background1"/>
            <w:vAlign w:val="center"/>
          </w:tcPr>
          <w:p w14:paraId="063A823C" w14:textId="1163F97B" w:rsidR="00186656" w:rsidRPr="003478AF" w:rsidRDefault="00C17D7A" w:rsidP="00DF58CA">
            <w:pPr>
              <w:ind w:firstLine="0"/>
              <w:jc w:val="left"/>
              <w:rPr>
                <w:rFonts w:eastAsia="Arial" w:cs="Arial"/>
                <w:sz w:val="18"/>
                <w:szCs w:val="18"/>
              </w:rPr>
            </w:pPr>
            <w:r w:rsidRPr="003478AF">
              <w:rPr>
                <w:rFonts w:eastAsia="Arial" w:cs="Arial"/>
                <w:sz w:val="18"/>
                <w:szCs w:val="18"/>
              </w:rPr>
              <w:t>Powierzchnia obszarów prawnie chronionych</w:t>
            </w:r>
          </w:p>
        </w:tc>
        <w:tc>
          <w:tcPr>
            <w:tcW w:w="1241" w:type="dxa"/>
            <w:shd w:val="clear" w:color="auto" w:fill="FFFFFF" w:themeFill="background1"/>
            <w:vAlign w:val="center"/>
          </w:tcPr>
          <w:p w14:paraId="0DA2EB80" w14:textId="3AB8AE0B" w:rsidR="00186656" w:rsidRPr="003478AF" w:rsidRDefault="008E77CE" w:rsidP="00DF58CA">
            <w:pPr>
              <w:ind w:firstLine="0"/>
              <w:jc w:val="center"/>
              <w:rPr>
                <w:rFonts w:eastAsia="Arial" w:cs="Arial"/>
                <w:sz w:val="18"/>
                <w:szCs w:val="18"/>
              </w:rPr>
            </w:pPr>
            <w:r w:rsidRPr="003478AF">
              <w:rPr>
                <w:rFonts w:eastAsia="Arial" w:cs="Arial"/>
                <w:sz w:val="18"/>
                <w:szCs w:val="18"/>
              </w:rPr>
              <w:t>ha</w:t>
            </w:r>
          </w:p>
        </w:tc>
      </w:tr>
      <w:tr w:rsidR="00166B3C" w:rsidRPr="003478AF" w14:paraId="38DBBCD1" w14:textId="77777777" w:rsidTr="001B0CB3">
        <w:tc>
          <w:tcPr>
            <w:tcW w:w="2122" w:type="dxa"/>
            <w:vMerge w:val="restart"/>
            <w:shd w:val="clear" w:color="auto" w:fill="FFFFFF" w:themeFill="background1"/>
            <w:vAlign w:val="center"/>
          </w:tcPr>
          <w:p w14:paraId="61D3D3EC" w14:textId="5D3473BB" w:rsidR="008E77CE" w:rsidRPr="003478AF" w:rsidDel="008E77CE" w:rsidRDefault="008E77CE" w:rsidP="00DF58CA">
            <w:pPr>
              <w:ind w:firstLine="0"/>
              <w:jc w:val="left"/>
              <w:rPr>
                <w:rFonts w:eastAsia="Arial" w:cs="Arial"/>
                <w:sz w:val="18"/>
                <w:szCs w:val="18"/>
              </w:rPr>
            </w:pPr>
            <w:r w:rsidRPr="003478AF">
              <w:rPr>
                <w:rFonts w:eastAsia="Arial" w:cs="Arial"/>
                <w:sz w:val="18"/>
                <w:szCs w:val="18"/>
              </w:rPr>
              <w:t>Ekologiczne gospodarstwa rolne</w:t>
            </w:r>
          </w:p>
        </w:tc>
        <w:tc>
          <w:tcPr>
            <w:tcW w:w="4904" w:type="dxa"/>
            <w:shd w:val="clear" w:color="auto" w:fill="FFFFFF" w:themeFill="background1"/>
            <w:vAlign w:val="center"/>
          </w:tcPr>
          <w:p w14:paraId="1675EB3D" w14:textId="17265D5F" w:rsidR="008E77CE" w:rsidRPr="003478AF" w:rsidRDefault="008E77CE" w:rsidP="00DF58CA">
            <w:pPr>
              <w:ind w:firstLine="0"/>
              <w:jc w:val="left"/>
              <w:rPr>
                <w:rFonts w:eastAsia="Arial" w:cs="Arial"/>
                <w:sz w:val="18"/>
                <w:szCs w:val="18"/>
              </w:rPr>
            </w:pPr>
            <w:r w:rsidRPr="003478AF">
              <w:rPr>
                <w:rFonts w:eastAsia="Arial" w:cs="Arial"/>
                <w:sz w:val="18"/>
                <w:szCs w:val="18"/>
              </w:rPr>
              <w:t>Powierzchnia ekologicznych gospodarstw rolnych</w:t>
            </w:r>
          </w:p>
        </w:tc>
        <w:tc>
          <w:tcPr>
            <w:tcW w:w="1241" w:type="dxa"/>
            <w:shd w:val="clear" w:color="auto" w:fill="FFFFFF" w:themeFill="background1"/>
            <w:vAlign w:val="center"/>
          </w:tcPr>
          <w:p w14:paraId="44CE4938" w14:textId="56E44C14" w:rsidR="008E77CE" w:rsidRPr="003478AF" w:rsidRDefault="008E77CE" w:rsidP="00DF58CA">
            <w:pPr>
              <w:ind w:firstLine="0"/>
              <w:jc w:val="center"/>
              <w:rPr>
                <w:rFonts w:eastAsia="Arial" w:cs="Arial"/>
                <w:sz w:val="18"/>
                <w:szCs w:val="18"/>
              </w:rPr>
            </w:pPr>
            <w:r w:rsidRPr="003478AF">
              <w:rPr>
                <w:rFonts w:eastAsia="Arial" w:cs="Arial"/>
                <w:sz w:val="18"/>
                <w:szCs w:val="18"/>
              </w:rPr>
              <w:t>ha</w:t>
            </w:r>
          </w:p>
        </w:tc>
      </w:tr>
      <w:tr w:rsidR="00166B3C" w:rsidRPr="003478AF" w14:paraId="6B1B089F" w14:textId="77777777" w:rsidTr="001B0CB3">
        <w:tc>
          <w:tcPr>
            <w:tcW w:w="2122" w:type="dxa"/>
            <w:vMerge/>
            <w:shd w:val="clear" w:color="auto" w:fill="FFFFFF" w:themeFill="background1"/>
            <w:vAlign w:val="center"/>
          </w:tcPr>
          <w:p w14:paraId="435BA487" w14:textId="126EE02C" w:rsidR="008E77CE" w:rsidRPr="003478AF" w:rsidRDefault="008E77CE" w:rsidP="00DF58CA">
            <w:pPr>
              <w:ind w:firstLine="0"/>
              <w:jc w:val="left"/>
              <w:rPr>
                <w:rFonts w:eastAsia="Arial" w:cs="Arial"/>
                <w:sz w:val="18"/>
                <w:szCs w:val="18"/>
              </w:rPr>
            </w:pPr>
          </w:p>
        </w:tc>
        <w:tc>
          <w:tcPr>
            <w:tcW w:w="4904" w:type="dxa"/>
            <w:shd w:val="clear" w:color="auto" w:fill="FFFFFF" w:themeFill="background1"/>
            <w:vAlign w:val="center"/>
          </w:tcPr>
          <w:p w14:paraId="463B5763" w14:textId="53D8B0F5" w:rsidR="008E77CE" w:rsidRPr="003478AF" w:rsidRDefault="008E77CE" w:rsidP="00DF58CA">
            <w:pPr>
              <w:ind w:firstLine="0"/>
              <w:jc w:val="left"/>
              <w:rPr>
                <w:rFonts w:eastAsia="Arial" w:cs="Arial"/>
                <w:sz w:val="18"/>
                <w:szCs w:val="18"/>
              </w:rPr>
            </w:pPr>
            <w:r w:rsidRPr="003478AF">
              <w:rPr>
                <w:rFonts w:eastAsia="Arial" w:cs="Arial"/>
                <w:sz w:val="18"/>
                <w:szCs w:val="18"/>
              </w:rPr>
              <w:t xml:space="preserve">Udział powierzchni ekologicznych gospodarstw rolnych z certyfikatem w </w:t>
            </w:r>
            <w:r w:rsidR="00C17D7A" w:rsidRPr="003478AF">
              <w:rPr>
                <w:rFonts w:eastAsia="Arial" w:cs="Arial"/>
                <w:sz w:val="18"/>
                <w:szCs w:val="18"/>
              </w:rPr>
              <w:t xml:space="preserve">powierzchni </w:t>
            </w:r>
            <w:r w:rsidRPr="003478AF">
              <w:rPr>
                <w:rFonts w:eastAsia="Arial" w:cs="Arial"/>
                <w:sz w:val="18"/>
                <w:szCs w:val="18"/>
              </w:rPr>
              <w:t>użytk</w:t>
            </w:r>
            <w:r w:rsidR="00C17D7A" w:rsidRPr="003478AF">
              <w:rPr>
                <w:rFonts w:eastAsia="Arial" w:cs="Arial"/>
                <w:sz w:val="18"/>
                <w:szCs w:val="18"/>
              </w:rPr>
              <w:t>ów rolnych ogółem</w:t>
            </w:r>
          </w:p>
        </w:tc>
        <w:tc>
          <w:tcPr>
            <w:tcW w:w="1241" w:type="dxa"/>
            <w:shd w:val="clear" w:color="auto" w:fill="FFFFFF" w:themeFill="background1"/>
            <w:vAlign w:val="center"/>
          </w:tcPr>
          <w:p w14:paraId="6D943DFD" w14:textId="7ACAD5C4" w:rsidR="008E77CE" w:rsidRPr="003478AF" w:rsidRDefault="008E77CE" w:rsidP="00DF58CA">
            <w:pPr>
              <w:ind w:firstLine="0"/>
              <w:jc w:val="center"/>
              <w:rPr>
                <w:rFonts w:eastAsia="Arial" w:cs="Arial"/>
                <w:sz w:val="18"/>
                <w:szCs w:val="18"/>
              </w:rPr>
            </w:pPr>
            <w:r w:rsidRPr="003478AF">
              <w:rPr>
                <w:rFonts w:eastAsia="Arial" w:cs="Arial"/>
                <w:sz w:val="18"/>
                <w:szCs w:val="18"/>
              </w:rPr>
              <w:t>%</w:t>
            </w:r>
          </w:p>
        </w:tc>
      </w:tr>
      <w:tr w:rsidR="00166B3C" w:rsidRPr="003478AF" w14:paraId="6C300BF6" w14:textId="77777777" w:rsidTr="001B0CB3">
        <w:trPr>
          <w:trHeight w:val="413"/>
        </w:trPr>
        <w:tc>
          <w:tcPr>
            <w:tcW w:w="2122" w:type="dxa"/>
            <w:shd w:val="clear" w:color="auto" w:fill="FFFFFF" w:themeFill="background1"/>
            <w:vAlign w:val="center"/>
          </w:tcPr>
          <w:p w14:paraId="31FBB1F4" w14:textId="71FAAEBB" w:rsidR="00186656" w:rsidRPr="003478AF" w:rsidRDefault="00186656" w:rsidP="00DF58CA">
            <w:pPr>
              <w:ind w:firstLine="0"/>
              <w:jc w:val="left"/>
              <w:rPr>
                <w:rFonts w:eastAsia="Arial" w:cs="Arial"/>
                <w:sz w:val="18"/>
                <w:szCs w:val="18"/>
              </w:rPr>
            </w:pPr>
            <w:r w:rsidRPr="003478AF">
              <w:rPr>
                <w:rFonts w:eastAsia="Arial" w:cs="Arial"/>
                <w:sz w:val="18"/>
                <w:szCs w:val="18"/>
              </w:rPr>
              <w:t>Wynalazki</w:t>
            </w:r>
          </w:p>
        </w:tc>
        <w:tc>
          <w:tcPr>
            <w:tcW w:w="4904" w:type="dxa"/>
            <w:shd w:val="clear" w:color="auto" w:fill="FFFFFF" w:themeFill="background1"/>
            <w:vAlign w:val="center"/>
          </w:tcPr>
          <w:p w14:paraId="645AC618" w14:textId="1DBE3BAD" w:rsidR="00186656" w:rsidRPr="003478AF" w:rsidRDefault="00A06FB3" w:rsidP="00DF58CA">
            <w:pPr>
              <w:ind w:firstLine="0"/>
              <w:jc w:val="left"/>
              <w:rPr>
                <w:rFonts w:eastAsia="Arial" w:cs="Arial"/>
                <w:sz w:val="18"/>
                <w:szCs w:val="18"/>
              </w:rPr>
            </w:pPr>
            <w:r w:rsidRPr="003478AF">
              <w:rPr>
                <w:rFonts w:eastAsia="Arial" w:cs="Arial"/>
                <w:sz w:val="18"/>
                <w:szCs w:val="18"/>
              </w:rPr>
              <w:t xml:space="preserve">Wynalazki zgłoszone do UPRP w obszarze </w:t>
            </w:r>
            <w:r w:rsidR="00A114FC" w:rsidRPr="003478AF">
              <w:rPr>
                <w:rFonts w:eastAsia="Arial" w:cs="Arial"/>
                <w:sz w:val="18"/>
                <w:szCs w:val="18"/>
              </w:rPr>
              <w:t>t</w:t>
            </w:r>
            <w:r w:rsidRPr="003478AF">
              <w:rPr>
                <w:rFonts w:eastAsia="Arial" w:cs="Arial"/>
                <w:sz w:val="18"/>
                <w:szCs w:val="18"/>
              </w:rPr>
              <w:t xml:space="preserve">echnologii </w:t>
            </w:r>
            <w:r w:rsidR="00A114FC" w:rsidRPr="003478AF">
              <w:rPr>
                <w:rFonts w:eastAsia="Arial" w:cs="Arial"/>
                <w:sz w:val="18"/>
                <w:szCs w:val="18"/>
              </w:rPr>
              <w:t>o</w:t>
            </w:r>
            <w:r w:rsidRPr="003478AF">
              <w:rPr>
                <w:rFonts w:eastAsia="Arial" w:cs="Arial"/>
                <w:sz w:val="18"/>
                <w:szCs w:val="18"/>
              </w:rPr>
              <w:t xml:space="preserve">chrony </w:t>
            </w:r>
            <w:r w:rsidR="00A114FC" w:rsidRPr="003478AF">
              <w:rPr>
                <w:rFonts w:eastAsia="Arial" w:cs="Arial"/>
                <w:sz w:val="18"/>
                <w:szCs w:val="18"/>
              </w:rPr>
              <w:t>ś</w:t>
            </w:r>
            <w:r w:rsidRPr="003478AF">
              <w:rPr>
                <w:rFonts w:eastAsia="Arial" w:cs="Arial"/>
                <w:sz w:val="18"/>
                <w:szCs w:val="18"/>
              </w:rPr>
              <w:t>rodowiska</w:t>
            </w:r>
          </w:p>
        </w:tc>
        <w:tc>
          <w:tcPr>
            <w:tcW w:w="1241" w:type="dxa"/>
            <w:shd w:val="clear" w:color="auto" w:fill="FFFFFF" w:themeFill="background1"/>
            <w:vAlign w:val="center"/>
          </w:tcPr>
          <w:p w14:paraId="096E6BF3" w14:textId="5C1FA837" w:rsidR="00186656" w:rsidRPr="003478AF" w:rsidRDefault="00A06FB3" w:rsidP="00DF58CA">
            <w:pPr>
              <w:ind w:firstLine="0"/>
              <w:jc w:val="center"/>
              <w:rPr>
                <w:rFonts w:eastAsia="Arial" w:cs="Arial"/>
                <w:sz w:val="18"/>
                <w:szCs w:val="18"/>
              </w:rPr>
            </w:pPr>
            <w:r w:rsidRPr="003478AF">
              <w:rPr>
                <w:rFonts w:eastAsia="Arial" w:cs="Arial"/>
                <w:sz w:val="18"/>
                <w:szCs w:val="18"/>
              </w:rPr>
              <w:t>szt</w:t>
            </w:r>
            <w:r w:rsidR="00A37A50" w:rsidRPr="003478AF">
              <w:rPr>
                <w:rFonts w:eastAsia="Arial" w:cs="Arial"/>
                <w:sz w:val="18"/>
                <w:szCs w:val="18"/>
              </w:rPr>
              <w:t>.</w:t>
            </w:r>
          </w:p>
        </w:tc>
      </w:tr>
      <w:tr w:rsidR="00166B3C" w:rsidRPr="003478AF" w14:paraId="02A48111" w14:textId="77777777" w:rsidTr="001B0CB3">
        <w:tc>
          <w:tcPr>
            <w:tcW w:w="2122" w:type="dxa"/>
            <w:shd w:val="clear" w:color="auto" w:fill="FFFFFF" w:themeFill="background1"/>
            <w:vAlign w:val="center"/>
          </w:tcPr>
          <w:p w14:paraId="6E3F9C34" w14:textId="7E7A1510" w:rsidR="00186656" w:rsidRPr="003478AF" w:rsidRDefault="00186656" w:rsidP="00DF58CA">
            <w:pPr>
              <w:ind w:firstLine="0"/>
              <w:jc w:val="left"/>
              <w:rPr>
                <w:rFonts w:eastAsia="Arial" w:cs="Arial"/>
                <w:sz w:val="18"/>
                <w:szCs w:val="18"/>
              </w:rPr>
            </w:pPr>
            <w:r w:rsidRPr="003478AF">
              <w:rPr>
                <w:rFonts w:eastAsia="Arial" w:cs="Arial"/>
                <w:sz w:val="18"/>
                <w:szCs w:val="18"/>
              </w:rPr>
              <w:t>Patenty</w:t>
            </w:r>
          </w:p>
        </w:tc>
        <w:tc>
          <w:tcPr>
            <w:tcW w:w="4904" w:type="dxa"/>
            <w:shd w:val="clear" w:color="auto" w:fill="FFFFFF" w:themeFill="background1"/>
            <w:vAlign w:val="center"/>
          </w:tcPr>
          <w:p w14:paraId="7FF17549" w14:textId="2EF742CB" w:rsidR="00186656" w:rsidRPr="003478AF" w:rsidRDefault="00A06FB3" w:rsidP="00DF58CA">
            <w:pPr>
              <w:ind w:firstLine="0"/>
              <w:jc w:val="left"/>
              <w:rPr>
                <w:rFonts w:eastAsia="Arial" w:cs="Arial"/>
                <w:sz w:val="18"/>
                <w:szCs w:val="18"/>
              </w:rPr>
            </w:pPr>
            <w:r w:rsidRPr="003478AF">
              <w:rPr>
                <w:rFonts w:eastAsia="Arial" w:cs="Arial"/>
                <w:sz w:val="18"/>
                <w:szCs w:val="18"/>
              </w:rPr>
              <w:t xml:space="preserve">Patenty </w:t>
            </w:r>
            <w:r w:rsidR="00A114FC" w:rsidRPr="003478AF">
              <w:rPr>
                <w:rFonts w:eastAsia="Arial" w:cs="Arial"/>
                <w:sz w:val="18"/>
                <w:szCs w:val="18"/>
              </w:rPr>
              <w:t>u</w:t>
            </w:r>
            <w:r w:rsidRPr="003478AF">
              <w:rPr>
                <w:rFonts w:eastAsia="Arial" w:cs="Arial"/>
                <w:sz w:val="18"/>
                <w:szCs w:val="18"/>
              </w:rPr>
              <w:t xml:space="preserve">dzielone przez UPRP w obszarze </w:t>
            </w:r>
            <w:r w:rsidR="00A114FC" w:rsidRPr="003478AF">
              <w:rPr>
                <w:rFonts w:eastAsia="Arial" w:cs="Arial"/>
                <w:sz w:val="18"/>
                <w:szCs w:val="18"/>
              </w:rPr>
              <w:t>t</w:t>
            </w:r>
            <w:r w:rsidRPr="003478AF">
              <w:rPr>
                <w:rFonts w:eastAsia="Arial" w:cs="Arial"/>
                <w:sz w:val="18"/>
                <w:szCs w:val="18"/>
              </w:rPr>
              <w:t xml:space="preserve">echnologii </w:t>
            </w:r>
            <w:r w:rsidR="00A114FC" w:rsidRPr="003478AF">
              <w:rPr>
                <w:rFonts w:eastAsia="Arial" w:cs="Arial"/>
                <w:sz w:val="18"/>
                <w:szCs w:val="18"/>
              </w:rPr>
              <w:t>o</w:t>
            </w:r>
            <w:r w:rsidRPr="003478AF">
              <w:rPr>
                <w:rFonts w:eastAsia="Arial" w:cs="Arial"/>
                <w:sz w:val="18"/>
                <w:szCs w:val="18"/>
              </w:rPr>
              <w:t xml:space="preserve">chrony </w:t>
            </w:r>
            <w:r w:rsidR="00A114FC" w:rsidRPr="003478AF">
              <w:rPr>
                <w:rFonts w:eastAsia="Arial" w:cs="Arial"/>
                <w:sz w:val="18"/>
                <w:szCs w:val="18"/>
              </w:rPr>
              <w:t>ś</w:t>
            </w:r>
            <w:r w:rsidRPr="003478AF">
              <w:rPr>
                <w:rFonts w:eastAsia="Arial" w:cs="Arial"/>
                <w:sz w:val="18"/>
                <w:szCs w:val="18"/>
              </w:rPr>
              <w:t>rodowiska</w:t>
            </w:r>
          </w:p>
        </w:tc>
        <w:tc>
          <w:tcPr>
            <w:tcW w:w="1241" w:type="dxa"/>
            <w:shd w:val="clear" w:color="auto" w:fill="FFFFFF" w:themeFill="background1"/>
            <w:vAlign w:val="center"/>
          </w:tcPr>
          <w:p w14:paraId="6D2D6C66" w14:textId="6D11D4E1" w:rsidR="00186656" w:rsidRPr="003478AF" w:rsidRDefault="00A06FB3" w:rsidP="00DF58CA">
            <w:pPr>
              <w:ind w:firstLine="0"/>
              <w:jc w:val="center"/>
              <w:rPr>
                <w:rFonts w:eastAsia="Arial" w:cs="Arial"/>
                <w:sz w:val="18"/>
                <w:szCs w:val="18"/>
              </w:rPr>
            </w:pPr>
            <w:r w:rsidRPr="003478AF">
              <w:rPr>
                <w:rFonts w:eastAsia="Arial" w:cs="Arial"/>
                <w:sz w:val="18"/>
                <w:szCs w:val="18"/>
              </w:rPr>
              <w:t>szt</w:t>
            </w:r>
            <w:r w:rsidR="00A37A50" w:rsidRPr="003478AF">
              <w:rPr>
                <w:rFonts w:eastAsia="Arial" w:cs="Arial"/>
                <w:sz w:val="18"/>
                <w:szCs w:val="18"/>
              </w:rPr>
              <w:t>.</w:t>
            </w:r>
          </w:p>
        </w:tc>
      </w:tr>
    </w:tbl>
    <w:bookmarkEnd w:id="69"/>
    <w:p w14:paraId="7BF80DF6" w14:textId="4296EBD7" w:rsidR="005F43F3" w:rsidRPr="003478AF" w:rsidRDefault="005F43F3" w:rsidP="00986D40">
      <w:pPr>
        <w:pStyle w:val="AZRODLO"/>
      </w:pPr>
      <w:r w:rsidRPr="003478AF">
        <w:t>Źródło: Opracowanie własn</w:t>
      </w:r>
      <w:bookmarkStart w:id="70" w:name="_Hlk73462228"/>
      <w:r w:rsidR="0069377C" w:rsidRPr="003478AF">
        <w:t>e</w:t>
      </w:r>
    </w:p>
    <w:p w14:paraId="0E7A5B82" w14:textId="77777777" w:rsidR="005F43F3" w:rsidRPr="003478AF" w:rsidRDefault="005F43F3" w:rsidP="005F43F3">
      <w:pPr>
        <w:rPr>
          <w:rFonts w:eastAsia="Arial" w:cs="Arial"/>
          <w:szCs w:val="20"/>
        </w:rPr>
      </w:pPr>
    </w:p>
    <w:p w14:paraId="0715335E" w14:textId="25E6705B" w:rsidR="005F43F3" w:rsidRPr="003478AF" w:rsidRDefault="005F43F3" w:rsidP="005F43F3">
      <w:pPr>
        <w:rPr>
          <w:rFonts w:eastAsia="Arial" w:cs="Arial"/>
          <w:szCs w:val="20"/>
        </w:rPr>
      </w:pPr>
      <w:r w:rsidRPr="003478AF">
        <w:rPr>
          <w:rFonts w:eastAsia="Arial" w:cs="Arial"/>
          <w:szCs w:val="20"/>
        </w:rPr>
        <w:t>Na podstawie powyżej przeanalizowanych dokumentów strategicznych na poziom</w:t>
      </w:r>
      <w:r w:rsidR="002F1B1B" w:rsidRPr="003478AF">
        <w:rPr>
          <w:rFonts w:eastAsia="Arial" w:cs="Arial"/>
          <w:szCs w:val="20"/>
        </w:rPr>
        <w:t>ach</w:t>
      </w:r>
      <w:r w:rsidRPr="003478AF">
        <w:rPr>
          <w:rFonts w:eastAsia="Arial" w:cs="Arial"/>
          <w:szCs w:val="20"/>
        </w:rPr>
        <w:t xml:space="preserve"> unijnym, krajowym i regionalnym zidentyfikowano wskaźniki wpisujące się w GOZ. Większość z nich powtarza się. Zestawienie gromadzi wskaźniki wejściowe, procesowe i wyjściowe. Na ich podstawie</w:t>
      </w:r>
      <w:r w:rsidR="00127E01" w:rsidRPr="003478AF">
        <w:rPr>
          <w:rFonts w:eastAsia="Arial" w:cs="Arial"/>
          <w:szCs w:val="20"/>
        </w:rPr>
        <w:t>, a także na podstawie</w:t>
      </w:r>
      <w:r w:rsidRPr="003478AF">
        <w:rPr>
          <w:rFonts w:eastAsia="Arial" w:cs="Arial"/>
          <w:szCs w:val="20"/>
        </w:rPr>
        <w:t xml:space="preserve"> publikowanych danych statystycznych (Eurostat, GUS, BDL) oraz modelu GOZ Fundacji Ellen MacArthur</w:t>
      </w:r>
      <w:r w:rsidR="00127E01" w:rsidRPr="003478AF">
        <w:rPr>
          <w:rFonts w:eastAsia="Arial" w:cs="Arial"/>
          <w:szCs w:val="20"/>
        </w:rPr>
        <w:t>,</w:t>
      </w:r>
      <w:r w:rsidRPr="003478AF">
        <w:rPr>
          <w:rFonts w:eastAsia="Arial" w:cs="Arial"/>
          <w:szCs w:val="20"/>
        </w:rPr>
        <w:t xml:space="preserve"> zaproponowano wskaźn</w:t>
      </w:r>
      <w:r w:rsidR="001C16D6" w:rsidRPr="003478AF">
        <w:rPr>
          <w:rFonts w:eastAsia="Arial" w:cs="Arial"/>
          <w:szCs w:val="20"/>
        </w:rPr>
        <w:t>i</w:t>
      </w:r>
      <w:r w:rsidRPr="003478AF">
        <w:rPr>
          <w:rFonts w:eastAsia="Arial" w:cs="Arial"/>
          <w:szCs w:val="20"/>
        </w:rPr>
        <w:t>ki, które można</w:t>
      </w:r>
      <w:r w:rsidR="001C16D6" w:rsidRPr="003478AF">
        <w:rPr>
          <w:rFonts w:eastAsia="Arial" w:cs="Arial"/>
          <w:szCs w:val="20"/>
        </w:rPr>
        <w:t xml:space="preserve"> </w:t>
      </w:r>
      <w:r w:rsidRPr="003478AF">
        <w:rPr>
          <w:rFonts w:eastAsia="Arial" w:cs="Arial"/>
          <w:szCs w:val="20"/>
        </w:rPr>
        <w:t>wykorzystać do pomiaru GOZ w Wielkopolsce (</w:t>
      </w:r>
      <w:r w:rsidR="000D515E" w:rsidRPr="003478AF">
        <w:rPr>
          <w:rFonts w:eastAsia="Arial" w:cs="Arial"/>
          <w:szCs w:val="20"/>
        </w:rPr>
        <w:t xml:space="preserve">Tab. </w:t>
      </w:r>
      <w:r w:rsidR="005620A2" w:rsidRPr="003478AF">
        <w:rPr>
          <w:rFonts w:eastAsia="Arial" w:cs="Arial"/>
          <w:szCs w:val="20"/>
        </w:rPr>
        <w:t>8.4</w:t>
      </w:r>
      <w:r w:rsidRPr="003478AF">
        <w:rPr>
          <w:rFonts w:eastAsia="Arial" w:cs="Arial"/>
          <w:szCs w:val="20"/>
        </w:rPr>
        <w:t>). Należy jednak zauważyć</w:t>
      </w:r>
      <w:r w:rsidR="001C16D6" w:rsidRPr="003478AF">
        <w:rPr>
          <w:rFonts w:eastAsia="Arial" w:cs="Arial"/>
          <w:szCs w:val="20"/>
        </w:rPr>
        <w:t xml:space="preserve">, </w:t>
      </w:r>
      <w:r w:rsidRPr="003478AF">
        <w:rPr>
          <w:rFonts w:eastAsia="Arial" w:cs="Arial"/>
          <w:szCs w:val="20"/>
        </w:rPr>
        <w:t>że dla wielu z nich nie są publikowane</w:t>
      </w:r>
      <w:r w:rsidR="009E5439" w:rsidRPr="003478AF">
        <w:rPr>
          <w:rFonts w:eastAsia="Arial" w:cs="Arial"/>
          <w:szCs w:val="20"/>
        </w:rPr>
        <w:t xml:space="preserve"> ogólnodostępne</w:t>
      </w:r>
      <w:r w:rsidRPr="003478AF">
        <w:rPr>
          <w:rFonts w:eastAsia="Arial" w:cs="Arial"/>
          <w:szCs w:val="20"/>
        </w:rPr>
        <w:t xml:space="preserve"> dane statystyczne.</w:t>
      </w:r>
    </w:p>
    <w:p w14:paraId="41D933D0" w14:textId="77777777" w:rsidR="00007A3A" w:rsidRPr="003478AF" w:rsidRDefault="00007A3A">
      <w:pPr>
        <w:spacing w:line="240" w:lineRule="auto"/>
        <w:ind w:firstLine="0"/>
        <w:jc w:val="left"/>
        <w:rPr>
          <w:rFonts w:eastAsia="Arial" w:cs="Arial"/>
          <w:b/>
          <w:bCs/>
          <w:sz w:val="16"/>
          <w:szCs w:val="16"/>
        </w:rPr>
      </w:pPr>
      <w:r w:rsidRPr="003478AF">
        <w:br w:type="page"/>
      </w:r>
    </w:p>
    <w:p w14:paraId="578A0CDD" w14:textId="65351E53" w:rsidR="001C16D6" w:rsidRPr="003478AF" w:rsidRDefault="005D34A6" w:rsidP="00986D40">
      <w:pPr>
        <w:pStyle w:val="ARYCINA"/>
      </w:pPr>
      <w:r w:rsidRPr="003478AF">
        <w:lastRenderedPageBreak/>
        <w:t xml:space="preserve">Tab. </w:t>
      </w:r>
      <w:r w:rsidR="00863BE9" w:rsidRPr="003478AF">
        <w:rPr>
          <w:noProof/>
        </w:rPr>
        <w:t>8.4</w:t>
      </w:r>
      <w:r w:rsidR="001C16D6" w:rsidRPr="003478AF">
        <w:t xml:space="preserve"> Propozycja wskaźników GOZ</w:t>
      </w:r>
    </w:p>
    <w:tbl>
      <w:tblPr>
        <w:tblStyle w:val="Tabela-Siatka"/>
        <w:tblW w:w="5000" w:type="pct"/>
        <w:tblLook w:val="04A0" w:firstRow="1" w:lastRow="0" w:firstColumn="1" w:lastColumn="0" w:noHBand="0" w:noVBand="1"/>
      </w:tblPr>
      <w:tblGrid>
        <w:gridCol w:w="1637"/>
        <w:gridCol w:w="4096"/>
        <w:gridCol w:w="1277"/>
        <w:gridCol w:w="1257"/>
      </w:tblGrid>
      <w:tr w:rsidR="00472F2B" w:rsidRPr="003478AF" w14:paraId="344591C9" w14:textId="3E02E4F9" w:rsidTr="00535900">
        <w:trPr>
          <w:tblHeader/>
        </w:trPr>
        <w:tc>
          <w:tcPr>
            <w:tcW w:w="893" w:type="pct"/>
            <w:shd w:val="clear" w:color="auto" w:fill="CCA879"/>
          </w:tcPr>
          <w:p w14:paraId="524B01BB" w14:textId="3FCC2EE2" w:rsidR="00472F2B" w:rsidRPr="003478AF" w:rsidRDefault="00472F2B" w:rsidP="00175EF7">
            <w:pPr>
              <w:ind w:firstLine="0"/>
              <w:jc w:val="center"/>
              <w:rPr>
                <w:rFonts w:eastAsia="Arial" w:cs="Arial"/>
                <w:b/>
                <w:bCs/>
                <w:sz w:val="18"/>
                <w:szCs w:val="18"/>
              </w:rPr>
            </w:pPr>
            <w:r w:rsidRPr="003478AF">
              <w:rPr>
                <w:rFonts w:eastAsia="Arial" w:cs="Arial"/>
                <w:b/>
                <w:bCs/>
                <w:sz w:val="18"/>
                <w:szCs w:val="18"/>
              </w:rPr>
              <w:t>Obszar</w:t>
            </w:r>
            <w:r w:rsidR="001728FF" w:rsidRPr="003478AF">
              <w:rPr>
                <w:rFonts w:eastAsia="Arial" w:cs="Arial"/>
                <w:b/>
                <w:bCs/>
                <w:sz w:val="18"/>
                <w:szCs w:val="18"/>
              </w:rPr>
              <w:t>y</w:t>
            </w:r>
          </w:p>
        </w:tc>
        <w:tc>
          <w:tcPr>
            <w:tcW w:w="2526" w:type="pct"/>
            <w:shd w:val="clear" w:color="auto" w:fill="CCA879"/>
          </w:tcPr>
          <w:p w14:paraId="228E338F" w14:textId="172F7D14" w:rsidR="00472F2B" w:rsidRPr="003478AF" w:rsidRDefault="00472F2B" w:rsidP="00175EF7">
            <w:pPr>
              <w:ind w:firstLine="0"/>
              <w:jc w:val="center"/>
              <w:rPr>
                <w:rFonts w:eastAsia="Arial" w:cs="Arial"/>
                <w:b/>
                <w:bCs/>
                <w:sz w:val="18"/>
                <w:szCs w:val="18"/>
              </w:rPr>
            </w:pPr>
            <w:r w:rsidRPr="003478AF">
              <w:rPr>
                <w:rFonts w:eastAsia="Arial" w:cs="Arial"/>
                <w:b/>
                <w:bCs/>
                <w:sz w:val="18"/>
                <w:szCs w:val="18"/>
              </w:rPr>
              <w:t>Wskaźnik</w:t>
            </w:r>
            <w:r w:rsidR="001728FF" w:rsidRPr="003478AF">
              <w:rPr>
                <w:rFonts w:eastAsia="Arial" w:cs="Arial"/>
                <w:b/>
                <w:bCs/>
                <w:sz w:val="18"/>
                <w:szCs w:val="18"/>
              </w:rPr>
              <w:t>i</w:t>
            </w:r>
          </w:p>
        </w:tc>
        <w:tc>
          <w:tcPr>
            <w:tcW w:w="821" w:type="pct"/>
            <w:shd w:val="clear" w:color="auto" w:fill="CCA879"/>
          </w:tcPr>
          <w:p w14:paraId="445CB982" w14:textId="77777777" w:rsidR="00472F2B" w:rsidRPr="003478AF" w:rsidRDefault="00472F2B" w:rsidP="009B1AA9">
            <w:pPr>
              <w:ind w:firstLine="0"/>
              <w:jc w:val="center"/>
              <w:rPr>
                <w:rFonts w:eastAsia="Arial" w:cs="Arial"/>
                <w:b/>
                <w:bCs/>
                <w:sz w:val="18"/>
                <w:szCs w:val="18"/>
              </w:rPr>
            </w:pPr>
            <w:r w:rsidRPr="003478AF">
              <w:rPr>
                <w:rFonts w:eastAsia="Arial" w:cs="Arial"/>
                <w:b/>
                <w:bCs/>
                <w:sz w:val="18"/>
                <w:szCs w:val="18"/>
              </w:rPr>
              <w:t>Jednostka miary</w:t>
            </w:r>
          </w:p>
        </w:tc>
        <w:tc>
          <w:tcPr>
            <w:tcW w:w="760" w:type="pct"/>
            <w:shd w:val="clear" w:color="auto" w:fill="CCA879"/>
          </w:tcPr>
          <w:p w14:paraId="1016E93F" w14:textId="12882379" w:rsidR="00472F2B" w:rsidRPr="003478AF" w:rsidRDefault="00472F2B" w:rsidP="005C6DD4">
            <w:pPr>
              <w:ind w:firstLine="0"/>
              <w:jc w:val="center"/>
              <w:rPr>
                <w:rFonts w:eastAsia="Arial" w:cs="Arial"/>
                <w:b/>
                <w:bCs/>
                <w:sz w:val="18"/>
                <w:szCs w:val="18"/>
              </w:rPr>
            </w:pPr>
            <w:r w:rsidRPr="003478AF">
              <w:rPr>
                <w:rFonts w:eastAsia="Arial" w:cs="Arial"/>
                <w:b/>
                <w:bCs/>
                <w:sz w:val="18"/>
                <w:szCs w:val="18"/>
              </w:rPr>
              <w:t>Źródło danych</w:t>
            </w:r>
          </w:p>
        </w:tc>
      </w:tr>
      <w:tr w:rsidR="00472F2B" w:rsidRPr="003478AF" w14:paraId="0A5F206E" w14:textId="272B8A1C" w:rsidTr="00684833">
        <w:tc>
          <w:tcPr>
            <w:tcW w:w="893" w:type="pct"/>
            <w:vMerge w:val="restart"/>
          </w:tcPr>
          <w:p w14:paraId="502C469E" w14:textId="415D33FB" w:rsidR="00472F2B" w:rsidRPr="003478AF" w:rsidRDefault="001728FF" w:rsidP="00186656">
            <w:pPr>
              <w:ind w:firstLine="0"/>
              <w:rPr>
                <w:rFonts w:eastAsia="Arial" w:cs="Arial"/>
                <w:sz w:val="18"/>
                <w:szCs w:val="18"/>
              </w:rPr>
            </w:pPr>
            <w:r w:rsidRPr="003478AF">
              <w:rPr>
                <w:rFonts w:eastAsia="Arial" w:cs="Arial"/>
                <w:sz w:val="18"/>
                <w:szCs w:val="18"/>
              </w:rPr>
              <w:t>Woda/ścieki</w:t>
            </w:r>
          </w:p>
        </w:tc>
        <w:tc>
          <w:tcPr>
            <w:tcW w:w="2526" w:type="pct"/>
          </w:tcPr>
          <w:p w14:paraId="4D9DF995" w14:textId="0A05DCD2" w:rsidR="00472F2B" w:rsidRPr="003478AF" w:rsidRDefault="00472F2B" w:rsidP="00363517">
            <w:pPr>
              <w:ind w:firstLine="0"/>
              <w:jc w:val="left"/>
              <w:rPr>
                <w:rFonts w:eastAsia="Arial" w:cs="Arial"/>
                <w:sz w:val="18"/>
                <w:szCs w:val="18"/>
              </w:rPr>
            </w:pPr>
            <w:r w:rsidRPr="003478AF">
              <w:rPr>
                <w:rFonts w:eastAsia="Arial" w:cs="Arial"/>
                <w:sz w:val="18"/>
                <w:szCs w:val="18"/>
              </w:rPr>
              <w:t>Produktywność wody (</w:t>
            </w:r>
            <w:r w:rsidR="00363517" w:rsidRPr="003478AF">
              <w:rPr>
                <w:rFonts w:eastAsia="Arial" w:cs="Arial"/>
                <w:sz w:val="18"/>
                <w:szCs w:val="18"/>
              </w:rPr>
              <w:t>relacja</w:t>
            </w:r>
            <w:r w:rsidR="00C17D7A" w:rsidRPr="003478AF">
              <w:rPr>
                <w:rFonts w:eastAsia="Arial" w:cs="Arial"/>
                <w:sz w:val="18"/>
                <w:szCs w:val="18"/>
              </w:rPr>
              <w:t xml:space="preserve"> </w:t>
            </w:r>
            <w:r w:rsidRPr="003478AF">
              <w:rPr>
                <w:rFonts w:eastAsia="Arial" w:cs="Arial"/>
                <w:sz w:val="18"/>
                <w:szCs w:val="18"/>
              </w:rPr>
              <w:t>PKB w cenach stałych</w:t>
            </w:r>
            <w:r w:rsidR="00C17D7A" w:rsidRPr="003478AF">
              <w:rPr>
                <w:rFonts w:eastAsia="Arial" w:cs="Arial"/>
                <w:sz w:val="18"/>
                <w:szCs w:val="18"/>
              </w:rPr>
              <w:t xml:space="preserve"> do</w:t>
            </w:r>
            <w:r w:rsidRPr="003478AF">
              <w:rPr>
                <w:rFonts w:eastAsia="Arial" w:cs="Arial"/>
                <w:sz w:val="18"/>
                <w:szCs w:val="18"/>
              </w:rPr>
              <w:t xml:space="preserve"> zużyci</w:t>
            </w:r>
            <w:r w:rsidR="00C17D7A" w:rsidRPr="003478AF">
              <w:rPr>
                <w:rFonts w:eastAsia="Arial" w:cs="Arial"/>
                <w:sz w:val="18"/>
                <w:szCs w:val="18"/>
              </w:rPr>
              <w:t>a</w:t>
            </w:r>
            <w:r w:rsidRPr="003478AF">
              <w:rPr>
                <w:rFonts w:eastAsia="Arial" w:cs="Arial"/>
                <w:sz w:val="18"/>
                <w:szCs w:val="18"/>
              </w:rPr>
              <w:t xml:space="preserve"> wody na potrzeby gospodarki narodowej i ludności)</w:t>
            </w:r>
          </w:p>
        </w:tc>
        <w:tc>
          <w:tcPr>
            <w:tcW w:w="821" w:type="pct"/>
          </w:tcPr>
          <w:p w14:paraId="407CAF55" w14:textId="4086131E" w:rsidR="00472F2B" w:rsidRPr="003478AF" w:rsidRDefault="00472F2B" w:rsidP="009B1AA9">
            <w:pPr>
              <w:ind w:firstLine="0"/>
              <w:jc w:val="center"/>
              <w:rPr>
                <w:rFonts w:eastAsia="Arial" w:cs="Arial"/>
                <w:sz w:val="18"/>
                <w:szCs w:val="18"/>
              </w:rPr>
            </w:pPr>
            <w:r w:rsidRPr="003478AF">
              <w:rPr>
                <w:rFonts w:eastAsia="Arial" w:cs="Arial"/>
                <w:sz w:val="18"/>
                <w:szCs w:val="18"/>
              </w:rPr>
              <w:t>zł/m</w:t>
            </w:r>
            <w:r w:rsidRPr="003478AF">
              <w:rPr>
                <w:rFonts w:eastAsia="Arial" w:cs="Arial"/>
                <w:sz w:val="18"/>
                <w:szCs w:val="18"/>
                <w:vertAlign w:val="superscript"/>
              </w:rPr>
              <w:t>3</w:t>
            </w:r>
          </w:p>
        </w:tc>
        <w:tc>
          <w:tcPr>
            <w:tcW w:w="760" w:type="pct"/>
          </w:tcPr>
          <w:p w14:paraId="4C5E180E" w14:textId="7E35FCD5" w:rsidR="00472F2B" w:rsidRPr="003478AF" w:rsidRDefault="005620A2" w:rsidP="00D52F1E">
            <w:pPr>
              <w:ind w:firstLine="0"/>
              <w:jc w:val="center"/>
              <w:rPr>
                <w:rFonts w:eastAsia="Arial" w:cs="Arial"/>
                <w:sz w:val="18"/>
                <w:szCs w:val="18"/>
              </w:rPr>
            </w:pPr>
            <w:r w:rsidRPr="003478AF">
              <w:rPr>
                <w:rFonts w:eastAsia="Arial" w:cs="Arial"/>
                <w:sz w:val="18"/>
                <w:szCs w:val="18"/>
              </w:rPr>
              <w:t>GUS</w:t>
            </w:r>
          </w:p>
        </w:tc>
      </w:tr>
      <w:tr w:rsidR="00D52F1E" w:rsidRPr="003478AF" w14:paraId="10AA5647" w14:textId="50CDC0A7" w:rsidTr="00684833">
        <w:tc>
          <w:tcPr>
            <w:tcW w:w="893" w:type="pct"/>
            <w:vMerge/>
          </w:tcPr>
          <w:p w14:paraId="7EE8F407" w14:textId="77777777" w:rsidR="00D52F1E" w:rsidRPr="003478AF" w:rsidRDefault="00D52F1E" w:rsidP="00D52F1E">
            <w:pPr>
              <w:ind w:firstLine="0"/>
              <w:rPr>
                <w:rFonts w:eastAsia="Arial" w:cs="Arial"/>
                <w:sz w:val="18"/>
                <w:szCs w:val="18"/>
              </w:rPr>
            </w:pPr>
          </w:p>
        </w:tc>
        <w:tc>
          <w:tcPr>
            <w:tcW w:w="2526" w:type="pct"/>
          </w:tcPr>
          <w:p w14:paraId="49E6B5D7" w14:textId="7298389E" w:rsidR="00D52F1E" w:rsidRPr="003478AF" w:rsidRDefault="00D52F1E" w:rsidP="00D52F1E">
            <w:pPr>
              <w:ind w:firstLine="0"/>
              <w:jc w:val="left"/>
              <w:rPr>
                <w:rFonts w:eastAsia="Arial" w:cs="Arial"/>
                <w:sz w:val="18"/>
                <w:szCs w:val="18"/>
              </w:rPr>
            </w:pPr>
            <w:r w:rsidRPr="003478AF">
              <w:rPr>
                <w:rFonts w:eastAsia="Arial" w:cs="Arial"/>
                <w:sz w:val="18"/>
                <w:szCs w:val="18"/>
              </w:rPr>
              <w:t>Ilość ponownie wykorzystanych oczyszczonych ścieków</w:t>
            </w:r>
          </w:p>
        </w:tc>
        <w:tc>
          <w:tcPr>
            <w:tcW w:w="821" w:type="pct"/>
          </w:tcPr>
          <w:p w14:paraId="32DAD857" w14:textId="54C0F39E" w:rsidR="00D52F1E" w:rsidRPr="003478AF" w:rsidRDefault="00D52F1E" w:rsidP="00D52F1E">
            <w:pPr>
              <w:ind w:firstLine="0"/>
              <w:jc w:val="center"/>
              <w:rPr>
                <w:rFonts w:eastAsia="Arial" w:cs="Arial"/>
                <w:sz w:val="18"/>
                <w:szCs w:val="18"/>
              </w:rPr>
            </w:pPr>
            <w:r w:rsidRPr="003478AF">
              <w:rPr>
                <w:rFonts w:eastAsia="Arial" w:cs="Arial"/>
                <w:sz w:val="18"/>
                <w:szCs w:val="18"/>
              </w:rPr>
              <w:t>m</w:t>
            </w:r>
            <w:r w:rsidRPr="003478AF">
              <w:rPr>
                <w:rFonts w:eastAsia="Arial" w:cs="Arial"/>
                <w:sz w:val="18"/>
                <w:szCs w:val="18"/>
                <w:vertAlign w:val="superscript"/>
              </w:rPr>
              <w:t>3</w:t>
            </w:r>
          </w:p>
        </w:tc>
        <w:tc>
          <w:tcPr>
            <w:tcW w:w="760" w:type="pct"/>
          </w:tcPr>
          <w:p w14:paraId="0064B245" w14:textId="4B850643" w:rsidR="00D52F1E" w:rsidRPr="003478AF" w:rsidRDefault="00D52F1E" w:rsidP="00D52F1E">
            <w:pPr>
              <w:ind w:firstLine="0"/>
              <w:jc w:val="center"/>
              <w:rPr>
                <w:rFonts w:eastAsia="Arial" w:cs="Arial"/>
                <w:sz w:val="18"/>
                <w:szCs w:val="18"/>
              </w:rPr>
            </w:pPr>
            <w:r w:rsidRPr="003478AF">
              <w:rPr>
                <w:rFonts w:cs="Arial"/>
                <w:sz w:val="18"/>
                <w:szCs w:val="18"/>
              </w:rPr>
              <w:t>Instytucje</w:t>
            </w:r>
          </w:p>
        </w:tc>
      </w:tr>
      <w:tr w:rsidR="00D52F1E" w:rsidRPr="003478AF" w14:paraId="0D349058" w14:textId="3217AE40" w:rsidTr="00684833">
        <w:tc>
          <w:tcPr>
            <w:tcW w:w="893" w:type="pct"/>
            <w:vMerge/>
          </w:tcPr>
          <w:p w14:paraId="5419C862" w14:textId="77777777" w:rsidR="00D52F1E" w:rsidRPr="003478AF" w:rsidRDefault="00D52F1E" w:rsidP="00D52F1E">
            <w:pPr>
              <w:ind w:firstLine="0"/>
              <w:rPr>
                <w:rFonts w:eastAsia="Arial" w:cs="Arial"/>
                <w:sz w:val="18"/>
                <w:szCs w:val="18"/>
              </w:rPr>
            </w:pPr>
          </w:p>
        </w:tc>
        <w:tc>
          <w:tcPr>
            <w:tcW w:w="2526" w:type="pct"/>
          </w:tcPr>
          <w:p w14:paraId="7C292CDE" w14:textId="094ED5BC" w:rsidR="00D52F1E" w:rsidRPr="003478AF" w:rsidRDefault="00D52F1E" w:rsidP="00D52F1E">
            <w:pPr>
              <w:ind w:firstLine="0"/>
              <w:jc w:val="left"/>
              <w:rPr>
                <w:rFonts w:eastAsia="Arial" w:cs="Arial"/>
                <w:sz w:val="18"/>
                <w:szCs w:val="18"/>
              </w:rPr>
            </w:pPr>
            <w:r w:rsidRPr="003478AF">
              <w:rPr>
                <w:rFonts w:eastAsia="Arial" w:cs="Arial"/>
                <w:sz w:val="18"/>
                <w:szCs w:val="18"/>
              </w:rPr>
              <w:t>Ilość odzyskanej wody ze ścieków komunalnych</w:t>
            </w:r>
          </w:p>
        </w:tc>
        <w:tc>
          <w:tcPr>
            <w:tcW w:w="821" w:type="pct"/>
          </w:tcPr>
          <w:p w14:paraId="52AB359C" w14:textId="37ED3F12" w:rsidR="00D52F1E" w:rsidRPr="003478AF" w:rsidRDefault="00D52F1E" w:rsidP="00D52F1E">
            <w:pPr>
              <w:ind w:firstLine="0"/>
              <w:jc w:val="center"/>
              <w:rPr>
                <w:rFonts w:eastAsia="Arial" w:cs="Arial"/>
                <w:sz w:val="18"/>
                <w:szCs w:val="18"/>
              </w:rPr>
            </w:pPr>
            <w:r w:rsidRPr="003478AF">
              <w:rPr>
                <w:rFonts w:eastAsia="Arial" w:cs="Arial"/>
                <w:sz w:val="18"/>
                <w:szCs w:val="18"/>
              </w:rPr>
              <w:t>m</w:t>
            </w:r>
            <w:r w:rsidRPr="003478AF">
              <w:rPr>
                <w:rFonts w:eastAsia="Arial" w:cs="Arial"/>
                <w:sz w:val="18"/>
                <w:szCs w:val="18"/>
                <w:vertAlign w:val="superscript"/>
              </w:rPr>
              <w:t>3</w:t>
            </w:r>
          </w:p>
        </w:tc>
        <w:tc>
          <w:tcPr>
            <w:tcW w:w="760" w:type="pct"/>
          </w:tcPr>
          <w:p w14:paraId="51849508" w14:textId="494E1793" w:rsidR="00D52F1E" w:rsidRPr="003478AF" w:rsidRDefault="00D52F1E" w:rsidP="00175EF7">
            <w:pPr>
              <w:spacing w:line="240" w:lineRule="auto"/>
              <w:ind w:firstLine="0"/>
              <w:jc w:val="center"/>
              <w:rPr>
                <w:rFonts w:eastAsia="Arial" w:cs="Arial"/>
                <w:sz w:val="18"/>
                <w:szCs w:val="18"/>
              </w:rPr>
            </w:pPr>
            <w:r w:rsidRPr="003478AF">
              <w:rPr>
                <w:rFonts w:cs="Arial"/>
                <w:sz w:val="18"/>
                <w:szCs w:val="18"/>
              </w:rPr>
              <w:t>Instytucje</w:t>
            </w:r>
          </w:p>
        </w:tc>
      </w:tr>
      <w:tr w:rsidR="00472F2B" w:rsidRPr="003478AF" w14:paraId="60E184D9" w14:textId="66563C94" w:rsidTr="00684833">
        <w:tc>
          <w:tcPr>
            <w:tcW w:w="893" w:type="pct"/>
            <w:vMerge/>
          </w:tcPr>
          <w:p w14:paraId="3268BA3B" w14:textId="77777777" w:rsidR="00472F2B" w:rsidRPr="003478AF" w:rsidRDefault="00472F2B" w:rsidP="00186656">
            <w:pPr>
              <w:ind w:firstLine="0"/>
              <w:rPr>
                <w:rFonts w:eastAsia="Arial" w:cs="Arial"/>
                <w:sz w:val="18"/>
                <w:szCs w:val="18"/>
              </w:rPr>
            </w:pPr>
          </w:p>
        </w:tc>
        <w:tc>
          <w:tcPr>
            <w:tcW w:w="2526" w:type="pct"/>
          </w:tcPr>
          <w:p w14:paraId="76BD2945" w14:textId="198B5F98" w:rsidR="00472F2B" w:rsidRPr="003478AF" w:rsidRDefault="00C17D7A" w:rsidP="00C17D7A">
            <w:pPr>
              <w:ind w:firstLine="0"/>
              <w:jc w:val="left"/>
              <w:rPr>
                <w:rFonts w:eastAsia="Arial" w:cs="Arial"/>
                <w:sz w:val="18"/>
                <w:szCs w:val="18"/>
              </w:rPr>
            </w:pPr>
            <w:r w:rsidRPr="003478AF">
              <w:rPr>
                <w:rFonts w:eastAsia="Arial" w:cs="Arial"/>
                <w:sz w:val="18"/>
                <w:szCs w:val="18"/>
              </w:rPr>
              <w:t>Udział</w:t>
            </w:r>
            <w:r w:rsidR="00472F2B" w:rsidRPr="003478AF">
              <w:rPr>
                <w:rFonts w:eastAsia="Arial" w:cs="Arial"/>
                <w:sz w:val="18"/>
                <w:szCs w:val="18"/>
              </w:rPr>
              <w:t xml:space="preserve"> odzyskanej wody ze ścieków komunalnych</w:t>
            </w:r>
            <w:r w:rsidRPr="003478AF">
              <w:rPr>
                <w:rFonts w:eastAsia="Arial" w:cs="Arial"/>
                <w:sz w:val="18"/>
                <w:szCs w:val="18"/>
              </w:rPr>
              <w:t xml:space="preserve"> w całkowitej ilości</w:t>
            </w:r>
            <w:r w:rsidR="00472F2B" w:rsidRPr="003478AF">
              <w:rPr>
                <w:rFonts w:eastAsia="Arial" w:cs="Arial"/>
                <w:sz w:val="18"/>
                <w:szCs w:val="18"/>
              </w:rPr>
              <w:t xml:space="preserve"> wytworzonych ścieków</w:t>
            </w:r>
          </w:p>
        </w:tc>
        <w:tc>
          <w:tcPr>
            <w:tcW w:w="821" w:type="pct"/>
          </w:tcPr>
          <w:p w14:paraId="51E532FA" w14:textId="611CB492" w:rsidR="00472F2B" w:rsidRPr="003478AF" w:rsidRDefault="00472F2B" w:rsidP="009B1AA9">
            <w:pPr>
              <w:ind w:firstLine="0"/>
              <w:jc w:val="center"/>
              <w:rPr>
                <w:rFonts w:eastAsia="Arial" w:cs="Arial"/>
                <w:sz w:val="18"/>
                <w:szCs w:val="18"/>
              </w:rPr>
            </w:pPr>
            <w:r w:rsidRPr="003478AF">
              <w:rPr>
                <w:rFonts w:eastAsia="Arial" w:cs="Arial"/>
                <w:sz w:val="18"/>
                <w:szCs w:val="18"/>
              </w:rPr>
              <w:t>%</w:t>
            </w:r>
          </w:p>
        </w:tc>
        <w:tc>
          <w:tcPr>
            <w:tcW w:w="760" w:type="pct"/>
          </w:tcPr>
          <w:p w14:paraId="155EF074" w14:textId="65657BCB" w:rsidR="00472F2B" w:rsidRPr="003478AF" w:rsidRDefault="00D52F1E" w:rsidP="00D52F1E">
            <w:pPr>
              <w:ind w:firstLine="0"/>
              <w:jc w:val="center"/>
              <w:rPr>
                <w:rFonts w:eastAsia="Arial" w:cs="Arial"/>
                <w:sz w:val="18"/>
                <w:szCs w:val="18"/>
              </w:rPr>
            </w:pPr>
            <w:r w:rsidRPr="003478AF">
              <w:rPr>
                <w:rFonts w:cs="Arial"/>
                <w:sz w:val="18"/>
                <w:szCs w:val="18"/>
              </w:rPr>
              <w:t>Instytucje</w:t>
            </w:r>
          </w:p>
        </w:tc>
      </w:tr>
      <w:tr w:rsidR="00472F2B" w:rsidRPr="003478AF" w14:paraId="2723018E" w14:textId="763B6130" w:rsidTr="00684833">
        <w:trPr>
          <w:trHeight w:val="207"/>
        </w:trPr>
        <w:tc>
          <w:tcPr>
            <w:tcW w:w="893" w:type="pct"/>
            <w:vMerge w:val="restart"/>
          </w:tcPr>
          <w:p w14:paraId="77D5DBDA" w14:textId="757DA007" w:rsidR="00472F2B" w:rsidRPr="003478AF" w:rsidRDefault="00EB235F" w:rsidP="00EB235F">
            <w:pPr>
              <w:ind w:firstLine="0"/>
              <w:rPr>
                <w:rFonts w:eastAsia="Arial" w:cs="Arial"/>
                <w:sz w:val="18"/>
                <w:szCs w:val="18"/>
              </w:rPr>
            </w:pPr>
            <w:r w:rsidRPr="003478AF">
              <w:rPr>
                <w:rFonts w:eastAsia="Arial" w:cs="Arial"/>
                <w:sz w:val="18"/>
                <w:szCs w:val="18"/>
              </w:rPr>
              <w:t>Z</w:t>
            </w:r>
            <w:r w:rsidR="00472F2B" w:rsidRPr="003478AF">
              <w:rPr>
                <w:rFonts w:eastAsia="Arial" w:cs="Arial"/>
                <w:sz w:val="18"/>
                <w:szCs w:val="18"/>
              </w:rPr>
              <w:t>anieczyszcze</w:t>
            </w:r>
            <w:r w:rsidRPr="003478AF">
              <w:rPr>
                <w:rFonts w:eastAsia="Arial" w:cs="Arial"/>
                <w:sz w:val="18"/>
                <w:szCs w:val="18"/>
              </w:rPr>
              <w:t>nie</w:t>
            </w:r>
            <w:r w:rsidR="003C4D3F" w:rsidRPr="003478AF">
              <w:rPr>
                <w:rFonts w:eastAsia="Arial" w:cs="Arial"/>
                <w:sz w:val="18"/>
                <w:szCs w:val="18"/>
              </w:rPr>
              <w:t xml:space="preserve"> powietrza</w:t>
            </w:r>
          </w:p>
        </w:tc>
        <w:tc>
          <w:tcPr>
            <w:tcW w:w="2526" w:type="pct"/>
          </w:tcPr>
          <w:p w14:paraId="62602ABC" w14:textId="6CA0E987" w:rsidR="00472F2B" w:rsidRPr="003478AF" w:rsidRDefault="00C17D7A" w:rsidP="005B79A1">
            <w:pPr>
              <w:ind w:firstLine="0"/>
              <w:jc w:val="left"/>
              <w:rPr>
                <w:rFonts w:eastAsia="Arial" w:cs="Arial"/>
                <w:sz w:val="18"/>
                <w:szCs w:val="18"/>
              </w:rPr>
            </w:pPr>
            <w:r w:rsidRPr="003478AF">
              <w:rPr>
                <w:rFonts w:eastAsia="Arial" w:cs="Arial"/>
                <w:sz w:val="18"/>
                <w:szCs w:val="18"/>
              </w:rPr>
              <w:t>Emisja dwutlenku węgla z zakładów szczególnie uciążliwych dla czystości powietrza</w:t>
            </w:r>
          </w:p>
        </w:tc>
        <w:tc>
          <w:tcPr>
            <w:tcW w:w="821" w:type="pct"/>
          </w:tcPr>
          <w:p w14:paraId="1E5467E8" w14:textId="40A33AD8" w:rsidR="00472F2B" w:rsidRPr="003478AF" w:rsidRDefault="004B607F" w:rsidP="00C17D7A">
            <w:pPr>
              <w:ind w:firstLine="0"/>
              <w:jc w:val="center"/>
              <w:rPr>
                <w:rFonts w:eastAsia="Arial" w:cs="Arial"/>
                <w:sz w:val="18"/>
                <w:szCs w:val="18"/>
              </w:rPr>
            </w:pPr>
            <w:r w:rsidRPr="003478AF">
              <w:rPr>
                <w:rStyle w:val="Uwydatnienie"/>
                <w:rFonts w:cs="Arial"/>
                <w:i w:val="0"/>
                <w:iCs w:val="0"/>
                <w:sz w:val="18"/>
                <w:szCs w:val="18"/>
              </w:rPr>
              <w:t>t</w:t>
            </w:r>
          </w:p>
        </w:tc>
        <w:tc>
          <w:tcPr>
            <w:tcW w:w="760" w:type="pct"/>
          </w:tcPr>
          <w:p w14:paraId="5F0C607A" w14:textId="54D638A8" w:rsidR="00472F2B" w:rsidRPr="003478AF" w:rsidRDefault="00A408CE" w:rsidP="00175EF7">
            <w:pPr>
              <w:ind w:firstLine="0"/>
              <w:jc w:val="center"/>
              <w:rPr>
                <w:rStyle w:val="Uwydatnienie"/>
                <w:rFonts w:cs="Arial"/>
                <w:i w:val="0"/>
                <w:iCs w:val="0"/>
                <w:sz w:val="18"/>
                <w:szCs w:val="18"/>
              </w:rPr>
            </w:pPr>
            <w:r w:rsidRPr="003478AF">
              <w:rPr>
                <w:rStyle w:val="Uwydatnienie"/>
                <w:rFonts w:cs="Arial"/>
                <w:i w:val="0"/>
                <w:iCs w:val="0"/>
                <w:sz w:val="18"/>
                <w:szCs w:val="18"/>
              </w:rPr>
              <w:t>GUS</w:t>
            </w:r>
          </w:p>
        </w:tc>
      </w:tr>
      <w:tr w:rsidR="00D52F1E" w:rsidRPr="003478AF" w14:paraId="19543BF9" w14:textId="78DE13D7" w:rsidTr="00684833">
        <w:tc>
          <w:tcPr>
            <w:tcW w:w="893" w:type="pct"/>
            <w:vMerge/>
          </w:tcPr>
          <w:p w14:paraId="1ECD0CA9" w14:textId="77777777" w:rsidR="00D52F1E" w:rsidRPr="003478AF" w:rsidRDefault="00D52F1E" w:rsidP="00D52F1E">
            <w:pPr>
              <w:ind w:firstLine="0"/>
              <w:rPr>
                <w:rFonts w:eastAsia="Arial" w:cs="Arial"/>
                <w:sz w:val="18"/>
                <w:szCs w:val="18"/>
              </w:rPr>
            </w:pPr>
          </w:p>
        </w:tc>
        <w:tc>
          <w:tcPr>
            <w:tcW w:w="2526" w:type="pct"/>
          </w:tcPr>
          <w:p w14:paraId="3B6B7142" w14:textId="4E2B2474" w:rsidR="00D52F1E" w:rsidRPr="003478AF" w:rsidRDefault="00C17D7A" w:rsidP="00D52F1E">
            <w:pPr>
              <w:ind w:firstLine="0"/>
              <w:jc w:val="left"/>
              <w:rPr>
                <w:rFonts w:eastAsia="Arial" w:cs="Arial"/>
                <w:sz w:val="18"/>
                <w:szCs w:val="18"/>
              </w:rPr>
            </w:pPr>
            <w:r w:rsidRPr="003478AF">
              <w:rPr>
                <w:rFonts w:eastAsia="Arial" w:cs="Arial"/>
                <w:sz w:val="18"/>
                <w:szCs w:val="18"/>
              </w:rPr>
              <w:t>Liczba</w:t>
            </w:r>
            <w:r w:rsidR="00D52F1E" w:rsidRPr="003478AF">
              <w:rPr>
                <w:rFonts w:eastAsia="Arial" w:cs="Arial"/>
                <w:sz w:val="18"/>
                <w:szCs w:val="18"/>
              </w:rPr>
              <w:t xml:space="preserve"> pasażerów przewiezionych wszystkimi środkami komunikacji miejskiej powszechnie dostępnymi dla ludności</w:t>
            </w:r>
          </w:p>
        </w:tc>
        <w:tc>
          <w:tcPr>
            <w:tcW w:w="821" w:type="pct"/>
          </w:tcPr>
          <w:p w14:paraId="23E4BDDB" w14:textId="7AB14C7F" w:rsidR="00D52F1E" w:rsidRPr="003478AF" w:rsidRDefault="00D52F1E" w:rsidP="00D52F1E">
            <w:pPr>
              <w:ind w:firstLine="0"/>
              <w:jc w:val="center"/>
              <w:rPr>
                <w:rFonts w:eastAsia="Arial" w:cs="Arial"/>
                <w:sz w:val="18"/>
                <w:szCs w:val="18"/>
              </w:rPr>
            </w:pPr>
            <w:r w:rsidRPr="003478AF">
              <w:rPr>
                <w:rFonts w:eastAsia="Arial" w:cs="Arial"/>
                <w:sz w:val="18"/>
                <w:szCs w:val="18"/>
              </w:rPr>
              <w:t>osoba</w:t>
            </w:r>
          </w:p>
        </w:tc>
        <w:tc>
          <w:tcPr>
            <w:tcW w:w="760" w:type="pct"/>
          </w:tcPr>
          <w:p w14:paraId="7AAC120B" w14:textId="483B17E3" w:rsidR="00D52F1E" w:rsidRPr="003478AF" w:rsidRDefault="00D52F1E" w:rsidP="00D52F1E">
            <w:pPr>
              <w:ind w:firstLine="0"/>
              <w:jc w:val="center"/>
              <w:rPr>
                <w:rFonts w:eastAsia="Arial" w:cs="Arial"/>
                <w:sz w:val="18"/>
                <w:szCs w:val="18"/>
              </w:rPr>
            </w:pPr>
            <w:r w:rsidRPr="003478AF">
              <w:rPr>
                <w:rFonts w:cs="Arial"/>
                <w:sz w:val="18"/>
                <w:szCs w:val="18"/>
              </w:rPr>
              <w:t>Instytucje</w:t>
            </w:r>
          </w:p>
        </w:tc>
      </w:tr>
      <w:tr w:rsidR="00D52F1E" w:rsidRPr="003478AF" w14:paraId="66F05ED7" w14:textId="363D226A" w:rsidTr="00684833">
        <w:tc>
          <w:tcPr>
            <w:tcW w:w="893" w:type="pct"/>
            <w:vMerge/>
          </w:tcPr>
          <w:p w14:paraId="1B0FFDAE" w14:textId="77777777" w:rsidR="00D52F1E" w:rsidRPr="003478AF" w:rsidRDefault="00D52F1E" w:rsidP="00D52F1E">
            <w:pPr>
              <w:ind w:firstLine="0"/>
              <w:rPr>
                <w:rFonts w:eastAsia="Arial" w:cs="Arial"/>
                <w:sz w:val="18"/>
                <w:szCs w:val="18"/>
              </w:rPr>
            </w:pPr>
          </w:p>
        </w:tc>
        <w:tc>
          <w:tcPr>
            <w:tcW w:w="2526" w:type="pct"/>
          </w:tcPr>
          <w:p w14:paraId="4F83CBEF" w14:textId="7ED0A888" w:rsidR="00D52F1E" w:rsidRPr="003478AF" w:rsidRDefault="00D52F1E" w:rsidP="00D52F1E">
            <w:pPr>
              <w:ind w:firstLine="0"/>
              <w:jc w:val="left"/>
              <w:rPr>
                <w:rFonts w:eastAsia="Arial" w:cs="Arial"/>
                <w:sz w:val="18"/>
                <w:szCs w:val="18"/>
              </w:rPr>
            </w:pPr>
            <w:r w:rsidRPr="003478AF">
              <w:rPr>
                <w:rFonts w:eastAsia="Arial" w:cs="Arial"/>
                <w:sz w:val="18"/>
                <w:szCs w:val="18"/>
              </w:rPr>
              <w:t>Energia elektryczna zużyta w sektorze transportu</w:t>
            </w:r>
          </w:p>
        </w:tc>
        <w:tc>
          <w:tcPr>
            <w:tcW w:w="821" w:type="pct"/>
          </w:tcPr>
          <w:p w14:paraId="0E3373DB" w14:textId="25DE681D" w:rsidR="00D52F1E" w:rsidRPr="003478AF" w:rsidRDefault="00D52F1E" w:rsidP="00D52F1E">
            <w:pPr>
              <w:ind w:firstLine="0"/>
              <w:jc w:val="center"/>
              <w:rPr>
                <w:rFonts w:eastAsia="Arial" w:cs="Arial"/>
                <w:sz w:val="18"/>
                <w:szCs w:val="18"/>
              </w:rPr>
            </w:pPr>
            <w:r w:rsidRPr="003478AF">
              <w:rPr>
                <w:rFonts w:eastAsia="Arial" w:cs="Arial"/>
                <w:sz w:val="18"/>
                <w:szCs w:val="18"/>
              </w:rPr>
              <w:t>%</w:t>
            </w:r>
          </w:p>
        </w:tc>
        <w:tc>
          <w:tcPr>
            <w:tcW w:w="760" w:type="pct"/>
          </w:tcPr>
          <w:p w14:paraId="625DFE11" w14:textId="1E1044EC" w:rsidR="00D52F1E" w:rsidRPr="003478AF" w:rsidRDefault="00D52F1E" w:rsidP="00D52F1E">
            <w:pPr>
              <w:ind w:firstLine="0"/>
              <w:jc w:val="center"/>
              <w:rPr>
                <w:rFonts w:eastAsia="Arial" w:cs="Arial"/>
                <w:sz w:val="18"/>
                <w:szCs w:val="18"/>
              </w:rPr>
            </w:pPr>
            <w:r w:rsidRPr="003478AF">
              <w:rPr>
                <w:rFonts w:cs="Arial"/>
                <w:sz w:val="18"/>
                <w:szCs w:val="18"/>
              </w:rPr>
              <w:t>Instytucje</w:t>
            </w:r>
          </w:p>
        </w:tc>
      </w:tr>
      <w:tr w:rsidR="00D52F1E" w:rsidRPr="003478AF" w14:paraId="00FBBCD9" w14:textId="4AE8CFE8" w:rsidTr="00684833">
        <w:tc>
          <w:tcPr>
            <w:tcW w:w="893" w:type="pct"/>
            <w:vMerge/>
          </w:tcPr>
          <w:p w14:paraId="366D2AAA" w14:textId="77777777" w:rsidR="00D52F1E" w:rsidRPr="003478AF" w:rsidRDefault="00D52F1E" w:rsidP="00D52F1E">
            <w:pPr>
              <w:ind w:firstLine="0"/>
              <w:rPr>
                <w:rFonts w:eastAsia="Arial" w:cs="Arial"/>
                <w:sz w:val="18"/>
                <w:szCs w:val="18"/>
              </w:rPr>
            </w:pPr>
          </w:p>
        </w:tc>
        <w:tc>
          <w:tcPr>
            <w:tcW w:w="2526" w:type="pct"/>
          </w:tcPr>
          <w:p w14:paraId="150A8EDB" w14:textId="604CDA01" w:rsidR="00D52F1E" w:rsidRPr="003478AF" w:rsidRDefault="00D52F1E" w:rsidP="00D52F1E">
            <w:pPr>
              <w:ind w:firstLine="0"/>
              <w:jc w:val="left"/>
              <w:rPr>
                <w:rFonts w:eastAsia="Arial" w:cs="Arial"/>
                <w:sz w:val="18"/>
                <w:szCs w:val="18"/>
              </w:rPr>
            </w:pPr>
            <w:r w:rsidRPr="003478AF">
              <w:rPr>
                <w:rFonts w:eastAsia="Arial" w:cs="Arial"/>
                <w:sz w:val="18"/>
                <w:szCs w:val="18"/>
              </w:rPr>
              <w:t>Liczba pojazdów elektrycznych</w:t>
            </w:r>
          </w:p>
        </w:tc>
        <w:tc>
          <w:tcPr>
            <w:tcW w:w="821" w:type="pct"/>
          </w:tcPr>
          <w:p w14:paraId="51172BE4" w14:textId="51986A79" w:rsidR="00D52F1E" w:rsidRPr="003478AF" w:rsidRDefault="00D52F1E" w:rsidP="00D52F1E">
            <w:pPr>
              <w:ind w:firstLine="0"/>
              <w:jc w:val="center"/>
              <w:rPr>
                <w:rFonts w:eastAsia="Arial" w:cs="Arial"/>
                <w:sz w:val="18"/>
                <w:szCs w:val="18"/>
              </w:rPr>
            </w:pPr>
            <w:r w:rsidRPr="003478AF">
              <w:rPr>
                <w:rFonts w:eastAsia="Arial" w:cs="Arial"/>
                <w:sz w:val="18"/>
                <w:szCs w:val="18"/>
              </w:rPr>
              <w:t>szt</w:t>
            </w:r>
            <w:r w:rsidR="004B607F" w:rsidRPr="003478AF">
              <w:rPr>
                <w:rFonts w:eastAsia="Arial" w:cs="Arial"/>
                <w:sz w:val="18"/>
                <w:szCs w:val="18"/>
              </w:rPr>
              <w:t>.</w:t>
            </w:r>
          </w:p>
        </w:tc>
        <w:tc>
          <w:tcPr>
            <w:tcW w:w="760" w:type="pct"/>
          </w:tcPr>
          <w:p w14:paraId="607CC92D" w14:textId="7130C2F6" w:rsidR="00D52F1E" w:rsidRPr="003478AF" w:rsidRDefault="00D52F1E" w:rsidP="00D52F1E">
            <w:pPr>
              <w:ind w:firstLine="0"/>
              <w:jc w:val="center"/>
              <w:rPr>
                <w:rFonts w:eastAsia="Arial" w:cs="Arial"/>
                <w:sz w:val="18"/>
                <w:szCs w:val="18"/>
              </w:rPr>
            </w:pPr>
            <w:r w:rsidRPr="003478AF">
              <w:rPr>
                <w:rFonts w:cs="Arial"/>
                <w:sz w:val="18"/>
                <w:szCs w:val="18"/>
              </w:rPr>
              <w:t>Instytucje</w:t>
            </w:r>
          </w:p>
        </w:tc>
      </w:tr>
      <w:tr w:rsidR="00D52F1E" w:rsidRPr="003478AF" w14:paraId="494A0D0D" w14:textId="2E3EB1A5" w:rsidTr="00684833">
        <w:tc>
          <w:tcPr>
            <w:tcW w:w="893" w:type="pct"/>
            <w:vMerge/>
          </w:tcPr>
          <w:p w14:paraId="34513280" w14:textId="77777777" w:rsidR="00D52F1E" w:rsidRPr="003478AF" w:rsidRDefault="00D52F1E" w:rsidP="00D52F1E">
            <w:pPr>
              <w:ind w:firstLine="0"/>
              <w:rPr>
                <w:rFonts w:eastAsia="Arial" w:cs="Arial"/>
                <w:sz w:val="18"/>
                <w:szCs w:val="18"/>
              </w:rPr>
            </w:pPr>
          </w:p>
        </w:tc>
        <w:tc>
          <w:tcPr>
            <w:tcW w:w="2526" w:type="pct"/>
          </w:tcPr>
          <w:p w14:paraId="2A0B2827" w14:textId="437A59F7" w:rsidR="00D52F1E" w:rsidRPr="003478AF" w:rsidRDefault="00D52F1E" w:rsidP="00C17D7A">
            <w:pPr>
              <w:ind w:firstLine="0"/>
              <w:jc w:val="left"/>
              <w:rPr>
                <w:rFonts w:eastAsia="Arial" w:cs="Arial"/>
                <w:sz w:val="18"/>
                <w:szCs w:val="18"/>
              </w:rPr>
            </w:pPr>
            <w:r w:rsidRPr="003478AF">
              <w:rPr>
                <w:rFonts w:eastAsia="Arial" w:cs="Arial"/>
                <w:sz w:val="18"/>
                <w:szCs w:val="18"/>
              </w:rPr>
              <w:t xml:space="preserve">Liczba pojazdów zasilanych </w:t>
            </w:r>
            <w:r w:rsidR="00C17D7A" w:rsidRPr="003478AF">
              <w:rPr>
                <w:rFonts w:eastAsia="Arial" w:cs="Arial"/>
                <w:sz w:val="18"/>
                <w:szCs w:val="18"/>
              </w:rPr>
              <w:t>wodorem</w:t>
            </w:r>
          </w:p>
        </w:tc>
        <w:tc>
          <w:tcPr>
            <w:tcW w:w="821" w:type="pct"/>
          </w:tcPr>
          <w:p w14:paraId="091016DF" w14:textId="5F397AF2" w:rsidR="00D52F1E" w:rsidRPr="003478AF" w:rsidRDefault="00D52F1E" w:rsidP="00D52F1E">
            <w:pPr>
              <w:ind w:firstLine="0"/>
              <w:jc w:val="center"/>
              <w:rPr>
                <w:rFonts w:eastAsia="Arial" w:cs="Arial"/>
                <w:sz w:val="18"/>
                <w:szCs w:val="18"/>
              </w:rPr>
            </w:pPr>
            <w:r w:rsidRPr="003478AF">
              <w:rPr>
                <w:rFonts w:eastAsia="Arial" w:cs="Arial"/>
                <w:sz w:val="18"/>
                <w:szCs w:val="18"/>
              </w:rPr>
              <w:t>szt</w:t>
            </w:r>
            <w:r w:rsidR="004B607F" w:rsidRPr="003478AF">
              <w:rPr>
                <w:rFonts w:eastAsia="Arial" w:cs="Arial"/>
                <w:sz w:val="18"/>
                <w:szCs w:val="18"/>
              </w:rPr>
              <w:t>.</w:t>
            </w:r>
          </w:p>
        </w:tc>
        <w:tc>
          <w:tcPr>
            <w:tcW w:w="760" w:type="pct"/>
          </w:tcPr>
          <w:p w14:paraId="3631C8CE" w14:textId="76B43E2A" w:rsidR="00D52F1E" w:rsidRPr="003478AF" w:rsidRDefault="00D52F1E" w:rsidP="00D52F1E">
            <w:pPr>
              <w:ind w:firstLine="0"/>
              <w:jc w:val="center"/>
              <w:rPr>
                <w:rFonts w:eastAsia="Arial" w:cs="Arial"/>
                <w:sz w:val="18"/>
                <w:szCs w:val="18"/>
              </w:rPr>
            </w:pPr>
            <w:r w:rsidRPr="003478AF">
              <w:rPr>
                <w:rFonts w:cs="Arial"/>
                <w:sz w:val="18"/>
                <w:szCs w:val="18"/>
              </w:rPr>
              <w:t>Instytucje</w:t>
            </w:r>
          </w:p>
        </w:tc>
      </w:tr>
      <w:tr w:rsidR="00D52F1E" w:rsidRPr="003478AF" w14:paraId="385B1C1D" w14:textId="2EF153B7" w:rsidTr="00684833">
        <w:tc>
          <w:tcPr>
            <w:tcW w:w="893" w:type="pct"/>
            <w:vMerge/>
          </w:tcPr>
          <w:p w14:paraId="776DCF11" w14:textId="77777777" w:rsidR="00D52F1E" w:rsidRPr="003478AF" w:rsidRDefault="00D52F1E" w:rsidP="00D52F1E">
            <w:pPr>
              <w:ind w:firstLine="0"/>
              <w:rPr>
                <w:rFonts w:eastAsia="Arial" w:cs="Arial"/>
                <w:sz w:val="18"/>
                <w:szCs w:val="18"/>
              </w:rPr>
            </w:pPr>
          </w:p>
        </w:tc>
        <w:tc>
          <w:tcPr>
            <w:tcW w:w="2526" w:type="pct"/>
          </w:tcPr>
          <w:p w14:paraId="4AADA740" w14:textId="0480C78B" w:rsidR="00D52F1E" w:rsidRPr="003478AF" w:rsidRDefault="00D52F1E" w:rsidP="00D52F1E">
            <w:pPr>
              <w:ind w:firstLine="0"/>
              <w:jc w:val="left"/>
              <w:rPr>
                <w:rFonts w:eastAsia="Arial" w:cs="Arial"/>
                <w:sz w:val="18"/>
                <w:szCs w:val="18"/>
              </w:rPr>
            </w:pPr>
            <w:r w:rsidRPr="003478AF">
              <w:rPr>
                <w:rFonts w:eastAsia="Arial" w:cs="Arial"/>
                <w:sz w:val="18"/>
                <w:szCs w:val="18"/>
              </w:rPr>
              <w:t>Ilość stacji ładowania pojazdów elektrycznych</w:t>
            </w:r>
          </w:p>
        </w:tc>
        <w:tc>
          <w:tcPr>
            <w:tcW w:w="821" w:type="pct"/>
          </w:tcPr>
          <w:p w14:paraId="02F627A2" w14:textId="3B2E91B2" w:rsidR="00D52F1E" w:rsidRPr="003478AF" w:rsidRDefault="00D52F1E" w:rsidP="00D52F1E">
            <w:pPr>
              <w:ind w:firstLine="0"/>
              <w:jc w:val="center"/>
              <w:rPr>
                <w:rFonts w:eastAsia="Arial" w:cs="Arial"/>
                <w:sz w:val="18"/>
                <w:szCs w:val="18"/>
              </w:rPr>
            </w:pPr>
            <w:r w:rsidRPr="003478AF">
              <w:rPr>
                <w:rFonts w:eastAsia="Arial" w:cs="Arial"/>
                <w:sz w:val="18"/>
                <w:szCs w:val="18"/>
              </w:rPr>
              <w:t>szt</w:t>
            </w:r>
            <w:r w:rsidR="004B607F" w:rsidRPr="003478AF">
              <w:rPr>
                <w:rFonts w:eastAsia="Arial" w:cs="Arial"/>
                <w:sz w:val="18"/>
                <w:szCs w:val="18"/>
              </w:rPr>
              <w:t>.</w:t>
            </w:r>
          </w:p>
        </w:tc>
        <w:tc>
          <w:tcPr>
            <w:tcW w:w="760" w:type="pct"/>
          </w:tcPr>
          <w:p w14:paraId="7B2554E4" w14:textId="7BC1D98D" w:rsidR="00D52F1E" w:rsidRPr="003478AF" w:rsidRDefault="00D52F1E" w:rsidP="00D52F1E">
            <w:pPr>
              <w:ind w:firstLine="0"/>
              <w:jc w:val="center"/>
              <w:rPr>
                <w:rFonts w:eastAsia="Arial" w:cs="Arial"/>
                <w:sz w:val="18"/>
                <w:szCs w:val="18"/>
              </w:rPr>
            </w:pPr>
            <w:r w:rsidRPr="003478AF">
              <w:rPr>
                <w:rFonts w:cs="Arial"/>
                <w:sz w:val="18"/>
                <w:szCs w:val="18"/>
              </w:rPr>
              <w:t>Instytucje</w:t>
            </w:r>
          </w:p>
        </w:tc>
      </w:tr>
      <w:tr w:rsidR="00D52F1E" w:rsidRPr="003478AF" w14:paraId="7A095007" w14:textId="62369E9F" w:rsidTr="00684833">
        <w:tc>
          <w:tcPr>
            <w:tcW w:w="893" w:type="pct"/>
            <w:vMerge/>
          </w:tcPr>
          <w:p w14:paraId="126C1653" w14:textId="77777777" w:rsidR="00D52F1E" w:rsidRPr="003478AF" w:rsidRDefault="00D52F1E" w:rsidP="00D52F1E">
            <w:pPr>
              <w:ind w:firstLine="0"/>
              <w:rPr>
                <w:rFonts w:eastAsia="Arial" w:cs="Arial"/>
                <w:sz w:val="18"/>
                <w:szCs w:val="18"/>
              </w:rPr>
            </w:pPr>
          </w:p>
        </w:tc>
        <w:tc>
          <w:tcPr>
            <w:tcW w:w="2526" w:type="pct"/>
          </w:tcPr>
          <w:p w14:paraId="57A13C87" w14:textId="02ED891A" w:rsidR="00D52F1E" w:rsidRPr="003478AF" w:rsidRDefault="00D52F1E" w:rsidP="00D52F1E">
            <w:pPr>
              <w:ind w:firstLine="0"/>
              <w:jc w:val="left"/>
              <w:rPr>
                <w:rFonts w:eastAsia="Arial" w:cs="Arial"/>
                <w:sz w:val="18"/>
                <w:szCs w:val="18"/>
              </w:rPr>
            </w:pPr>
            <w:r w:rsidRPr="003478AF">
              <w:rPr>
                <w:rFonts w:eastAsia="Arial" w:cs="Arial"/>
                <w:sz w:val="18"/>
                <w:szCs w:val="18"/>
              </w:rPr>
              <w:t>Ilość stacji tankowania wodoru</w:t>
            </w:r>
          </w:p>
        </w:tc>
        <w:tc>
          <w:tcPr>
            <w:tcW w:w="821" w:type="pct"/>
          </w:tcPr>
          <w:p w14:paraId="5F9BE0BB" w14:textId="04983634" w:rsidR="00D52F1E" w:rsidRPr="003478AF" w:rsidRDefault="00D52F1E" w:rsidP="00D52F1E">
            <w:pPr>
              <w:ind w:firstLine="0"/>
              <w:jc w:val="center"/>
              <w:rPr>
                <w:rFonts w:eastAsia="Arial" w:cs="Arial"/>
                <w:sz w:val="18"/>
                <w:szCs w:val="18"/>
              </w:rPr>
            </w:pPr>
            <w:r w:rsidRPr="003478AF">
              <w:rPr>
                <w:rFonts w:eastAsia="Arial" w:cs="Arial"/>
                <w:sz w:val="18"/>
                <w:szCs w:val="18"/>
              </w:rPr>
              <w:t>szt</w:t>
            </w:r>
            <w:r w:rsidR="004B607F" w:rsidRPr="003478AF">
              <w:rPr>
                <w:rFonts w:eastAsia="Arial" w:cs="Arial"/>
                <w:sz w:val="18"/>
                <w:szCs w:val="18"/>
              </w:rPr>
              <w:t>.</w:t>
            </w:r>
          </w:p>
        </w:tc>
        <w:tc>
          <w:tcPr>
            <w:tcW w:w="760" w:type="pct"/>
          </w:tcPr>
          <w:p w14:paraId="647013E6" w14:textId="56C3DFA5" w:rsidR="00D52F1E" w:rsidRPr="003478AF" w:rsidRDefault="00D52F1E" w:rsidP="00D52F1E">
            <w:pPr>
              <w:ind w:firstLine="0"/>
              <w:jc w:val="center"/>
              <w:rPr>
                <w:rFonts w:eastAsia="Arial" w:cs="Arial"/>
                <w:sz w:val="18"/>
                <w:szCs w:val="18"/>
              </w:rPr>
            </w:pPr>
            <w:r w:rsidRPr="003478AF">
              <w:rPr>
                <w:rFonts w:cs="Arial"/>
                <w:sz w:val="18"/>
                <w:szCs w:val="18"/>
              </w:rPr>
              <w:t>Instytucje</w:t>
            </w:r>
          </w:p>
        </w:tc>
      </w:tr>
      <w:tr w:rsidR="00684833" w:rsidRPr="003478AF" w14:paraId="1218C4F4" w14:textId="3AB84C1A" w:rsidTr="00684833">
        <w:tc>
          <w:tcPr>
            <w:tcW w:w="893" w:type="pct"/>
            <w:vMerge w:val="restart"/>
          </w:tcPr>
          <w:p w14:paraId="3779364A" w14:textId="4B92C19C" w:rsidR="00684833" w:rsidRPr="003478AF" w:rsidRDefault="00684833" w:rsidP="00684833">
            <w:pPr>
              <w:ind w:firstLine="0"/>
              <w:rPr>
                <w:rFonts w:eastAsia="Arial" w:cs="Arial"/>
                <w:sz w:val="18"/>
                <w:szCs w:val="18"/>
              </w:rPr>
            </w:pPr>
            <w:r w:rsidRPr="003478AF">
              <w:rPr>
                <w:rFonts w:eastAsia="Arial" w:cs="Arial"/>
                <w:sz w:val="18"/>
                <w:szCs w:val="18"/>
              </w:rPr>
              <w:t>Gospodarka odpadami</w:t>
            </w:r>
          </w:p>
        </w:tc>
        <w:tc>
          <w:tcPr>
            <w:tcW w:w="2526" w:type="pct"/>
          </w:tcPr>
          <w:p w14:paraId="40248282" w14:textId="2450A84B" w:rsidR="00684833" w:rsidRPr="003478AF" w:rsidRDefault="00684833" w:rsidP="00684833">
            <w:pPr>
              <w:ind w:firstLine="0"/>
              <w:jc w:val="left"/>
              <w:rPr>
                <w:rFonts w:eastAsia="Arial" w:cs="Arial"/>
                <w:sz w:val="18"/>
                <w:szCs w:val="18"/>
              </w:rPr>
            </w:pPr>
            <w:r w:rsidRPr="003478AF">
              <w:rPr>
                <w:rFonts w:eastAsia="Arial" w:cs="Arial"/>
                <w:sz w:val="18"/>
                <w:szCs w:val="18"/>
              </w:rPr>
              <w:t>Całkowita produkcja odpadów</w:t>
            </w:r>
          </w:p>
        </w:tc>
        <w:tc>
          <w:tcPr>
            <w:tcW w:w="821" w:type="pct"/>
          </w:tcPr>
          <w:p w14:paraId="53AF95F5" w14:textId="18F07D39" w:rsidR="00684833" w:rsidRPr="003478AF" w:rsidRDefault="00C17D7A" w:rsidP="00684833">
            <w:pPr>
              <w:ind w:firstLine="0"/>
              <w:jc w:val="center"/>
              <w:rPr>
                <w:rFonts w:eastAsia="Arial" w:cs="Arial"/>
                <w:sz w:val="18"/>
                <w:szCs w:val="18"/>
              </w:rPr>
            </w:pPr>
            <w:r w:rsidRPr="003478AF">
              <w:rPr>
                <w:rFonts w:eastAsia="Times New Roman" w:cs="Arial"/>
                <w:sz w:val="18"/>
                <w:szCs w:val="18"/>
                <w:lang w:eastAsia="pl-PL"/>
              </w:rPr>
              <w:t>t</w:t>
            </w:r>
          </w:p>
        </w:tc>
        <w:tc>
          <w:tcPr>
            <w:tcW w:w="760" w:type="pct"/>
          </w:tcPr>
          <w:p w14:paraId="4B4C4A5A" w14:textId="5F6C8E5D" w:rsidR="00684833" w:rsidRPr="003478AF" w:rsidRDefault="00684833" w:rsidP="00684833">
            <w:pPr>
              <w:ind w:firstLine="0"/>
              <w:jc w:val="center"/>
              <w:rPr>
                <w:rFonts w:eastAsia="Arial" w:cs="Arial"/>
                <w:sz w:val="18"/>
                <w:szCs w:val="18"/>
              </w:rPr>
            </w:pPr>
            <w:r w:rsidRPr="003478AF">
              <w:rPr>
                <w:rFonts w:eastAsia="Arial" w:cs="Arial"/>
                <w:sz w:val="18"/>
                <w:szCs w:val="18"/>
              </w:rPr>
              <w:t>GUS</w:t>
            </w:r>
          </w:p>
        </w:tc>
      </w:tr>
      <w:tr w:rsidR="00684833" w:rsidRPr="003478AF" w14:paraId="1A027F4D" w14:textId="48CD2E6B" w:rsidTr="00684833">
        <w:tc>
          <w:tcPr>
            <w:tcW w:w="893" w:type="pct"/>
            <w:vMerge/>
          </w:tcPr>
          <w:p w14:paraId="5741EF22" w14:textId="77777777" w:rsidR="00684833" w:rsidRPr="003478AF" w:rsidRDefault="00684833" w:rsidP="00684833">
            <w:pPr>
              <w:ind w:firstLine="0"/>
              <w:rPr>
                <w:rFonts w:eastAsia="Arial" w:cs="Arial"/>
                <w:sz w:val="18"/>
                <w:szCs w:val="18"/>
              </w:rPr>
            </w:pPr>
          </w:p>
        </w:tc>
        <w:tc>
          <w:tcPr>
            <w:tcW w:w="2526" w:type="pct"/>
          </w:tcPr>
          <w:p w14:paraId="177FDF45" w14:textId="1EC82566" w:rsidR="00684833" w:rsidRPr="003478AF" w:rsidRDefault="00684833" w:rsidP="00684833">
            <w:pPr>
              <w:ind w:firstLine="0"/>
              <w:jc w:val="left"/>
              <w:rPr>
                <w:rFonts w:eastAsia="Arial" w:cs="Arial"/>
                <w:sz w:val="18"/>
                <w:szCs w:val="18"/>
              </w:rPr>
            </w:pPr>
            <w:r w:rsidRPr="003478AF">
              <w:rPr>
                <w:rFonts w:eastAsia="Arial" w:cs="Arial"/>
                <w:sz w:val="18"/>
                <w:szCs w:val="18"/>
              </w:rPr>
              <w:t xml:space="preserve">Całkowita produkcja odpadów komunalnych w przeliczeniu na </w:t>
            </w:r>
            <w:r w:rsidR="00363517" w:rsidRPr="003478AF">
              <w:rPr>
                <w:rFonts w:eastAsia="Arial" w:cs="Arial"/>
                <w:sz w:val="18"/>
                <w:szCs w:val="18"/>
              </w:rPr>
              <w:t xml:space="preserve">1 </w:t>
            </w:r>
            <w:r w:rsidRPr="003478AF">
              <w:rPr>
                <w:rFonts w:eastAsia="Arial" w:cs="Arial"/>
                <w:sz w:val="18"/>
                <w:szCs w:val="18"/>
              </w:rPr>
              <w:t>mieszkańca</w:t>
            </w:r>
          </w:p>
        </w:tc>
        <w:tc>
          <w:tcPr>
            <w:tcW w:w="821" w:type="pct"/>
          </w:tcPr>
          <w:p w14:paraId="1FA50D78" w14:textId="5E0F58BB" w:rsidR="00684833" w:rsidRPr="003478AF" w:rsidRDefault="00684833" w:rsidP="00C17D7A">
            <w:pPr>
              <w:ind w:firstLine="0"/>
              <w:jc w:val="center"/>
              <w:rPr>
                <w:rFonts w:eastAsia="Arial" w:cs="Arial"/>
                <w:sz w:val="18"/>
                <w:szCs w:val="18"/>
              </w:rPr>
            </w:pPr>
            <w:r w:rsidRPr="003478AF">
              <w:rPr>
                <w:rFonts w:eastAsia="Arial" w:cs="Arial"/>
                <w:sz w:val="18"/>
                <w:szCs w:val="18"/>
              </w:rPr>
              <w:t>t/osob</w:t>
            </w:r>
            <w:r w:rsidR="00C17D7A" w:rsidRPr="003478AF">
              <w:rPr>
                <w:rFonts w:eastAsia="Arial" w:cs="Arial"/>
                <w:sz w:val="18"/>
                <w:szCs w:val="18"/>
              </w:rPr>
              <w:t>ę</w:t>
            </w:r>
          </w:p>
        </w:tc>
        <w:tc>
          <w:tcPr>
            <w:tcW w:w="760" w:type="pct"/>
          </w:tcPr>
          <w:p w14:paraId="027AA2E8" w14:textId="72131B1B" w:rsidR="00684833" w:rsidRPr="003478AF" w:rsidRDefault="00684833" w:rsidP="00684833">
            <w:pPr>
              <w:ind w:firstLine="0"/>
              <w:jc w:val="center"/>
              <w:rPr>
                <w:rFonts w:eastAsia="Arial" w:cs="Arial"/>
                <w:sz w:val="18"/>
                <w:szCs w:val="18"/>
              </w:rPr>
            </w:pPr>
            <w:r w:rsidRPr="003478AF">
              <w:rPr>
                <w:rFonts w:eastAsia="Arial" w:cs="Arial"/>
                <w:sz w:val="18"/>
                <w:szCs w:val="18"/>
              </w:rPr>
              <w:t>GUS</w:t>
            </w:r>
          </w:p>
        </w:tc>
      </w:tr>
      <w:tr w:rsidR="00684833" w:rsidRPr="003478AF" w14:paraId="10DC826B" w14:textId="35C83E34" w:rsidTr="00684833">
        <w:tc>
          <w:tcPr>
            <w:tcW w:w="893" w:type="pct"/>
            <w:vMerge/>
          </w:tcPr>
          <w:p w14:paraId="16322FA8" w14:textId="77777777" w:rsidR="00684833" w:rsidRPr="003478AF" w:rsidRDefault="00684833" w:rsidP="00684833">
            <w:pPr>
              <w:ind w:firstLine="0"/>
              <w:rPr>
                <w:rFonts w:eastAsia="Arial" w:cs="Arial"/>
                <w:sz w:val="18"/>
                <w:szCs w:val="18"/>
              </w:rPr>
            </w:pPr>
          </w:p>
        </w:tc>
        <w:tc>
          <w:tcPr>
            <w:tcW w:w="2526" w:type="pct"/>
          </w:tcPr>
          <w:p w14:paraId="1E5AF48F" w14:textId="30355052" w:rsidR="00684833" w:rsidRPr="003478AF" w:rsidRDefault="00684833" w:rsidP="00684833">
            <w:pPr>
              <w:ind w:firstLine="0"/>
              <w:jc w:val="left"/>
              <w:rPr>
                <w:rFonts w:eastAsia="Arial" w:cs="Arial"/>
                <w:sz w:val="18"/>
                <w:szCs w:val="18"/>
              </w:rPr>
            </w:pPr>
            <w:r w:rsidRPr="003478AF">
              <w:rPr>
                <w:rFonts w:eastAsia="Arial" w:cs="Arial"/>
                <w:sz w:val="18"/>
                <w:szCs w:val="18"/>
              </w:rPr>
              <w:t>Ilość odpadów składowanych</w:t>
            </w:r>
          </w:p>
        </w:tc>
        <w:tc>
          <w:tcPr>
            <w:tcW w:w="821" w:type="pct"/>
          </w:tcPr>
          <w:p w14:paraId="2264D217" w14:textId="76896A55" w:rsidR="00684833" w:rsidRPr="003478AF" w:rsidRDefault="00C17D7A" w:rsidP="00684833">
            <w:pPr>
              <w:ind w:firstLine="0"/>
              <w:jc w:val="center"/>
              <w:rPr>
                <w:rFonts w:eastAsia="Arial" w:cs="Arial"/>
                <w:sz w:val="18"/>
                <w:szCs w:val="18"/>
              </w:rPr>
            </w:pPr>
            <w:r w:rsidRPr="003478AF">
              <w:rPr>
                <w:rFonts w:eastAsia="Times New Roman" w:cs="Arial"/>
                <w:sz w:val="18"/>
                <w:szCs w:val="18"/>
                <w:lang w:eastAsia="pl-PL"/>
              </w:rPr>
              <w:t>t</w:t>
            </w:r>
          </w:p>
        </w:tc>
        <w:tc>
          <w:tcPr>
            <w:tcW w:w="760" w:type="pct"/>
          </w:tcPr>
          <w:p w14:paraId="5E0712E7" w14:textId="6203C308" w:rsidR="00684833" w:rsidRPr="003478AF" w:rsidRDefault="00684833" w:rsidP="00684833">
            <w:pPr>
              <w:ind w:firstLine="0"/>
              <w:jc w:val="center"/>
              <w:rPr>
                <w:rFonts w:eastAsia="Arial" w:cs="Arial"/>
                <w:sz w:val="18"/>
                <w:szCs w:val="18"/>
              </w:rPr>
            </w:pPr>
            <w:r w:rsidRPr="003478AF">
              <w:rPr>
                <w:rFonts w:eastAsia="Arial" w:cs="Arial"/>
                <w:sz w:val="18"/>
                <w:szCs w:val="18"/>
              </w:rPr>
              <w:t>GUS</w:t>
            </w:r>
          </w:p>
        </w:tc>
      </w:tr>
      <w:tr w:rsidR="00684833" w:rsidRPr="003478AF" w14:paraId="07D8712E" w14:textId="506D19BC" w:rsidTr="00684833">
        <w:tc>
          <w:tcPr>
            <w:tcW w:w="893" w:type="pct"/>
            <w:vMerge/>
          </w:tcPr>
          <w:p w14:paraId="5E3DD1F9" w14:textId="77777777" w:rsidR="00684833" w:rsidRPr="003478AF" w:rsidRDefault="00684833" w:rsidP="00684833">
            <w:pPr>
              <w:ind w:firstLine="0"/>
              <w:rPr>
                <w:rFonts w:eastAsia="Arial" w:cs="Arial"/>
                <w:sz w:val="18"/>
                <w:szCs w:val="18"/>
              </w:rPr>
            </w:pPr>
          </w:p>
        </w:tc>
        <w:tc>
          <w:tcPr>
            <w:tcW w:w="2526" w:type="pct"/>
          </w:tcPr>
          <w:p w14:paraId="04AD23E3" w14:textId="115C5C15" w:rsidR="00684833" w:rsidRPr="003478AF" w:rsidRDefault="00684833" w:rsidP="00684833">
            <w:pPr>
              <w:ind w:firstLine="0"/>
              <w:jc w:val="left"/>
              <w:rPr>
                <w:rFonts w:eastAsia="Arial" w:cs="Arial"/>
                <w:sz w:val="18"/>
                <w:szCs w:val="18"/>
              </w:rPr>
            </w:pPr>
            <w:r w:rsidRPr="003478AF">
              <w:rPr>
                <w:rFonts w:eastAsia="Arial" w:cs="Arial"/>
                <w:sz w:val="18"/>
                <w:szCs w:val="18"/>
              </w:rPr>
              <w:t>Ilość odpadów poddana recyklingowi</w:t>
            </w:r>
          </w:p>
        </w:tc>
        <w:tc>
          <w:tcPr>
            <w:tcW w:w="821" w:type="pct"/>
          </w:tcPr>
          <w:p w14:paraId="01467A8F" w14:textId="2F8042FB" w:rsidR="00684833" w:rsidRPr="003478AF" w:rsidRDefault="00C17D7A" w:rsidP="00684833">
            <w:pPr>
              <w:ind w:firstLine="0"/>
              <w:jc w:val="center"/>
              <w:rPr>
                <w:rFonts w:eastAsia="Arial" w:cs="Arial"/>
                <w:sz w:val="18"/>
                <w:szCs w:val="18"/>
              </w:rPr>
            </w:pPr>
            <w:r w:rsidRPr="003478AF">
              <w:rPr>
                <w:rFonts w:eastAsia="Times New Roman" w:cs="Arial"/>
                <w:sz w:val="18"/>
                <w:szCs w:val="18"/>
                <w:lang w:eastAsia="pl-PL"/>
              </w:rPr>
              <w:t>t</w:t>
            </w:r>
          </w:p>
        </w:tc>
        <w:tc>
          <w:tcPr>
            <w:tcW w:w="760" w:type="pct"/>
          </w:tcPr>
          <w:p w14:paraId="048117C5" w14:textId="455DFD39" w:rsidR="00684833" w:rsidRPr="003478AF" w:rsidRDefault="00684833" w:rsidP="00684833">
            <w:pPr>
              <w:ind w:firstLine="0"/>
              <w:jc w:val="center"/>
              <w:rPr>
                <w:rFonts w:eastAsia="Arial" w:cs="Arial"/>
                <w:sz w:val="18"/>
                <w:szCs w:val="18"/>
              </w:rPr>
            </w:pPr>
            <w:r w:rsidRPr="003478AF">
              <w:rPr>
                <w:rFonts w:eastAsia="Arial" w:cs="Arial"/>
                <w:sz w:val="18"/>
                <w:szCs w:val="18"/>
              </w:rPr>
              <w:t>GUS</w:t>
            </w:r>
          </w:p>
        </w:tc>
      </w:tr>
      <w:tr w:rsidR="00684833" w:rsidRPr="003478AF" w14:paraId="38B4C1A1" w14:textId="67798534" w:rsidTr="00684833">
        <w:tc>
          <w:tcPr>
            <w:tcW w:w="893" w:type="pct"/>
            <w:vMerge/>
          </w:tcPr>
          <w:p w14:paraId="52FAA6D5" w14:textId="77777777" w:rsidR="00684833" w:rsidRPr="003478AF" w:rsidRDefault="00684833" w:rsidP="00684833">
            <w:pPr>
              <w:ind w:firstLine="0"/>
              <w:rPr>
                <w:rFonts w:eastAsia="Arial" w:cs="Arial"/>
                <w:sz w:val="18"/>
                <w:szCs w:val="18"/>
              </w:rPr>
            </w:pPr>
          </w:p>
        </w:tc>
        <w:tc>
          <w:tcPr>
            <w:tcW w:w="2526" w:type="pct"/>
          </w:tcPr>
          <w:p w14:paraId="74DF1CF5" w14:textId="524C01B9" w:rsidR="00684833" w:rsidRPr="003478AF" w:rsidRDefault="00684833" w:rsidP="00684833">
            <w:pPr>
              <w:ind w:firstLine="0"/>
              <w:jc w:val="left"/>
              <w:rPr>
                <w:rFonts w:eastAsia="Arial" w:cs="Arial"/>
                <w:sz w:val="18"/>
                <w:szCs w:val="18"/>
              </w:rPr>
            </w:pPr>
            <w:r w:rsidRPr="003478AF">
              <w:rPr>
                <w:rFonts w:eastAsia="Arial" w:cs="Arial"/>
                <w:sz w:val="18"/>
                <w:szCs w:val="18"/>
              </w:rPr>
              <w:t>Wskaźnik marnowania żywności</w:t>
            </w:r>
            <w:r w:rsidRPr="003478AF">
              <w:rPr>
                <w:rStyle w:val="Odwoanieprzypisudolnego"/>
                <w:rFonts w:cs="Arial"/>
                <w:sz w:val="18"/>
                <w:szCs w:val="18"/>
              </w:rPr>
              <w:footnoteReference w:id="143"/>
            </w:r>
            <w:r w:rsidR="000D515E" w:rsidRPr="003478AF">
              <w:rPr>
                <w:rFonts w:eastAsia="Arial" w:cs="Arial"/>
                <w:sz w:val="18"/>
                <w:szCs w:val="18"/>
                <w:vertAlign w:val="superscript"/>
              </w:rPr>
              <w:t>,</w:t>
            </w:r>
            <w:r w:rsidRPr="003478AF">
              <w:rPr>
                <w:rStyle w:val="Odwoanieprzypisudolnego"/>
                <w:rFonts w:cs="Arial"/>
                <w:sz w:val="18"/>
                <w:szCs w:val="18"/>
              </w:rPr>
              <w:footnoteReference w:id="144"/>
            </w:r>
          </w:p>
        </w:tc>
        <w:tc>
          <w:tcPr>
            <w:tcW w:w="821" w:type="pct"/>
          </w:tcPr>
          <w:p w14:paraId="2E66CC34" w14:textId="0A3EF1DD" w:rsidR="00684833" w:rsidRPr="003478AF" w:rsidRDefault="00363517" w:rsidP="00684833">
            <w:pPr>
              <w:ind w:firstLine="0"/>
              <w:jc w:val="center"/>
              <w:rPr>
                <w:rFonts w:eastAsia="Arial" w:cs="Arial"/>
                <w:sz w:val="18"/>
                <w:szCs w:val="18"/>
              </w:rPr>
            </w:pPr>
            <w:r w:rsidRPr="003478AF">
              <w:rPr>
                <w:rFonts w:eastAsia="Times New Roman" w:cs="Arial"/>
                <w:sz w:val="18"/>
                <w:szCs w:val="18"/>
                <w:lang w:eastAsia="pl-PL"/>
              </w:rPr>
              <w:t>t</w:t>
            </w:r>
          </w:p>
        </w:tc>
        <w:tc>
          <w:tcPr>
            <w:tcW w:w="760" w:type="pct"/>
          </w:tcPr>
          <w:p w14:paraId="3BF81546" w14:textId="3367ACA9" w:rsidR="00684833" w:rsidRPr="003478AF" w:rsidRDefault="00684833" w:rsidP="00684833">
            <w:pPr>
              <w:ind w:firstLine="0"/>
              <w:jc w:val="center"/>
              <w:rPr>
                <w:rFonts w:eastAsia="Arial" w:cs="Arial"/>
                <w:sz w:val="18"/>
                <w:szCs w:val="18"/>
              </w:rPr>
            </w:pPr>
            <w:r w:rsidRPr="003478AF">
              <w:rPr>
                <w:rFonts w:cs="Arial"/>
                <w:sz w:val="18"/>
                <w:szCs w:val="18"/>
              </w:rPr>
              <w:t>Instytucje</w:t>
            </w:r>
          </w:p>
        </w:tc>
      </w:tr>
      <w:tr w:rsidR="00684833" w:rsidRPr="003478AF" w14:paraId="0BC316AA" w14:textId="37550229" w:rsidTr="00684833">
        <w:tc>
          <w:tcPr>
            <w:tcW w:w="893" w:type="pct"/>
            <w:vMerge/>
          </w:tcPr>
          <w:p w14:paraId="71DAFCCB" w14:textId="77777777" w:rsidR="00684833" w:rsidRPr="003478AF" w:rsidRDefault="00684833" w:rsidP="00684833">
            <w:pPr>
              <w:ind w:firstLine="0"/>
              <w:rPr>
                <w:rFonts w:eastAsia="Arial" w:cs="Arial"/>
                <w:sz w:val="18"/>
                <w:szCs w:val="18"/>
              </w:rPr>
            </w:pPr>
          </w:p>
        </w:tc>
        <w:tc>
          <w:tcPr>
            <w:tcW w:w="2526" w:type="pct"/>
          </w:tcPr>
          <w:p w14:paraId="7920D913" w14:textId="0D4E1E57" w:rsidR="00684833" w:rsidRPr="003478AF" w:rsidRDefault="00684833" w:rsidP="00684833">
            <w:pPr>
              <w:ind w:firstLine="0"/>
              <w:jc w:val="left"/>
              <w:rPr>
                <w:rFonts w:eastAsia="Arial" w:cs="Arial"/>
                <w:sz w:val="18"/>
                <w:szCs w:val="18"/>
              </w:rPr>
            </w:pPr>
            <w:r w:rsidRPr="003478AF">
              <w:rPr>
                <w:rFonts w:eastAsia="Arial" w:cs="Arial"/>
                <w:sz w:val="18"/>
                <w:szCs w:val="18"/>
              </w:rPr>
              <w:t>Odzież poddawana recyklingowi</w:t>
            </w:r>
          </w:p>
        </w:tc>
        <w:tc>
          <w:tcPr>
            <w:tcW w:w="821" w:type="pct"/>
          </w:tcPr>
          <w:p w14:paraId="7C34AC4E" w14:textId="581AB9C9" w:rsidR="00684833" w:rsidRPr="003478AF" w:rsidRDefault="00363517" w:rsidP="00684833">
            <w:pPr>
              <w:ind w:firstLine="0"/>
              <w:jc w:val="center"/>
              <w:rPr>
                <w:rFonts w:eastAsia="Arial" w:cs="Arial"/>
                <w:sz w:val="18"/>
                <w:szCs w:val="18"/>
              </w:rPr>
            </w:pPr>
            <w:r w:rsidRPr="003478AF">
              <w:rPr>
                <w:rFonts w:eastAsia="Times New Roman" w:cs="Arial"/>
                <w:sz w:val="18"/>
                <w:szCs w:val="18"/>
                <w:lang w:eastAsia="pl-PL"/>
              </w:rPr>
              <w:t>t</w:t>
            </w:r>
          </w:p>
        </w:tc>
        <w:tc>
          <w:tcPr>
            <w:tcW w:w="760" w:type="pct"/>
          </w:tcPr>
          <w:p w14:paraId="5340AFAB" w14:textId="77777777" w:rsidR="00684833" w:rsidRPr="003478AF" w:rsidRDefault="00684833" w:rsidP="00684833">
            <w:pPr>
              <w:ind w:firstLine="0"/>
              <w:jc w:val="center"/>
              <w:rPr>
                <w:rFonts w:eastAsia="Arial" w:cs="Arial"/>
                <w:sz w:val="18"/>
                <w:szCs w:val="18"/>
              </w:rPr>
            </w:pPr>
          </w:p>
        </w:tc>
      </w:tr>
      <w:tr w:rsidR="00684833" w:rsidRPr="003478AF" w14:paraId="54FD84A8" w14:textId="73A0059D" w:rsidTr="00684833">
        <w:tc>
          <w:tcPr>
            <w:tcW w:w="893" w:type="pct"/>
            <w:vMerge w:val="restart"/>
          </w:tcPr>
          <w:p w14:paraId="6BF69286" w14:textId="2F5F6EBA" w:rsidR="00684833" w:rsidRPr="003478AF" w:rsidRDefault="00684833" w:rsidP="00684833">
            <w:pPr>
              <w:ind w:firstLine="0"/>
              <w:rPr>
                <w:rFonts w:eastAsia="Arial" w:cs="Arial"/>
                <w:sz w:val="18"/>
                <w:szCs w:val="18"/>
              </w:rPr>
            </w:pPr>
            <w:r w:rsidRPr="003478AF">
              <w:rPr>
                <w:rFonts w:eastAsia="Arial" w:cs="Arial"/>
                <w:sz w:val="18"/>
                <w:szCs w:val="18"/>
              </w:rPr>
              <w:t>Energetyka</w:t>
            </w:r>
          </w:p>
        </w:tc>
        <w:tc>
          <w:tcPr>
            <w:tcW w:w="2526" w:type="pct"/>
          </w:tcPr>
          <w:p w14:paraId="6D601BF5" w14:textId="77777777" w:rsidR="00684833" w:rsidRPr="003478AF" w:rsidRDefault="00684833" w:rsidP="00684833">
            <w:pPr>
              <w:ind w:firstLine="0"/>
              <w:jc w:val="left"/>
              <w:rPr>
                <w:rFonts w:eastAsia="Arial" w:cs="Arial"/>
                <w:sz w:val="18"/>
                <w:szCs w:val="18"/>
              </w:rPr>
            </w:pPr>
            <w:r w:rsidRPr="003478AF">
              <w:rPr>
                <w:rFonts w:eastAsia="Arial" w:cs="Arial"/>
                <w:sz w:val="18"/>
                <w:szCs w:val="18"/>
              </w:rPr>
              <w:t>Udział energii ze źródeł odnawialnych w końcowym zużyciu energii</w:t>
            </w:r>
            <w:r w:rsidRPr="003478AF">
              <w:rPr>
                <w:rFonts w:eastAsia="Arial" w:cs="Arial"/>
                <w:i/>
                <w:iCs/>
                <w:sz w:val="18"/>
                <w:szCs w:val="18"/>
              </w:rPr>
              <w:t xml:space="preserve"> </w:t>
            </w:r>
            <w:r w:rsidRPr="003478AF">
              <w:rPr>
                <w:rFonts w:eastAsia="Arial" w:cs="Arial"/>
                <w:sz w:val="18"/>
                <w:szCs w:val="18"/>
              </w:rPr>
              <w:t>brutto</w:t>
            </w:r>
          </w:p>
        </w:tc>
        <w:tc>
          <w:tcPr>
            <w:tcW w:w="821" w:type="pct"/>
          </w:tcPr>
          <w:p w14:paraId="1B1D7AD2" w14:textId="77777777" w:rsidR="00684833" w:rsidRPr="003478AF" w:rsidRDefault="00684833" w:rsidP="00684833">
            <w:pPr>
              <w:ind w:firstLine="0"/>
              <w:jc w:val="center"/>
              <w:rPr>
                <w:rFonts w:eastAsia="Arial" w:cs="Arial"/>
                <w:sz w:val="18"/>
                <w:szCs w:val="18"/>
              </w:rPr>
            </w:pPr>
            <w:r w:rsidRPr="003478AF">
              <w:rPr>
                <w:rFonts w:eastAsia="Arial" w:cs="Arial"/>
                <w:sz w:val="18"/>
                <w:szCs w:val="18"/>
              </w:rPr>
              <w:t>%</w:t>
            </w:r>
          </w:p>
        </w:tc>
        <w:tc>
          <w:tcPr>
            <w:tcW w:w="760" w:type="pct"/>
          </w:tcPr>
          <w:p w14:paraId="5D0457B6" w14:textId="41C83C17" w:rsidR="00684833" w:rsidRPr="003478AF" w:rsidRDefault="00684833" w:rsidP="00684833">
            <w:pPr>
              <w:ind w:firstLine="0"/>
              <w:jc w:val="center"/>
              <w:rPr>
                <w:rFonts w:eastAsia="Arial" w:cs="Arial"/>
                <w:sz w:val="18"/>
                <w:szCs w:val="18"/>
              </w:rPr>
            </w:pPr>
            <w:r w:rsidRPr="003478AF">
              <w:rPr>
                <w:rFonts w:eastAsia="Arial" w:cs="Arial"/>
                <w:sz w:val="18"/>
                <w:szCs w:val="18"/>
              </w:rPr>
              <w:t>GUS</w:t>
            </w:r>
          </w:p>
        </w:tc>
      </w:tr>
      <w:tr w:rsidR="00684833" w:rsidRPr="003478AF" w14:paraId="5D2F3DA9" w14:textId="0AA5CEBE" w:rsidTr="00684833">
        <w:tc>
          <w:tcPr>
            <w:tcW w:w="893" w:type="pct"/>
            <w:vMerge/>
          </w:tcPr>
          <w:p w14:paraId="1CD70DFB" w14:textId="77777777" w:rsidR="00684833" w:rsidRPr="003478AF" w:rsidRDefault="00684833" w:rsidP="00684833">
            <w:pPr>
              <w:ind w:firstLine="0"/>
              <w:rPr>
                <w:rFonts w:eastAsia="Arial" w:cs="Arial"/>
                <w:sz w:val="18"/>
                <w:szCs w:val="18"/>
              </w:rPr>
            </w:pPr>
          </w:p>
        </w:tc>
        <w:tc>
          <w:tcPr>
            <w:tcW w:w="2526" w:type="pct"/>
          </w:tcPr>
          <w:p w14:paraId="01400DB6" w14:textId="20616053" w:rsidR="00684833" w:rsidRPr="003478AF" w:rsidRDefault="00684833" w:rsidP="00363517">
            <w:pPr>
              <w:ind w:firstLine="0"/>
              <w:jc w:val="left"/>
              <w:rPr>
                <w:rFonts w:eastAsia="Arial" w:cs="Arial"/>
                <w:sz w:val="18"/>
                <w:szCs w:val="18"/>
              </w:rPr>
            </w:pPr>
            <w:r w:rsidRPr="003478AF">
              <w:rPr>
                <w:rFonts w:eastAsia="Arial" w:cs="Arial"/>
                <w:sz w:val="18"/>
                <w:szCs w:val="18"/>
              </w:rPr>
              <w:t>Produktywność energetyczna (</w:t>
            </w:r>
            <w:r w:rsidR="00363517" w:rsidRPr="003478AF">
              <w:rPr>
                <w:rFonts w:eastAsia="Arial" w:cs="Arial"/>
                <w:sz w:val="18"/>
                <w:szCs w:val="18"/>
              </w:rPr>
              <w:t xml:space="preserve">relacja </w:t>
            </w:r>
            <w:r w:rsidRPr="003478AF">
              <w:rPr>
                <w:rFonts w:eastAsia="Arial" w:cs="Arial"/>
                <w:sz w:val="18"/>
                <w:szCs w:val="18"/>
              </w:rPr>
              <w:t>PKB w cenach stałych</w:t>
            </w:r>
            <w:r w:rsidR="00363517" w:rsidRPr="003478AF">
              <w:rPr>
                <w:rFonts w:eastAsia="Arial" w:cs="Arial"/>
                <w:sz w:val="18"/>
                <w:szCs w:val="18"/>
              </w:rPr>
              <w:t xml:space="preserve"> do c</w:t>
            </w:r>
            <w:r w:rsidRPr="003478AF">
              <w:rPr>
                <w:rFonts w:eastAsia="Arial" w:cs="Arial"/>
                <w:sz w:val="18"/>
                <w:szCs w:val="18"/>
              </w:rPr>
              <w:t>ałkowite</w:t>
            </w:r>
            <w:r w:rsidR="00363517" w:rsidRPr="003478AF">
              <w:rPr>
                <w:rFonts w:eastAsia="Arial" w:cs="Arial"/>
                <w:sz w:val="18"/>
                <w:szCs w:val="18"/>
              </w:rPr>
              <w:t>go</w:t>
            </w:r>
            <w:r w:rsidRPr="003478AF">
              <w:rPr>
                <w:rFonts w:eastAsia="Arial" w:cs="Arial"/>
                <w:sz w:val="18"/>
                <w:szCs w:val="18"/>
              </w:rPr>
              <w:t xml:space="preserve"> zużycie energii pierwotnej)</w:t>
            </w:r>
          </w:p>
        </w:tc>
        <w:tc>
          <w:tcPr>
            <w:tcW w:w="821" w:type="pct"/>
          </w:tcPr>
          <w:p w14:paraId="115AA316" w14:textId="13AAEAFD" w:rsidR="00684833" w:rsidRPr="003478AF" w:rsidRDefault="00684833" w:rsidP="00684833">
            <w:pPr>
              <w:ind w:firstLine="0"/>
              <w:jc w:val="center"/>
              <w:rPr>
                <w:rFonts w:eastAsia="Arial" w:cs="Arial"/>
                <w:sz w:val="18"/>
                <w:szCs w:val="18"/>
              </w:rPr>
            </w:pPr>
            <w:r w:rsidRPr="003478AF">
              <w:rPr>
                <w:rFonts w:eastAsia="Arial" w:cs="Arial"/>
                <w:sz w:val="18"/>
                <w:szCs w:val="18"/>
              </w:rPr>
              <w:t>zł/kgoe</w:t>
            </w:r>
          </w:p>
        </w:tc>
        <w:tc>
          <w:tcPr>
            <w:tcW w:w="760" w:type="pct"/>
          </w:tcPr>
          <w:p w14:paraId="15F8F889" w14:textId="39B603AA" w:rsidR="00684833" w:rsidRPr="003478AF" w:rsidRDefault="00684833" w:rsidP="00684833">
            <w:pPr>
              <w:ind w:firstLine="0"/>
              <w:jc w:val="center"/>
              <w:rPr>
                <w:rFonts w:eastAsia="Arial" w:cs="Arial"/>
                <w:sz w:val="18"/>
                <w:szCs w:val="18"/>
              </w:rPr>
            </w:pPr>
            <w:r w:rsidRPr="003478AF">
              <w:rPr>
                <w:rFonts w:eastAsia="Arial" w:cs="Arial"/>
                <w:sz w:val="18"/>
                <w:szCs w:val="18"/>
              </w:rPr>
              <w:t>GUS</w:t>
            </w:r>
          </w:p>
        </w:tc>
      </w:tr>
      <w:tr w:rsidR="00684833" w:rsidRPr="003478AF" w14:paraId="7D39B444" w14:textId="0B636B60" w:rsidTr="00684833">
        <w:tc>
          <w:tcPr>
            <w:tcW w:w="893" w:type="pct"/>
            <w:vMerge/>
          </w:tcPr>
          <w:p w14:paraId="785D6A59" w14:textId="77777777" w:rsidR="00684833" w:rsidRPr="003478AF" w:rsidRDefault="00684833" w:rsidP="00684833">
            <w:pPr>
              <w:ind w:firstLine="0"/>
              <w:rPr>
                <w:rFonts w:eastAsia="Arial" w:cs="Arial"/>
                <w:sz w:val="18"/>
                <w:szCs w:val="18"/>
              </w:rPr>
            </w:pPr>
          </w:p>
        </w:tc>
        <w:tc>
          <w:tcPr>
            <w:tcW w:w="2526" w:type="pct"/>
          </w:tcPr>
          <w:p w14:paraId="32C5DAB5" w14:textId="3AE0C9DB" w:rsidR="00684833" w:rsidRPr="003478AF" w:rsidRDefault="00684833" w:rsidP="00363517">
            <w:pPr>
              <w:ind w:firstLine="0"/>
              <w:jc w:val="left"/>
              <w:rPr>
                <w:rFonts w:eastAsia="Arial" w:cs="Arial"/>
                <w:sz w:val="18"/>
                <w:szCs w:val="18"/>
              </w:rPr>
            </w:pPr>
            <w:r w:rsidRPr="003478AF">
              <w:rPr>
                <w:rFonts w:eastAsia="Arial" w:cs="Arial"/>
                <w:sz w:val="18"/>
                <w:szCs w:val="18"/>
              </w:rPr>
              <w:t>Produktywność zasobów (</w:t>
            </w:r>
            <w:r w:rsidR="00363517" w:rsidRPr="003478AF">
              <w:rPr>
                <w:rFonts w:eastAsia="Arial" w:cs="Arial"/>
                <w:sz w:val="18"/>
                <w:szCs w:val="18"/>
              </w:rPr>
              <w:t xml:space="preserve">relacja </w:t>
            </w:r>
            <w:r w:rsidRPr="003478AF">
              <w:rPr>
                <w:rFonts w:cs="Arial"/>
                <w:sz w:val="18"/>
                <w:szCs w:val="18"/>
              </w:rPr>
              <w:t>PKB</w:t>
            </w:r>
            <w:r w:rsidR="00363517" w:rsidRPr="003478AF">
              <w:rPr>
                <w:rFonts w:cs="Arial"/>
                <w:sz w:val="18"/>
                <w:szCs w:val="18"/>
              </w:rPr>
              <w:t xml:space="preserve"> do wartości </w:t>
            </w:r>
            <w:r w:rsidRPr="003478AF">
              <w:rPr>
                <w:rFonts w:cs="Arial"/>
                <w:sz w:val="18"/>
                <w:szCs w:val="18"/>
              </w:rPr>
              <w:t>krajow</w:t>
            </w:r>
            <w:r w:rsidR="00363517" w:rsidRPr="003478AF">
              <w:rPr>
                <w:rFonts w:cs="Arial"/>
                <w:sz w:val="18"/>
                <w:szCs w:val="18"/>
              </w:rPr>
              <w:t>ej konsumpcji</w:t>
            </w:r>
            <w:r w:rsidRPr="003478AF">
              <w:rPr>
                <w:rFonts w:cs="Arial"/>
                <w:sz w:val="18"/>
                <w:szCs w:val="18"/>
              </w:rPr>
              <w:t xml:space="preserve"> materialn</w:t>
            </w:r>
            <w:r w:rsidR="00363517" w:rsidRPr="003478AF">
              <w:rPr>
                <w:rFonts w:cs="Arial"/>
                <w:sz w:val="18"/>
                <w:szCs w:val="18"/>
              </w:rPr>
              <w:t>ej</w:t>
            </w:r>
            <w:r w:rsidRPr="003478AF">
              <w:rPr>
                <w:rFonts w:cs="Arial"/>
                <w:sz w:val="18"/>
                <w:szCs w:val="18"/>
              </w:rPr>
              <w:t xml:space="preserve"> – DMC)</w:t>
            </w:r>
          </w:p>
        </w:tc>
        <w:tc>
          <w:tcPr>
            <w:tcW w:w="821" w:type="pct"/>
          </w:tcPr>
          <w:p w14:paraId="6B642DB0" w14:textId="3A65283E" w:rsidR="00684833" w:rsidRPr="003478AF" w:rsidRDefault="00684833" w:rsidP="00684833">
            <w:pPr>
              <w:ind w:firstLine="0"/>
              <w:jc w:val="center"/>
              <w:rPr>
                <w:rFonts w:eastAsia="Arial" w:cs="Arial"/>
                <w:sz w:val="18"/>
                <w:szCs w:val="18"/>
              </w:rPr>
            </w:pPr>
            <w:r w:rsidRPr="003478AF">
              <w:rPr>
                <w:rFonts w:eastAsia="Arial" w:cs="Arial"/>
                <w:sz w:val="18"/>
                <w:szCs w:val="18"/>
              </w:rPr>
              <w:t>zł</w:t>
            </w:r>
          </w:p>
        </w:tc>
        <w:tc>
          <w:tcPr>
            <w:tcW w:w="760" w:type="pct"/>
          </w:tcPr>
          <w:p w14:paraId="001AFFEB" w14:textId="24C11389" w:rsidR="00684833" w:rsidRPr="003478AF" w:rsidRDefault="00684833" w:rsidP="00684833">
            <w:pPr>
              <w:ind w:firstLine="0"/>
              <w:rPr>
                <w:rFonts w:eastAsia="Arial" w:cs="Arial"/>
                <w:sz w:val="18"/>
                <w:szCs w:val="18"/>
              </w:rPr>
            </w:pPr>
            <w:r w:rsidRPr="003478AF">
              <w:rPr>
                <w:rFonts w:cs="Arial"/>
                <w:sz w:val="18"/>
                <w:szCs w:val="18"/>
              </w:rPr>
              <w:t>Instytucje</w:t>
            </w:r>
          </w:p>
        </w:tc>
      </w:tr>
      <w:tr w:rsidR="00684833" w:rsidRPr="003478AF" w14:paraId="19721601" w14:textId="26D89D22" w:rsidTr="00684833">
        <w:trPr>
          <w:trHeight w:val="506"/>
        </w:trPr>
        <w:tc>
          <w:tcPr>
            <w:tcW w:w="893" w:type="pct"/>
            <w:vMerge w:val="restart"/>
          </w:tcPr>
          <w:p w14:paraId="037B6E13" w14:textId="77777777" w:rsidR="00684833" w:rsidRPr="003478AF" w:rsidRDefault="00684833" w:rsidP="00684833">
            <w:pPr>
              <w:ind w:firstLine="0"/>
              <w:rPr>
                <w:rFonts w:eastAsia="Arial" w:cs="Arial"/>
                <w:sz w:val="18"/>
                <w:szCs w:val="18"/>
              </w:rPr>
            </w:pPr>
            <w:r w:rsidRPr="003478AF">
              <w:rPr>
                <w:rFonts w:eastAsia="Arial" w:cs="Arial"/>
                <w:sz w:val="18"/>
                <w:szCs w:val="18"/>
              </w:rPr>
              <w:t>Inne</w:t>
            </w:r>
          </w:p>
        </w:tc>
        <w:tc>
          <w:tcPr>
            <w:tcW w:w="2526" w:type="pct"/>
          </w:tcPr>
          <w:p w14:paraId="313A8108" w14:textId="00775C39" w:rsidR="00684833" w:rsidRPr="003478AF" w:rsidRDefault="00684833" w:rsidP="00363517">
            <w:pPr>
              <w:ind w:firstLine="0"/>
              <w:jc w:val="left"/>
              <w:rPr>
                <w:rFonts w:eastAsia="Arial" w:cs="Arial"/>
                <w:sz w:val="18"/>
                <w:szCs w:val="18"/>
              </w:rPr>
            </w:pPr>
            <w:r w:rsidRPr="003478AF">
              <w:rPr>
                <w:rFonts w:eastAsia="Arial" w:cs="Arial"/>
                <w:sz w:val="18"/>
                <w:szCs w:val="18"/>
              </w:rPr>
              <w:t xml:space="preserve">Liczba miejsc pracy w podmiotach działających w </w:t>
            </w:r>
            <w:r w:rsidR="00363517" w:rsidRPr="003478AF">
              <w:rPr>
                <w:rFonts w:eastAsia="Arial" w:cs="Arial"/>
                <w:sz w:val="18"/>
                <w:szCs w:val="18"/>
              </w:rPr>
              <w:t xml:space="preserve">ramach </w:t>
            </w:r>
            <w:r w:rsidRPr="003478AF">
              <w:rPr>
                <w:rFonts w:eastAsia="Arial" w:cs="Arial"/>
                <w:sz w:val="18"/>
                <w:szCs w:val="18"/>
              </w:rPr>
              <w:t>gospodar</w:t>
            </w:r>
            <w:r w:rsidR="00363517" w:rsidRPr="003478AF">
              <w:rPr>
                <w:rFonts w:eastAsia="Arial" w:cs="Arial"/>
                <w:sz w:val="18"/>
                <w:szCs w:val="18"/>
              </w:rPr>
              <w:t>ki</w:t>
            </w:r>
            <w:r w:rsidRPr="003478AF">
              <w:rPr>
                <w:rFonts w:eastAsia="Arial" w:cs="Arial"/>
                <w:sz w:val="18"/>
                <w:szCs w:val="18"/>
              </w:rPr>
              <w:t xml:space="preserve"> o obiegu zamkniętym</w:t>
            </w:r>
          </w:p>
        </w:tc>
        <w:tc>
          <w:tcPr>
            <w:tcW w:w="821" w:type="pct"/>
          </w:tcPr>
          <w:p w14:paraId="2C74D73D" w14:textId="483CC3A8" w:rsidR="00684833" w:rsidRPr="003478AF" w:rsidRDefault="00684833" w:rsidP="00684833">
            <w:pPr>
              <w:ind w:firstLine="0"/>
              <w:jc w:val="center"/>
              <w:rPr>
                <w:rFonts w:eastAsia="Arial" w:cs="Arial"/>
                <w:sz w:val="18"/>
                <w:szCs w:val="18"/>
              </w:rPr>
            </w:pPr>
            <w:r w:rsidRPr="003478AF">
              <w:rPr>
                <w:rFonts w:eastAsia="Arial" w:cs="Arial"/>
                <w:sz w:val="18"/>
                <w:szCs w:val="18"/>
              </w:rPr>
              <w:t>etat</w:t>
            </w:r>
          </w:p>
        </w:tc>
        <w:tc>
          <w:tcPr>
            <w:tcW w:w="760" w:type="pct"/>
          </w:tcPr>
          <w:p w14:paraId="5F10F51F" w14:textId="1E172851" w:rsidR="00684833" w:rsidRPr="003478AF" w:rsidRDefault="00684833" w:rsidP="00684833">
            <w:pPr>
              <w:ind w:firstLine="0"/>
              <w:rPr>
                <w:rFonts w:eastAsia="Arial" w:cs="Arial"/>
                <w:sz w:val="18"/>
                <w:szCs w:val="18"/>
              </w:rPr>
            </w:pPr>
            <w:r w:rsidRPr="003478AF">
              <w:rPr>
                <w:rFonts w:cs="Arial"/>
                <w:sz w:val="18"/>
                <w:szCs w:val="18"/>
              </w:rPr>
              <w:t>Instytucje</w:t>
            </w:r>
          </w:p>
        </w:tc>
      </w:tr>
      <w:tr w:rsidR="00684833" w:rsidRPr="003478AF" w14:paraId="16609584" w14:textId="28989156" w:rsidTr="00684833">
        <w:tc>
          <w:tcPr>
            <w:tcW w:w="893" w:type="pct"/>
            <w:vMerge/>
          </w:tcPr>
          <w:p w14:paraId="645EA5BF" w14:textId="77777777" w:rsidR="00684833" w:rsidRPr="003478AF" w:rsidRDefault="00684833" w:rsidP="00684833">
            <w:pPr>
              <w:ind w:firstLine="0"/>
              <w:rPr>
                <w:rFonts w:eastAsia="Arial" w:cs="Arial"/>
                <w:sz w:val="18"/>
                <w:szCs w:val="18"/>
              </w:rPr>
            </w:pPr>
          </w:p>
        </w:tc>
        <w:tc>
          <w:tcPr>
            <w:tcW w:w="2526" w:type="pct"/>
          </w:tcPr>
          <w:p w14:paraId="1E097312" w14:textId="77777777" w:rsidR="00684833" w:rsidRPr="003478AF" w:rsidRDefault="00684833" w:rsidP="00684833">
            <w:pPr>
              <w:ind w:firstLine="0"/>
              <w:jc w:val="left"/>
              <w:rPr>
                <w:rFonts w:eastAsia="Arial" w:cs="Arial"/>
                <w:sz w:val="18"/>
                <w:szCs w:val="18"/>
              </w:rPr>
            </w:pPr>
            <w:r w:rsidRPr="003478AF">
              <w:rPr>
                <w:rFonts w:eastAsia="Arial" w:cs="Arial"/>
                <w:sz w:val="18"/>
                <w:szCs w:val="18"/>
              </w:rPr>
              <w:t>Liczba pracowników gminnych przeszkolonych w zakresie gospodarki o obiegu zamkniętym</w:t>
            </w:r>
          </w:p>
        </w:tc>
        <w:tc>
          <w:tcPr>
            <w:tcW w:w="821" w:type="pct"/>
          </w:tcPr>
          <w:p w14:paraId="6B90357B" w14:textId="77777777" w:rsidR="00684833" w:rsidRPr="003478AF" w:rsidRDefault="00684833" w:rsidP="00684833">
            <w:pPr>
              <w:ind w:firstLine="0"/>
              <w:jc w:val="center"/>
              <w:rPr>
                <w:rFonts w:eastAsia="Arial" w:cs="Arial"/>
                <w:sz w:val="18"/>
                <w:szCs w:val="18"/>
              </w:rPr>
            </w:pPr>
            <w:r w:rsidRPr="003478AF">
              <w:rPr>
                <w:rFonts w:eastAsia="Arial" w:cs="Arial"/>
                <w:sz w:val="18"/>
                <w:szCs w:val="18"/>
              </w:rPr>
              <w:t>osoba</w:t>
            </w:r>
          </w:p>
        </w:tc>
        <w:tc>
          <w:tcPr>
            <w:tcW w:w="760" w:type="pct"/>
          </w:tcPr>
          <w:p w14:paraId="000C5960" w14:textId="6C373BA8" w:rsidR="00684833" w:rsidRPr="003478AF" w:rsidRDefault="00684833" w:rsidP="00363517">
            <w:pPr>
              <w:ind w:firstLine="0"/>
              <w:jc w:val="center"/>
              <w:rPr>
                <w:rFonts w:eastAsia="Arial" w:cs="Arial"/>
                <w:sz w:val="18"/>
                <w:szCs w:val="18"/>
              </w:rPr>
            </w:pPr>
            <w:r w:rsidRPr="003478AF">
              <w:rPr>
                <w:rFonts w:eastAsia="Arial" w:cs="Arial"/>
                <w:sz w:val="18"/>
                <w:szCs w:val="18"/>
              </w:rPr>
              <w:t xml:space="preserve">Instytucje (głównie raportowanie </w:t>
            </w:r>
            <w:r w:rsidR="00363517" w:rsidRPr="003478AF">
              <w:rPr>
                <w:rFonts w:eastAsia="Arial" w:cs="Arial"/>
                <w:sz w:val="18"/>
                <w:szCs w:val="18"/>
              </w:rPr>
              <w:t>JST</w:t>
            </w:r>
            <w:r w:rsidRPr="003478AF">
              <w:rPr>
                <w:rFonts w:eastAsia="Arial" w:cs="Arial"/>
                <w:sz w:val="18"/>
                <w:szCs w:val="18"/>
              </w:rPr>
              <w:t>)</w:t>
            </w:r>
          </w:p>
        </w:tc>
      </w:tr>
      <w:tr w:rsidR="00684833" w:rsidRPr="003478AF" w14:paraId="3F2DF6BE" w14:textId="77777777" w:rsidTr="00684833">
        <w:tc>
          <w:tcPr>
            <w:tcW w:w="893" w:type="pct"/>
            <w:vMerge/>
          </w:tcPr>
          <w:p w14:paraId="6FD7730B" w14:textId="77777777" w:rsidR="00684833" w:rsidRPr="003478AF" w:rsidRDefault="00684833" w:rsidP="00684833">
            <w:pPr>
              <w:ind w:firstLine="0"/>
              <w:rPr>
                <w:rFonts w:eastAsia="Arial" w:cs="Arial"/>
                <w:sz w:val="18"/>
                <w:szCs w:val="18"/>
              </w:rPr>
            </w:pPr>
          </w:p>
        </w:tc>
        <w:tc>
          <w:tcPr>
            <w:tcW w:w="2526" w:type="pct"/>
          </w:tcPr>
          <w:p w14:paraId="37656C3A" w14:textId="6E48AEE6" w:rsidR="00684833" w:rsidRPr="003478AF" w:rsidRDefault="00684833" w:rsidP="00684833">
            <w:pPr>
              <w:ind w:firstLine="0"/>
              <w:jc w:val="left"/>
              <w:rPr>
                <w:rFonts w:eastAsia="Arial" w:cs="Arial"/>
                <w:sz w:val="18"/>
                <w:szCs w:val="18"/>
              </w:rPr>
            </w:pPr>
            <w:r w:rsidRPr="003478AF">
              <w:rPr>
                <w:rFonts w:eastAsia="Arial" w:cs="Arial"/>
                <w:sz w:val="18"/>
                <w:szCs w:val="18"/>
              </w:rPr>
              <w:t>Liczba strategii/map drogowych GOZ na poziomie gminy/miasta</w:t>
            </w:r>
          </w:p>
        </w:tc>
        <w:tc>
          <w:tcPr>
            <w:tcW w:w="821" w:type="pct"/>
          </w:tcPr>
          <w:p w14:paraId="48F5B108" w14:textId="43811E39" w:rsidR="00684833" w:rsidRPr="003478AF" w:rsidRDefault="00CD2357" w:rsidP="00DF5C43">
            <w:pPr>
              <w:ind w:firstLine="0"/>
              <w:jc w:val="center"/>
              <w:rPr>
                <w:rFonts w:eastAsia="Arial" w:cs="Arial"/>
                <w:sz w:val="18"/>
                <w:szCs w:val="18"/>
              </w:rPr>
            </w:pPr>
            <w:r w:rsidRPr="003478AF">
              <w:rPr>
                <w:rFonts w:eastAsia="Arial" w:cs="Arial"/>
                <w:sz w:val="18"/>
                <w:szCs w:val="18"/>
              </w:rPr>
              <w:t>szt.</w:t>
            </w:r>
          </w:p>
        </w:tc>
        <w:tc>
          <w:tcPr>
            <w:tcW w:w="760" w:type="pct"/>
          </w:tcPr>
          <w:p w14:paraId="14955015" w14:textId="14320F61" w:rsidR="00684833" w:rsidRPr="003478AF" w:rsidRDefault="00684833" w:rsidP="00363517">
            <w:pPr>
              <w:ind w:firstLine="0"/>
              <w:jc w:val="center"/>
              <w:rPr>
                <w:rFonts w:eastAsia="Arial" w:cs="Arial"/>
                <w:sz w:val="18"/>
                <w:szCs w:val="18"/>
              </w:rPr>
            </w:pPr>
            <w:r w:rsidRPr="003478AF">
              <w:rPr>
                <w:rFonts w:eastAsia="Arial" w:cs="Arial"/>
                <w:sz w:val="18"/>
                <w:szCs w:val="18"/>
              </w:rPr>
              <w:t xml:space="preserve">Instytucje (głównie raportowanie </w:t>
            </w:r>
            <w:r w:rsidR="00363517" w:rsidRPr="003478AF">
              <w:rPr>
                <w:rFonts w:eastAsia="Arial" w:cs="Arial"/>
                <w:sz w:val="18"/>
                <w:szCs w:val="18"/>
              </w:rPr>
              <w:t>JST</w:t>
            </w:r>
            <w:r w:rsidRPr="003478AF">
              <w:rPr>
                <w:rFonts w:eastAsia="Arial" w:cs="Arial"/>
                <w:sz w:val="18"/>
                <w:szCs w:val="18"/>
              </w:rPr>
              <w:t>)</w:t>
            </w:r>
          </w:p>
        </w:tc>
      </w:tr>
      <w:tr w:rsidR="00684833" w:rsidRPr="003478AF" w14:paraId="680C6A56" w14:textId="74CD7623" w:rsidTr="00684833">
        <w:tc>
          <w:tcPr>
            <w:tcW w:w="893" w:type="pct"/>
            <w:vMerge/>
          </w:tcPr>
          <w:p w14:paraId="125496BD" w14:textId="77777777" w:rsidR="00684833" w:rsidRPr="003478AF" w:rsidRDefault="00684833" w:rsidP="00684833">
            <w:pPr>
              <w:ind w:firstLine="0"/>
              <w:rPr>
                <w:rFonts w:eastAsia="Arial" w:cs="Arial"/>
                <w:sz w:val="18"/>
                <w:szCs w:val="18"/>
              </w:rPr>
            </w:pPr>
          </w:p>
        </w:tc>
        <w:tc>
          <w:tcPr>
            <w:tcW w:w="2526" w:type="pct"/>
          </w:tcPr>
          <w:p w14:paraId="52278376" w14:textId="6EB6304A" w:rsidR="00684833" w:rsidRPr="003478AF" w:rsidRDefault="00684833" w:rsidP="00684833">
            <w:pPr>
              <w:ind w:firstLine="0"/>
              <w:jc w:val="left"/>
              <w:rPr>
                <w:rFonts w:eastAsia="Arial" w:cs="Arial"/>
                <w:sz w:val="18"/>
                <w:szCs w:val="18"/>
              </w:rPr>
            </w:pPr>
            <w:r w:rsidRPr="003478AF">
              <w:rPr>
                <w:rFonts w:eastAsia="Arial" w:cs="Arial"/>
                <w:sz w:val="18"/>
                <w:szCs w:val="18"/>
              </w:rPr>
              <w:t xml:space="preserve">Liczba pracowników gminy aktywnie pracujących nad opracowaniem wizji </w:t>
            </w:r>
            <w:r w:rsidR="00363517" w:rsidRPr="003478AF">
              <w:rPr>
                <w:rFonts w:eastAsia="Arial" w:cs="Arial"/>
                <w:sz w:val="18"/>
                <w:szCs w:val="18"/>
              </w:rPr>
              <w:t xml:space="preserve">gospodarki </w:t>
            </w:r>
            <w:r w:rsidRPr="003478AF">
              <w:rPr>
                <w:rFonts w:eastAsia="Arial" w:cs="Arial"/>
                <w:sz w:val="18"/>
                <w:szCs w:val="18"/>
              </w:rPr>
              <w:t>cyrkularnej</w:t>
            </w:r>
          </w:p>
        </w:tc>
        <w:tc>
          <w:tcPr>
            <w:tcW w:w="821" w:type="pct"/>
          </w:tcPr>
          <w:p w14:paraId="50EB258D" w14:textId="77777777" w:rsidR="00684833" w:rsidRPr="003478AF" w:rsidRDefault="00684833" w:rsidP="00684833">
            <w:pPr>
              <w:ind w:firstLine="0"/>
              <w:jc w:val="center"/>
              <w:rPr>
                <w:rFonts w:eastAsia="Arial" w:cs="Arial"/>
                <w:sz w:val="18"/>
                <w:szCs w:val="18"/>
              </w:rPr>
            </w:pPr>
            <w:r w:rsidRPr="003478AF">
              <w:rPr>
                <w:rFonts w:eastAsia="Arial" w:cs="Arial"/>
                <w:sz w:val="18"/>
                <w:szCs w:val="18"/>
              </w:rPr>
              <w:t>osoba</w:t>
            </w:r>
          </w:p>
        </w:tc>
        <w:tc>
          <w:tcPr>
            <w:tcW w:w="760" w:type="pct"/>
          </w:tcPr>
          <w:p w14:paraId="093A1AC0" w14:textId="4B714C6B" w:rsidR="00684833" w:rsidRPr="003478AF" w:rsidRDefault="00684833" w:rsidP="00DF5C43">
            <w:pPr>
              <w:ind w:firstLine="0"/>
              <w:jc w:val="center"/>
              <w:rPr>
                <w:rFonts w:eastAsia="Arial" w:cs="Arial"/>
                <w:sz w:val="18"/>
                <w:szCs w:val="18"/>
              </w:rPr>
            </w:pPr>
            <w:r w:rsidRPr="003478AF">
              <w:rPr>
                <w:rFonts w:eastAsia="Arial" w:cs="Arial"/>
                <w:sz w:val="18"/>
                <w:szCs w:val="18"/>
              </w:rPr>
              <w:t>Dane z urzędów gmin</w:t>
            </w:r>
          </w:p>
        </w:tc>
      </w:tr>
      <w:tr w:rsidR="00684833" w:rsidRPr="003478AF" w14:paraId="2A3F9523" w14:textId="278F6A32" w:rsidTr="00684833">
        <w:tc>
          <w:tcPr>
            <w:tcW w:w="893" w:type="pct"/>
            <w:vMerge/>
          </w:tcPr>
          <w:p w14:paraId="51E7BCF8" w14:textId="77777777" w:rsidR="00684833" w:rsidRPr="003478AF" w:rsidRDefault="00684833" w:rsidP="00684833">
            <w:pPr>
              <w:ind w:firstLine="0"/>
              <w:rPr>
                <w:rFonts w:eastAsia="Arial" w:cs="Arial"/>
                <w:sz w:val="18"/>
                <w:szCs w:val="18"/>
              </w:rPr>
            </w:pPr>
          </w:p>
        </w:tc>
        <w:tc>
          <w:tcPr>
            <w:tcW w:w="2526" w:type="pct"/>
          </w:tcPr>
          <w:p w14:paraId="42495241" w14:textId="77777777" w:rsidR="00684833" w:rsidRPr="003478AF" w:rsidRDefault="00684833" w:rsidP="00684833">
            <w:pPr>
              <w:ind w:firstLine="0"/>
              <w:jc w:val="left"/>
              <w:rPr>
                <w:rFonts w:eastAsia="Arial" w:cs="Arial"/>
                <w:sz w:val="18"/>
                <w:szCs w:val="18"/>
              </w:rPr>
            </w:pPr>
            <w:r w:rsidRPr="003478AF">
              <w:rPr>
                <w:rFonts w:eastAsia="Arial" w:cs="Arial"/>
                <w:sz w:val="18"/>
                <w:szCs w:val="18"/>
              </w:rPr>
              <w:t xml:space="preserve">Dostępność miejsc do naprawy, ponownego wykorzystania i udostępniania (kawiarnie naprawcze, sklepy oferujące usługi naprawcze, punkty zbiórki do ponownego wykorzystania materiałów, punkty ponownego użycia) </w:t>
            </w:r>
          </w:p>
        </w:tc>
        <w:tc>
          <w:tcPr>
            <w:tcW w:w="821" w:type="pct"/>
          </w:tcPr>
          <w:p w14:paraId="11E5717D" w14:textId="548D8B4C" w:rsidR="00684833" w:rsidRPr="003478AF" w:rsidRDefault="00CD2357" w:rsidP="00DF5C43">
            <w:pPr>
              <w:ind w:firstLine="0"/>
              <w:jc w:val="center"/>
              <w:rPr>
                <w:rFonts w:eastAsia="Arial" w:cs="Arial"/>
                <w:sz w:val="18"/>
                <w:szCs w:val="18"/>
              </w:rPr>
            </w:pPr>
            <w:r w:rsidRPr="003478AF">
              <w:rPr>
                <w:rFonts w:eastAsia="Arial" w:cs="Arial"/>
                <w:sz w:val="18"/>
                <w:szCs w:val="18"/>
              </w:rPr>
              <w:t>szt.</w:t>
            </w:r>
          </w:p>
        </w:tc>
        <w:tc>
          <w:tcPr>
            <w:tcW w:w="760" w:type="pct"/>
          </w:tcPr>
          <w:p w14:paraId="43E9B729" w14:textId="5EDDD221" w:rsidR="00684833" w:rsidRPr="003478AF" w:rsidRDefault="00684833" w:rsidP="00684833">
            <w:pPr>
              <w:ind w:firstLine="0"/>
              <w:jc w:val="center"/>
              <w:rPr>
                <w:rFonts w:eastAsia="Arial" w:cs="Arial"/>
                <w:sz w:val="18"/>
                <w:szCs w:val="18"/>
              </w:rPr>
            </w:pPr>
            <w:r w:rsidRPr="003478AF">
              <w:rPr>
                <w:rFonts w:cs="Arial"/>
                <w:sz w:val="18"/>
                <w:szCs w:val="18"/>
              </w:rPr>
              <w:t>Instytucje</w:t>
            </w:r>
          </w:p>
        </w:tc>
      </w:tr>
      <w:tr w:rsidR="00684833" w:rsidRPr="003478AF" w14:paraId="189C4B60" w14:textId="7824862B" w:rsidTr="00684833">
        <w:tc>
          <w:tcPr>
            <w:tcW w:w="893" w:type="pct"/>
            <w:vMerge/>
          </w:tcPr>
          <w:p w14:paraId="6449398D" w14:textId="77777777" w:rsidR="00684833" w:rsidRPr="003478AF" w:rsidRDefault="00684833" w:rsidP="00684833">
            <w:pPr>
              <w:ind w:firstLine="0"/>
              <w:rPr>
                <w:rFonts w:eastAsia="Arial" w:cs="Arial"/>
                <w:sz w:val="18"/>
                <w:szCs w:val="18"/>
              </w:rPr>
            </w:pPr>
          </w:p>
        </w:tc>
        <w:tc>
          <w:tcPr>
            <w:tcW w:w="2526" w:type="pct"/>
          </w:tcPr>
          <w:p w14:paraId="6831CE41" w14:textId="77777777" w:rsidR="00684833" w:rsidRPr="003478AF" w:rsidRDefault="00684833" w:rsidP="00684833">
            <w:pPr>
              <w:ind w:firstLine="0"/>
              <w:jc w:val="left"/>
              <w:rPr>
                <w:rFonts w:eastAsia="Arial" w:cs="Arial"/>
                <w:sz w:val="18"/>
                <w:szCs w:val="18"/>
              </w:rPr>
            </w:pPr>
            <w:r w:rsidRPr="003478AF">
              <w:rPr>
                <w:rFonts w:eastAsia="Arial" w:cs="Arial"/>
                <w:sz w:val="18"/>
                <w:szCs w:val="18"/>
              </w:rPr>
              <w:t xml:space="preserve">Projekty w zakresie ekonomii współdzielenia </w:t>
            </w:r>
          </w:p>
        </w:tc>
        <w:tc>
          <w:tcPr>
            <w:tcW w:w="821" w:type="pct"/>
          </w:tcPr>
          <w:p w14:paraId="59C2935D" w14:textId="5525C810" w:rsidR="00684833" w:rsidRPr="003478AF" w:rsidRDefault="00CD2357" w:rsidP="00DF5C43">
            <w:pPr>
              <w:ind w:firstLine="0"/>
              <w:jc w:val="center"/>
              <w:rPr>
                <w:rFonts w:eastAsia="Arial" w:cs="Arial"/>
                <w:sz w:val="18"/>
                <w:szCs w:val="18"/>
              </w:rPr>
            </w:pPr>
            <w:r w:rsidRPr="003478AF">
              <w:rPr>
                <w:rFonts w:eastAsia="Arial" w:cs="Arial"/>
                <w:sz w:val="18"/>
                <w:szCs w:val="18"/>
              </w:rPr>
              <w:t>szt.</w:t>
            </w:r>
          </w:p>
        </w:tc>
        <w:tc>
          <w:tcPr>
            <w:tcW w:w="760" w:type="pct"/>
          </w:tcPr>
          <w:p w14:paraId="2C3C1D81" w14:textId="7ED32064" w:rsidR="00684833" w:rsidRPr="003478AF" w:rsidRDefault="00684833" w:rsidP="00684833">
            <w:pPr>
              <w:ind w:firstLine="0"/>
              <w:jc w:val="center"/>
              <w:rPr>
                <w:rFonts w:eastAsia="Arial" w:cs="Arial"/>
                <w:sz w:val="18"/>
                <w:szCs w:val="18"/>
              </w:rPr>
            </w:pPr>
            <w:r w:rsidRPr="003478AF">
              <w:rPr>
                <w:rFonts w:cs="Arial"/>
                <w:sz w:val="18"/>
                <w:szCs w:val="18"/>
              </w:rPr>
              <w:t>Instytucje</w:t>
            </w:r>
          </w:p>
        </w:tc>
      </w:tr>
      <w:tr w:rsidR="00684833" w:rsidRPr="003478AF" w14:paraId="31B4B80E" w14:textId="19449756" w:rsidTr="00684833">
        <w:tc>
          <w:tcPr>
            <w:tcW w:w="893" w:type="pct"/>
            <w:vMerge/>
          </w:tcPr>
          <w:p w14:paraId="3F046DA1" w14:textId="77777777" w:rsidR="00684833" w:rsidRPr="003478AF" w:rsidRDefault="00684833" w:rsidP="00684833">
            <w:pPr>
              <w:ind w:firstLine="0"/>
              <w:rPr>
                <w:rFonts w:eastAsia="Arial" w:cs="Arial"/>
                <w:sz w:val="18"/>
                <w:szCs w:val="18"/>
              </w:rPr>
            </w:pPr>
          </w:p>
        </w:tc>
        <w:tc>
          <w:tcPr>
            <w:tcW w:w="2526" w:type="pct"/>
          </w:tcPr>
          <w:p w14:paraId="27EE8578" w14:textId="77777777" w:rsidR="00684833" w:rsidRPr="003478AF" w:rsidRDefault="00684833" w:rsidP="00684833">
            <w:pPr>
              <w:ind w:firstLine="0"/>
              <w:jc w:val="left"/>
              <w:rPr>
                <w:rFonts w:eastAsia="Arial" w:cs="Arial"/>
                <w:sz w:val="18"/>
                <w:szCs w:val="18"/>
              </w:rPr>
            </w:pPr>
            <w:r w:rsidRPr="003478AF">
              <w:rPr>
                <w:rFonts w:eastAsia="Arial" w:cs="Arial"/>
                <w:sz w:val="18"/>
                <w:szCs w:val="18"/>
              </w:rPr>
              <w:t>Liczba inicjatyw rolno-ekologicznych</w:t>
            </w:r>
          </w:p>
        </w:tc>
        <w:tc>
          <w:tcPr>
            <w:tcW w:w="821" w:type="pct"/>
          </w:tcPr>
          <w:p w14:paraId="0483071E" w14:textId="2578E568" w:rsidR="00684833" w:rsidRPr="003478AF" w:rsidRDefault="00684833" w:rsidP="00684833">
            <w:pPr>
              <w:ind w:firstLine="0"/>
              <w:jc w:val="center"/>
              <w:rPr>
                <w:rFonts w:eastAsia="Arial" w:cs="Arial"/>
                <w:sz w:val="18"/>
                <w:szCs w:val="18"/>
              </w:rPr>
            </w:pPr>
            <w:r w:rsidRPr="003478AF">
              <w:rPr>
                <w:rFonts w:eastAsia="Arial" w:cs="Arial"/>
                <w:sz w:val="18"/>
                <w:szCs w:val="18"/>
              </w:rPr>
              <w:t>szt</w:t>
            </w:r>
            <w:r w:rsidR="00CD2357" w:rsidRPr="003478AF">
              <w:rPr>
                <w:rFonts w:eastAsia="Arial" w:cs="Arial"/>
                <w:sz w:val="18"/>
                <w:szCs w:val="18"/>
              </w:rPr>
              <w:t>.</w:t>
            </w:r>
          </w:p>
        </w:tc>
        <w:tc>
          <w:tcPr>
            <w:tcW w:w="760" w:type="pct"/>
          </w:tcPr>
          <w:p w14:paraId="776E7DEE" w14:textId="048E8575" w:rsidR="00684833" w:rsidRPr="003478AF" w:rsidRDefault="00684833" w:rsidP="00684833">
            <w:pPr>
              <w:ind w:firstLine="0"/>
              <w:jc w:val="center"/>
              <w:rPr>
                <w:rFonts w:eastAsia="Arial" w:cs="Arial"/>
                <w:sz w:val="18"/>
                <w:szCs w:val="18"/>
              </w:rPr>
            </w:pPr>
            <w:r w:rsidRPr="003478AF">
              <w:rPr>
                <w:rFonts w:cs="Arial"/>
                <w:sz w:val="18"/>
                <w:szCs w:val="18"/>
              </w:rPr>
              <w:t>Instytucje</w:t>
            </w:r>
          </w:p>
        </w:tc>
      </w:tr>
    </w:tbl>
    <w:p w14:paraId="7D05C6BA" w14:textId="2071FAA4" w:rsidR="005F43F3" w:rsidRPr="003478AF" w:rsidRDefault="005F43F3" w:rsidP="00986D40">
      <w:pPr>
        <w:pStyle w:val="AZRODLO"/>
      </w:pPr>
      <w:r w:rsidRPr="003478AF">
        <w:t>Źródło: Opracowanie własne</w:t>
      </w:r>
      <w:r w:rsidR="00D52F1E" w:rsidRPr="003478AF">
        <w:t>; Instytucje - urzędy</w:t>
      </w:r>
      <w:r w:rsidR="00E7414E" w:rsidRPr="003478AF">
        <w:t xml:space="preserve"> statystyczne (regionalne - 16)</w:t>
      </w:r>
      <w:r w:rsidR="00D52F1E" w:rsidRPr="003478AF">
        <w:t xml:space="preserve">/ jednostki obsługi </w:t>
      </w:r>
      <w:r w:rsidR="00127E01" w:rsidRPr="003478AF">
        <w:br/>
      </w:r>
      <w:r w:rsidR="00D52F1E" w:rsidRPr="003478AF">
        <w:t xml:space="preserve">statystyki publicznej/ badania na zlecenie/ badania własne np. Wielkopolskie </w:t>
      </w:r>
      <w:r w:rsidR="00127E01" w:rsidRPr="003478AF">
        <w:br/>
      </w:r>
      <w:r w:rsidR="00D52F1E" w:rsidRPr="003478AF">
        <w:t>Regionalne Obserwatorium Terytorialne UMWW/</w:t>
      </w:r>
      <w:r w:rsidR="00127E01" w:rsidRPr="003478AF">
        <w:t xml:space="preserve"> </w:t>
      </w:r>
      <w:r w:rsidR="00D52F1E" w:rsidRPr="003478AF">
        <w:t>dane zbierane z urzędów gmin</w:t>
      </w:r>
    </w:p>
    <w:p w14:paraId="7984BB2E" w14:textId="77777777" w:rsidR="00AD77A6" w:rsidRPr="003478AF" w:rsidRDefault="00AD77A6" w:rsidP="00175EF7"/>
    <w:p w14:paraId="15DDDB88" w14:textId="18682759" w:rsidR="00186656" w:rsidRPr="003478AF" w:rsidRDefault="00186656" w:rsidP="00B13D49">
      <w:pPr>
        <w:pStyle w:val="Nagwek2"/>
        <w:numPr>
          <w:ilvl w:val="1"/>
          <w:numId w:val="36"/>
        </w:numPr>
        <w:ind w:left="851" w:hanging="491"/>
      </w:pPr>
      <w:bookmarkStart w:id="71" w:name="_Toc82160004"/>
      <w:r w:rsidRPr="003478AF">
        <w:t xml:space="preserve">Analiza wskaźników oceny stopnia rozwoju GOZ </w:t>
      </w:r>
      <w:r w:rsidR="00A22359">
        <w:br/>
      </w:r>
      <w:r w:rsidRPr="003478AF">
        <w:t>w odniesieniu do województwa wielkopolskiego</w:t>
      </w:r>
      <w:bookmarkEnd w:id="70"/>
      <w:bookmarkEnd w:id="71"/>
    </w:p>
    <w:p w14:paraId="727E8E9D" w14:textId="1B8305D8" w:rsidR="005F43F3" w:rsidRPr="003478AF" w:rsidRDefault="005F43F3" w:rsidP="005F43F3">
      <w:pPr>
        <w:rPr>
          <w:rFonts w:eastAsia="Arial" w:cs="Arial"/>
          <w:szCs w:val="20"/>
        </w:rPr>
      </w:pPr>
      <w:bookmarkStart w:id="72" w:name="_Hlk75873456"/>
      <w:r w:rsidRPr="003478AF">
        <w:rPr>
          <w:rFonts w:eastAsia="Arial" w:cs="Arial"/>
          <w:szCs w:val="20"/>
        </w:rPr>
        <w:t>Kolejnym etapem opracowania była analiza wskaźników wpisujących się w GOZ</w:t>
      </w:r>
      <w:r w:rsidR="005D34A6" w:rsidRPr="003478AF">
        <w:rPr>
          <w:rFonts w:eastAsia="Arial" w:cs="Arial"/>
          <w:szCs w:val="20"/>
        </w:rPr>
        <w:t xml:space="preserve"> zamieszczonych w tabeli 8.3</w:t>
      </w:r>
      <w:r w:rsidR="00A35248" w:rsidRPr="003478AF">
        <w:rPr>
          <w:rFonts w:eastAsia="Arial" w:cs="Arial"/>
          <w:szCs w:val="20"/>
        </w:rPr>
        <w:t>,</w:t>
      </w:r>
      <w:r w:rsidR="00474390" w:rsidRPr="003478AF">
        <w:rPr>
          <w:rFonts w:eastAsia="Arial" w:cs="Arial"/>
          <w:szCs w:val="20"/>
        </w:rPr>
        <w:t xml:space="preserve"> tj. ogólnodostępnych danych statystycznych dla Polski, województwa oraz powiatów za lata 2010-2019. Nie analizowano wskaźników zawartych </w:t>
      </w:r>
      <w:r w:rsidR="009605E0" w:rsidRPr="003478AF">
        <w:rPr>
          <w:rFonts w:eastAsia="Arial" w:cs="Arial"/>
          <w:szCs w:val="20"/>
        </w:rPr>
        <w:br/>
      </w:r>
      <w:r w:rsidR="00474390" w:rsidRPr="003478AF">
        <w:rPr>
          <w:rFonts w:eastAsia="Arial" w:cs="Arial"/>
          <w:szCs w:val="20"/>
        </w:rPr>
        <w:t xml:space="preserve">w tabeli </w:t>
      </w:r>
      <w:r w:rsidR="00863BE9" w:rsidRPr="003478AF">
        <w:rPr>
          <w:rFonts w:eastAsia="Arial" w:cs="Arial"/>
          <w:szCs w:val="20"/>
        </w:rPr>
        <w:t>8</w:t>
      </w:r>
      <w:r w:rsidR="00474390" w:rsidRPr="003478AF">
        <w:rPr>
          <w:rFonts w:eastAsia="Arial" w:cs="Arial"/>
          <w:szCs w:val="20"/>
        </w:rPr>
        <w:t>.4</w:t>
      </w:r>
      <w:r w:rsidR="00863BE9" w:rsidRPr="003478AF">
        <w:rPr>
          <w:rFonts w:eastAsia="Arial" w:cs="Arial"/>
          <w:szCs w:val="20"/>
        </w:rPr>
        <w:t>,</w:t>
      </w:r>
      <w:r w:rsidR="00474390" w:rsidRPr="003478AF">
        <w:rPr>
          <w:rFonts w:eastAsia="Arial" w:cs="Arial"/>
          <w:szCs w:val="20"/>
        </w:rPr>
        <w:t xml:space="preserve"> gdyż jest to propozycja wskaźników, które można by zaproponować w ocenie GOZ w Wielkopolsce.</w:t>
      </w:r>
      <w:r w:rsidR="009C3BA3" w:rsidRPr="003478AF">
        <w:rPr>
          <w:rFonts w:eastAsia="Arial" w:cs="Arial"/>
          <w:szCs w:val="20"/>
        </w:rPr>
        <w:t xml:space="preserve"> </w:t>
      </w:r>
      <w:r w:rsidRPr="003478AF">
        <w:rPr>
          <w:rFonts w:eastAsia="Arial" w:cs="Arial"/>
          <w:szCs w:val="20"/>
        </w:rPr>
        <w:t>W przypadku niektórych</w:t>
      </w:r>
      <w:r w:rsidR="00474390" w:rsidRPr="003478AF">
        <w:rPr>
          <w:rFonts w:eastAsia="Arial" w:cs="Arial"/>
          <w:szCs w:val="20"/>
        </w:rPr>
        <w:t xml:space="preserve"> analizowanych</w:t>
      </w:r>
      <w:r w:rsidRPr="003478AF">
        <w:rPr>
          <w:rFonts w:eastAsia="Arial" w:cs="Arial"/>
          <w:szCs w:val="20"/>
        </w:rPr>
        <w:t xml:space="preserve"> wskaźników dostępne są dane</w:t>
      </w:r>
      <w:r w:rsidR="00E07629" w:rsidRPr="003478AF">
        <w:rPr>
          <w:rFonts w:eastAsia="Arial" w:cs="Arial"/>
          <w:szCs w:val="20"/>
        </w:rPr>
        <w:t xml:space="preserve"> tylko na poziomie województwa.</w:t>
      </w:r>
    </w:p>
    <w:p w14:paraId="57BF21FD" w14:textId="21EA63EE" w:rsidR="00D73753" w:rsidRPr="003478AF" w:rsidRDefault="005F43F3" w:rsidP="00D73753">
      <w:pPr>
        <w:rPr>
          <w:rFonts w:eastAsia="Times New Roman" w:cs="Arial"/>
          <w:szCs w:val="20"/>
          <w:lang w:eastAsia="pl-PL"/>
        </w:rPr>
      </w:pPr>
      <w:r w:rsidRPr="003478AF">
        <w:rPr>
          <w:rFonts w:eastAsia="Arial" w:cs="Arial"/>
          <w:szCs w:val="20"/>
        </w:rPr>
        <w:t xml:space="preserve">W rozdziale tym przyporządkowano wybrane wskaźniki do ośmiu kategorii, tj. woda </w:t>
      </w:r>
      <w:r w:rsidR="007C14CB" w:rsidRPr="003478AF">
        <w:rPr>
          <w:rFonts w:eastAsia="Arial" w:cs="Arial"/>
          <w:szCs w:val="20"/>
        </w:rPr>
        <w:br/>
      </w:r>
      <w:r w:rsidRPr="003478AF">
        <w:rPr>
          <w:rFonts w:eastAsia="Arial" w:cs="Arial"/>
          <w:szCs w:val="20"/>
        </w:rPr>
        <w:t>i ścieki, zanieczyszczenie powietrza, gospodarka odpadami, energia, nakłady na ochronę środowiska, powierzchnia o szczególnych walorach przyrodniczych i ekologicznych gospodarstw rolnych oraz patenty i wynalazki.</w:t>
      </w:r>
      <w:r w:rsidR="00377269" w:rsidRPr="003478AF">
        <w:rPr>
          <w:rFonts w:eastAsia="Arial" w:cs="Arial"/>
          <w:szCs w:val="20"/>
        </w:rPr>
        <w:t xml:space="preserve"> </w:t>
      </w:r>
    </w:p>
    <w:p w14:paraId="6430F1BA" w14:textId="77777777" w:rsidR="005F43F3" w:rsidRPr="003478AF" w:rsidRDefault="005F43F3" w:rsidP="005F43F3">
      <w:pPr>
        <w:rPr>
          <w:rFonts w:eastAsia="Arial" w:cs="Arial"/>
          <w:szCs w:val="20"/>
        </w:rPr>
      </w:pPr>
    </w:p>
    <w:p w14:paraId="44B65133" w14:textId="3926D83E" w:rsidR="005F43F3" w:rsidRPr="003478AF" w:rsidRDefault="005F43F3" w:rsidP="005B6166">
      <w:pPr>
        <w:ind w:firstLine="0"/>
        <w:rPr>
          <w:rFonts w:eastAsia="Arial" w:cs="Arial"/>
          <w:b/>
          <w:bCs/>
          <w:szCs w:val="20"/>
        </w:rPr>
      </w:pPr>
      <w:bookmarkStart w:id="73" w:name="_Hlk76736435"/>
      <w:r w:rsidRPr="003478AF">
        <w:rPr>
          <w:rFonts w:eastAsia="Arial" w:cs="Arial"/>
          <w:b/>
          <w:bCs/>
          <w:szCs w:val="20"/>
        </w:rPr>
        <w:t>Woda i ścieki</w:t>
      </w:r>
    </w:p>
    <w:p w14:paraId="6B87C351" w14:textId="5F49B164" w:rsidR="00F3394A" w:rsidRPr="003478AF" w:rsidRDefault="00F3394A" w:rsidP="00F3394A">
      <w:pPr>
        <w:rPr>
          <w:rFonts w:eastAsia="Arial" w:cs="Arial"/>
          <w:szCs w:val="20"/>
        </w:rPr>
      </w:pPr>
      <w:r w:rsidRPr="003478AF">
        <w:rPr>
          <w:rFonts w:eastAsia="Arial" w:cs="Arial"/>
          <w:szCs w:val="20"/>
        </w:rPr>
        <w:t>Zużycie wody w Wielkopolsce wyniosło 1,28 tys. hm</w:t>
      </w:r>
      <w:r w:rsidRPr="003478AF">
        <w:rPr>
          <w:rFonts w:eastAsia="Arial" w:cs="Arial"/>
          <w:szCs w:val="20"/>
          <w:vertAlign w:val="superscript"/>
        </w:rPr>
        <w:t>3</w:t>
      </w:r>
      <w:r w:rsidRPr="003478AF">
        <w:rPr>
          <w:rFonts w:eastAsia="Arial" w:cs="Arial"/>
          <w:szCs w:val="20"/>
        </w:rPr>
        <w:t xml:space="preserve"> w 2019 roku, a rok wcześniej 1,36 tys. hm</w:t>
      </w:r>
      <w:r w:rsidRPr="003478AF">
        <w:rPr>
          <w:rFonts w:eastAsia="Arial" w:cs="Arial"/>
          <w:szCs w:val="20"/>
          <w:vertAlign w:val="superscript"/>
        </w:rPr>
        <w:t>3</w:t>
      </w:r>
      <w:r w:rsidRPr="003478AF">
        <w:rPr>
          <w:rFonts w:eastAsia="Arial" w:cs="Arial"/>
          <w:szCs w:val="20"/>
        </w:rPr>
        <w:t xml:space="preserve">. </w:t>
      </w:r>
      <w:r w:rsidR="00E07629" w:rsidRPr="003478AF">
        <w:rPr>
          <w:rFonts w:eastAsia="Arial" w:cs="Arial"/>
          <w:szCs w:val="20"/>
        </w:rPr>
        <w:t>Wartości w</w:t>
      </w:r>
      <w:r w:rsidR="00897E43" w:rsidRPr="003478AF">
        <w:rPr>
          <w:rFonts w:eastAsia="Arial" w:cs="Arial"/>
          <w:szCs w:val="20"/>
        </w:rPr>
        <w:t>skaźnik</w:t>
      </w:r>
      <w:r w:rsidR="00E07629" w:rsidRPr="003478AF">
        <w:rPr>
          <w:rFonts w:eastAsia="Arial" w:cs="Arial"/>
          <w:szCs w:val="20"/>
        </w:rPr>
        <w:t xml:space="preserve">a maleją </w:t>
      </w:r>
      <w:r w:rsidRPr="003478AF">
        <w:rPr>
          <w:rFonts w:eastAsia="Arial" w:cs="Arial"/>
          <w:szCs w:val="20"/>
        </w:rPr>
        <w:t>od 201</w:t>
      </w:r>
      <w:r w:rsidR="00E07629" w:rsidRPr="003478AF">
        <w:rPr>
          <w:rFonts w:eastAsia="Arial" w:cs="Arial"/>
          <w:szCs w:val="20"/>
        </w:rPr>
        <w:t>1</w:t>
      </w:r>
      <w:r w:rsidRPr="003478AF">
        <w:rPr>
          <w:rFonts w:eastAsia="Arial" w:cs="Arial"/>
          <w:szCs w:val="20"/>
        </w:rPr>
        <w:t xml:space="preserve"> roku</w:t>
      </w:r>
      <w:r w:rsidR="00E07629" w:rsidRPr="003478AF">
        <w:rPr>
          <w:rFonts w:eastAsia="Arial" w:cs="Arial"/>
          <w:szCs w:val="20"/>
        </w:rPr>
        <w:t xml:space="preserve">, </w:t>
      </w:r>
      <w:r w:rsidRPr="003478AF">
        <w:rPr>
          <w:rFonts w:eastAsia="Arial" w:cs="Arial"/>
          <w:szCs w:val="20"/>
        </w:rPr>
        <w:t xml:space="preserve">z wyjątkiem wzrostu w </w:t>
      </w:r>
      <w:r w:rsidR="00E07629" w:rsidRPr="003478AF">
        <w:rPr>
          <w:rFonts w:eastAsia="Arial" w:cs="Arial"/>
          <w:szCs w:val="20"/>
        </w:rPr>
        <w:t xml:space="preserve">latach 2013 i </w:t>
      </w:r>
      <w:r w:rsidRPr="003478AF">
        <w:rPr>
          <w:rFonts w:eastAsia="Arial" w:cs="Arial"/>
          <w:szCs w:val="20"/>
        </w:rPr>
        <w:t>2016 (</w:t>
      </w:r>
      <w:r w:rsidR="00381971" w:rsidRPr="003478AF">
        <w:rPr>
          <w:rFonts w:eastAsia="Arial" w:cs="Arial"/>
          <w:szCs w:val="20"/>
        </w:rPr>
        <w:t>ryc.</w:t>
      </w:r>
      <w:r w:rsidRPr="003478AF">
        <w:rPr>
          <w:rFonts w:eastAsia="Arial" w:cs="Arial"/>
          <w:szCs w:val="20"/>
        </w:rPr>
        <w:t xml:space="preserve"> 8.</w:t>
      </w:r>
      <w:r w:rsidR="00C329EF" w:rsidRPr="003478AF">
        <w:rPr>
          <w:rFonts w:eastAsia="Arial" w:cs="Arial"/>
          <w:szCs w:val="20"/>
        </w:rPr>
        <w:t>2</w:t>
      </w:r>
      <w:r w:rsidRPr="003478AF">
        <w:rPr>
          <w:rFonts w:eastAsia="Arial" w:cs="Arial"/>
          <w:szCs w:val="20"/>
        </w:rPr>
        <w:t xml:space="preserve">). Podobnie w Polsce zauważalny jest trend spadkowy </w:t>
      </w:r>
      <w:r w:rsidR="001C5F60" w:rsidRPr="003478AF">
        <w:rPr>
          <w:rFonts w:eastAsia="Arial" w:cs="Arial"/>
          <w:szCs w:val="20"/>
        </w:rPr>
        <w:t xml:space="preserve">z </w:t>
      </w:r>
      <w:r w:rsidRPr="003478AF">
        <w:rPr>
          <w:rFonts w:eastAsia="Arial" w:cs="Arial"/>
          <w:szCs w:val="20"/>
        </w:rPr>
        <w:t>10,14 tys. hm</w:t>
      </w:r>
      <w:r w:rsidRPr="003478AF">
        <w:rPr>
          <w:rFonts w:eastAsia="Arial" w:cs="Arial"/>
          <w:szCs w:val="20"/>
          <w:vertAlign w:val="superscript"/>
        </w:rPr>
        <w:t>3</w:t>
      </w:r>
      <w:r w:rsidRPr="003478AF">
        <w:rPr>
          <w:rFonts w:eastAsia="Arial" w:cs="Arial"/>
          <w:szCs w:val="20"/>
        </w:rPr>
        <w:t xml:space="preserve"> w 2016 roku do 8,82 tys. hm</w:t>
      </w:r>
      <w:r w:rsidRPr="003478AF">
        <w:rPr>
          <w:rFonts w:eastAsia="Arial" w:cs="Arial"/>
          <w:szCs w:val="20"/>
          <w:vertAlign w:val="superscript"/>
        </w:rPr>
        <w:t xml:space="preserve">3 </w:t>
      </w:r>
      <w:r w:rsidRPr="003478AF">
        <w:rPr>
          <w:rFonts w:eastAsia="Arial" w:cs="Arial"/>
          <w:szCs w:val="20"/>
        </w:rPr>
        <w:t>w 2019 roku (</w:t>
      </w:r>
      <w:r w:rsidR="00381971" w:rsidRPr="003478AF">
        <w:rPr>
          <w:rFonts w:eastAsia="Arial" w:cs="Arial"/>
          <w:szCs w:val="20"/>
        </w:rPr>
        <w:t>ryc.</w:t>
      </w:r>
      <w:r w:rsidRPr="003478AF">
        <w:rPr>
          <w:rFonts w:eastAsia="Arial" w:cs="Arial"/>
          <w:szCs w:val="20"/>
        </w:rPr>
        <w:t xml:space="preserve"> 8.</w:t>
      </w:r>
      <w:r w:rsidR="00C329EF" w:rsidRPr="003478AF">
        <w:rPr>
          <w:rFonts w:eastAsia="Arial" w:cs="Arial"/>
          <w:szCs w:val="20"/>
        </w:rPr>
        <w:t>1</w:t>
      </w:r>
      <w:r w:rsidRPr="003478AF">
        <w:rPr>
          <w:rFonts w:eastAsia="Arial" w:cs="Arial"/>
          <w:szCs w:val="20"/>
        </w:rPr>
        <w:t>). Najwyższ</w:t>
      </w:r>
      <w:r w:rsidR="00C01CE2" w:rsidRPr="003478AF">
        <w:rPr>
          <w:rFonts w:eastAsia="Arial" w:cs="Arial"/>
          <w:szCs w:val="20"/>
        </w:rPr>
        <w:t>e</w:t>
      </w:r>
      <w:r w:rsidRPr="003478AF">
        <w:rPr>
          <w:rFonts w:eastAsia="Arial" w:cs="Arial"/>
          <w:szCs w:val="20"/>
        </w:rPr>
        <w:t xml:space="preserve"> zużyci</w:t>
      </w:r>
      <w:r w:rsidR="00C01CE2" w:rsidRPr="003478AF">
        <w:rPr>
          <w:rFonts w:eastAsia="Arial" w:cs="Arial"/>
          <w:szCs w:val="20"/>
        </w:rPr>
        <w:t>e</w:t>
      </w:r>
      <w:r w:rsidRPr="003478AF">
        <w:rPr>
          <w:rFonts w:eastAsia="Arial" w:cs="Arial"/>
          <w:szCs w:val="20"/>
        </w:rPr>
        <w:t xml:space="preserve"> wody odnotowano </w:t>
      </w:r>
      <w:r w:rsidR="001C5F60" w:rsidRPr="003478AF">
        <w:rPr>
          <w:rFonts w:eastAsia="Arial" w:cs="Arial"/>
          <w:szCs w:val="20"/>
        </w:rPr>
        <w:t xml:space="preserve">w 2019 roku </w:t>
      </w:r>
      <w:r w:rsidR="009605E0" w:rsidRPr="003478AF">
        <w:rPr>
          <w:rFonts w:eastAsia="Arial" w:cs="Arial"/>
          <w:szCs w:val="20"/>
        </w:rPr>
        <w:br/>
      </w:r>
      <w:r w:rsidRPr="003478AF">
        <w:rPr>
          <w:rFonts w:eastAsia="Arial" w:cs="Arial"/>
          <w:szCs w:val="20"/>
        </w:rPr>
        <w:t>w powiecie m. Konin (</w:t>
      </w:r>
      <w:r w:rsidR="00381971" w:rsidRPr="003478AF">
        <w:rPr>
          <w:rFonts w:eastAsia="Arial" w:cs="Arial"/>
          <w:szCs w:val="20"/>
        </w:rPr>
        <w:t>ryc.</w:t>
      </w:r>
      <w:r w:rsidRPr="003478AF">
        <w:rPr>
          <w:rFonts w:eastAsia="Arial" w:cs="Arial"/>
          <w:szCs w:val="20"/>
        </w:rPr>
        <w:t xml:space="preserve"> 8.</w:t>
      </w:r>
      <w:r w:rsidR="00C329EF" w:rsidRPr="003478AF">
        <w:rPr>
          <w:rFonts w:eastAsia="Arial" w:cs="Arial"/>
          <w:szCs w:val="20"/>
        </w:rPr>
        <w:t>3</w:t>
      </w:r>
      <w:r w:rsidRPr="003478AF">
        <w:rPr>
          <w:rFonts w:eastAsia="Arial" w:cs="Arial"/>
          <w:szCs w:val="20"/>
        </w:rPr>
        <w:t xml:space="preserve">). Zużycie wody </w:t>
      </w:r>
      <w:r w:rsidR="001C5F60" w:rsidRPr="003478AF">
        <w:rPr>
          <w:rFonts w:eastAsia="Arial" w:cs="Arial"/>
          <w:szCs w:val="20"/>
        </w:rPr>
        <w:t>w latach</w:t>
      </w:r>
      <w:r w:rsidRPr="003478AF">
        <w:rPr>
          <w:rFonts w:eastAsia="Arial" w:cs="Arial"/>
          <w:szCs w:val="20"/>
        </w:rPr>
        <w:t xml:space="preserve"> 2010-2019 wzrosło w większości powiatów, z wyjątkiem: </w:t>
      </w:r>
      <w:r w:rsidRPr="003478AF">
        <w:rPr>
          <w:rFonts w:eastAsia="Times New Roman" w:cs="Arial"/>
          <w:szCs w:val="20"/>
          <w:lang w:eastAsia="pl-PL"/>
        </w:rPr>
        <w:t xml:space="preserve">czarnkowsko-trzcianeckiego, nowotomyskiego, ostrowskiego, ostrzeszowskiego, rawickiego, śremskiego, wągrowieckiego, wolsztyńskiego, m. Kalisz </w:t>
      </w:r>
      <w:r w:rsidR="00535900" w:rsidRPr="003478AF">
        <w:rPr>
          <w:rFonts w:eastAsia="Times New Roman" w:cs="Arial"/>
          <w:szCs w:val="20"/>
          <w:lang w:eastAsia="pl-PL"/>
        </w:rPr>
        <w:br/>
      </w:r>
      <w:r w:rsidRPr="003478AF">
        <w:rPr>
          <w:rFonts w:eastAsia="Times New Roman" w:cs="Arial"/>
          <w:szCs w:val="20"/>
          <w:lang w:eastAsia="pl-PL"/>
        </w:rPr>
        <w:t>i m. Konin.</w:t>
      </w:r>
      <w:r w:rsidRPr="003478AF" w:rsidDel="009916D4">
        <w:rPr>
          <w:rFonts w:eastAsia="Arial" w:cs="Arial"/>
          <w:szCs w:val="20"/>
        </w:rPr>
        <w:t xml:space="preserve"> </w:t>
      </w:r>
    </w:p>
    <w:p w14:paraId="525CF4A2" w14:textId="77777777" w:rsidR="00F3394A" w:rsidRPr="003478AF" w:rsidRDefault="00F3394A" w:rsidP="00F3394A">
      <w:pPr>
        <w:rPr>
          <w:rFonts w:eastAsia="Arial" w:cs="Arial"/>
          <w:szCs w:val="20"/>
        </w:rPr>
      </w:pPr>
    </w:p>
    <w:p w14:paraId="7B067F0F" w14:textId="77777777" w:rsidR="00B518C8" w:rsidRPr="003478AF" w:rsidRDefault="00B518C8">
      <w:pPr>
        <w:spacing w:line="240" w:lineRule="auto"/>
        <w:ind w:firstLine="0"/>
        <w:jc w:val="left"/>
        <w:rPr>
          <w:rFonts w:eastAsia="Arial" w:cs="Arial"/>
          <w:b/>
          <w:bCs/>
          <w:szCs w:val="20"/>
        </w:rPr>
      </w:pPr>
      <w:r w:rsidRPr="003478AF">
        <w:rPr>
          <w:rFonts w:eastAsia="Arial" w:cs="Arial"/>
          <w:b/>
          <w:bCs/>
          <w:szCs w:val="20"/>
        </w:rPr>
        <w:br w:type="page"/>
      </w:r>
    </w:p>
    <w:p w14:paraId="5321CE95" w14:textId="7245CE41" w:rsidR="00F3394A" w:rsidRPr="003478AF" w:rsidRDefault="00F3394A" w:rsidP="00F3394A">
      <w:pPr>
        <w:ind w:firstLine="0"/>
        <w:rPr>
          <w:rFonts w:eastAsia="Arial" w:cs="Arial"/>
          <w:b/>
          <w:bCs/>
          <w:szCs w:val="20"/>
        </w:rPr>
      </w:pPr>
      <w:r w:rsidRPr="003478AF">
        <w:rPr>
          <w:rFonts w:eastAsia="Arial" w:cs="Arial"/>
          <w:b/>
          <w:bCs/>
          <w:szCs w:val="20"/>
        </w:rPr>
        <w:lastRenderedPageBreak/>
        <w:t>Zużycie wody</w:t>
      </w:r>
    </w:p>
    <w:p w14:paraId="52FEFAE7" w14:textId="77777777" w:rsidR="00F3394A" w:rsidRPr="003478AF" w:rsidRDefault="00F3394A" w:rsidP="00F3394A">
      <w:pPr>
        <w:rPr>
          <w:rFonts w:eastAsia="Arial" w:cs="Arial"/>
          <w:szCs w:val="20"/>
        </w:rPr>
      </w:pPr>
    </w:p>
    <w:p w14:paraId="1AEC426B" w14:textId="3E8C7122" w:rsidR="00F3394A" w:rsidRPr="003478AF" w:rsidRDefault="00F3394A" w:rsidP="00986D40">
      <w:pPr>
        <w:pStyle w:val="ARYCINA"/>
      </w:pPr>
      <w:r w:rsidRPr="003478AF">
        <w:t>Ryc. 8.</w:t>
      </w:r>
      <w:r w:rsidR="00C329EF" w:rsidRPr="003478AF">
        <w:t>1</w:t>
      </w:r>
      <w:r w:rsidRPr="003478AF">
        <w:t xml:space="preserve"> Zużycie wody ogółem (tys. hm</w:t>
      </w:r>
      <w:r w:rsidRPr="003478AF">
        <w:rPr>
          <w:vertAlign w:val="superscript"/>
        </w:rPr>
        <w:t>3</w:t>
      </w:r>
      <w:r w:rsidRPr="003478AF">
        <w:t xml:space="preserve">) </w:t>
      </w:r>
      <w:r w:rsidR="0038370F" w:rsidRPr="003478AF">
        <w:t xml:space="preserve">w Polsce </w:t>
      </w:r>
      <w:r w:rsidRPr="003478AF">
        <w:t>w latach 2010-2019</w:t>
      </w:r>
    </w:p>
    <w:p w14:paraId="74BCB5D2" w14:textId="4645F9D0" w:rsidR="00F3394A" w:rsidRPr="003478AF" w:rsidRDefault="00F3394A" w:rsidP="00F3394A">
      <w:pPr>
        <w:jc w:val="center"/>
        <w:rPr>
          <w:rFonts w:eastAsia="Arial" w:cs="Arial"/>
          <w:szCs w:val="20"/>
        </w:rPr>
      </w:pPr>
      <w:r w:rsidRPr="003478AF">
        <w:rPr>
          <w:noProof/>
          <w:lang w:eastAsia="pl-PL"/>
        </w:rPr>
        <w:drawing>
          <wp:inline distT="0" distB="0" distL="0" distR="0" wp14:anchorId="1683E175" wp14:editId="768B88B7">
            <wp:extent cx="4680000" cy="2880000"/>
            <wp:effectExtent l="0" t="0" r="6350" b="15875"/>
            <wp:docPr id="10" name="Wykres 10">
              <a:extLst xmlns:a="http://schemas.openxmlformats.org/drawingml/2006/main">
                <a:ext uri="{FF2B5EF4-FFF2-40B4-BE49-F238E27FC236}">
                  <a16:creationId xmlns:a16="http://schemas.microsoft.com/office/drawing/2014/main" id="{92D60763-2C11-4F09-B404-A3434E83271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9"/>
              </a:graphicData>
            </a:graphic>
          </wp:inline>
        </w:drawing>
      </w:r>
    </w:p>
    <w:p w14:paraId="069826EA" w14:textId="2CDD08DC" w:rsidR="00F3394A" w:rsidRPr="003478AF" w:rsidRDefault="00F3394A" w:rsidP="00986D40">
      <w:pPr>
        <w:pStyle w:val="AZRODLO"/>
      </w:pPr>
      <w:r w:rsidRPr="003478AF">
        <w:t>Źródło: Opracowanie własne na podstawie danych BDL</w:t>
      </w:r>
    </w:p>
    <w:p w14:paraId="16198899" w14:textId="2068910E" w:rsidR="00F3394A" w:rsidRPr="003478AF" w:rsidRDefault="00F3394A" w:rsidP="00007A3A"/>
    <w:p w14:paraId="6C9A01CA" w14:textId="36A99BCA" w:rsidR="00F3394A" w:rsidRPr="003478AF" w:rsidRDefault="00F3394A" w:rsidP="00986D40">
      <w:pPr>
        <w:pStyle w:val="ARYCINA"/>
      </w:pPr>
      <w:r w:rsidRPr="003478AF">
        <w:t>Ryc. 8.</w:t>
      </w:r>
      <w:r w:rsidR="00C329EF" w:rsidRPr="003478AF">
        <w:t>2</w:t>
      </w:r>
      <w:r w:rsidRPr="003478AF">
        <w:t xml:space="preserve"> Zużycie wody ogółem (tys. hm</w:t>
      </w:r>
      <w:r w:rsidRPr="003478AF">
        <w:rPr>
          <w:vertAlign w:val="superscript"/>
        </w:rPr>
        <w:t>3</w:t>
      </w:r>
      <w:r w:rsidRPr="003478AF">
        <w:t xml:space="preserve">) </w:t>
      </w:r>
      <w:r w:rsidR="0038370F" w:rsidRPr="003478AF">
        <w:t xml:space="preserve">w </w:t>
      </w:r>
      <w:r w:rsidR="00092276" w:rsidRPr="003478AF">
        <w:t>województwie wielkopolskim</w:t>
      </w:r>
      <w:r w:rsidR="0038370F" w:rsidRPr="003478AF">
        <w:t xml:space="preserve"> </w:t>
      </w:r>
      <w:r w:rsidRPr="003478AF">
        <w:t>w latach 2010-2019</w:t>
      </w:r>
    </w:p>
    <w:p w14:paraId="6B4382AA" w14:textId="7F8CA68A" w:rsidR="00F3394A" w:rsidRPr="003478AF" w:rsidRDefault="00F3394A" w:rsidP="00F3394A">
      <w:pPr>
        <w:jc w:val="center"/>
        <w:rPr>
          <w:rFonts w:eastAsia="Arial" w:cs="Arial"/>
          <w:szCs w:val="20"/>
        </w:rPr>
      </w:pPr>
      <w:r w:rsidRPr="003478AF">
        <w:rPr>
          <w:noProof/>
          <w:lang w:eastAsia="pl-PL"/>
        </w:rPr>
        <w:drawing>
          <wp:inline distT="0" distB="0" distL="0" distR="0" wp14:anchorId="5C72FD06" wp14:editId="31A55470">
            <wp:extent cx="4680000" cy="2880000"/>
            <wp:effectExtent l="0" t="0" r="6350" b="15875"/>
            <wp:docPr id="11" name="Wykres 11">
              <a:extLst xmlns:a="http://schemas.openxmlformats.org/drawingml/2006/main">
                <a:ext uri="{FF2B5EF4-FFF2-40B4-BE49-F238E27FC236}">
                  <a16:creationId xmlns:a16="http://schemas.microsoft.com/office/drawing/2014/main" id="{55888035-2083-42BC-BB1E-619F744219A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0"/>
              </a:graphicData>
            </a:graphic>
          </wp:inline>
        </w:drawing>
      </w:r>
    </w:p>
    <w:p w14:paraId="17F89D56" w14:textId="23CA733E" w:rsidR="00F3394A" w:rsidRPr="003478AF" w:rsidRDefault="00F3394A" w:rsidP="00986D40">
      <w:pPr>
        <w:pStyle w:val="AZRODLO"/>
      </w:pPr>
      <w:r w:rsidRPr="003478AF">
        <w:t>Źródło: Opracowanie własne na podstawie danych BDL</w:t>
      </w:r>
    </w:p>
    <w:p w14:paraId="37B89D2C" w14:textId="77777777" w:rsidR="00F3394A" w:rsidRPr="003478AF" w:rsidRDefault="00F3394A" w:rsidP="00F3394A">
      <w:pPr>
        <w:rPr>
          <w:rFonts w:eastAsia="Arial" w:cs="Arial"/>
          <w:szCs w:val="20"/>
        </w:rPr>
      </w:pPr>
    </w:p>
    <w:p w14:paraId="7F461735" w14:textId="77777777" w:rsidR="00B518C8" w:rsidRPr="003478AF" w:rsidRDefault="00B518C8">
      <w:pPr>
        <w:spacing w:line="240" w:lineRule="auto"/>
        <w:ind w:firstLine="0"/>
        <w:jc w:val="left"/>
        <w:rPr>
          <w:rFonts w:eastAsia="Arial" w:cs="Arial"/>
          <w:b/>
          <w:bCs/>
          <w:sz w:val="16"/>
          <w:szCs w:val="16"/>
        </w:rPr>
      </w:pPr>
      <w:r w:rsidRPr="003478AF">
        <w:br w:type="page"/>
      </w:r>
    </w:p>
    <w:p w14:paraId="40726BEA" w14:textId="7F375E81" w:rsidR="00F3394A" w:rsidRPr="003478AF" w:rsidRDefault="00F3394A" w:rsidP="00986D40">
      <w:pPr>
        <w:pStyle w:val="ARYCINA"/>
      </w:pPr>
      <w:r w:rsidRPr="003478AF">
        <w:lastRenderedPageBreak/>
        <w:t>Ryc. 8.</w:t>
      </w:r>
      <w:r w:rsidR="00C329EF" w:rsidRPr="003478AF">
        <w:t>3</w:t>
      </w:r>
      <w:r w:rsidRPr="003478AF">
        <w:t xml:space="preserve"> Zużycie wody </w:t>
      </w:r>
      <w:r w:rsidR="0038370F" w:rsidRPr="003478AF">
        <w:t>(hm</w:t>
      </w:r>
      <w:r w:rsidR="0038370F" w:rsidRPr="003478AF">
        <w:rPr>
          <w:vertAlign w:val="superscript"/>
        </w:rPr>
        <w:t>3</w:t>
      </w:r>
      <w:r w:rsidR="0038370F" w:rsidRPr="003478AF">
        <w:t xml:space="preserve">) w województwie wielkopolskim według powiatów </w:t>
      </w:r>
      <w:r w:rsidRPr="003478AF">
        <w:t>w 2019 roku</w:t>
      </w:r>
    </w:p>
    <w:p w14:paraId="3BF31A09" w14:textId="1A8EFD11" w:rsidR="001D2C91" w:rsidRPr="003478AF" w:rsidRDefault="00E341FC" w:rsidP="00986D40">
      <w:pPr>
        <w:pStyle w:val="ARYCINA"/>
      </w:pPr>
      <w:r w:rsidRPr="003478AF">
        <w:rPr>
          <w:noProof/>
          <w:lang w:eastAsia="pl-PL"/>
        </w:rPr>
        <w:drawing>
          <wp:inline distT="0" distB="0" distL="0" distR="0" wp14:anchorId="0EB54285" wp14:editId="2E54E945">
            <wp:extent cx="3240000" cy="3987691"/>
            <wp:effectExtent l="0" t="0" r="0" b="0"/>
            <wp:docPr id="49" name="Obraz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3240000" cy="3987691"/>
                    </a:xfrm>
                    <a:prstGeom prst="rect">
                      <a:avLst/>
                    </a:prstGeom>
                    <a:noFill/>
                    <a:ln>
                      <a:noFill/>
                    </a:ln>
                  </pic:spPr>
                </pic:pic>
              </a:graphicData>
            </a:graphic>
          </wp:inline>
        </w:drawing>
      </w:r>
    </w:p>
    <w:p w14:paraId="7E15734C" w14:textId="0A31662A" w:rsidR="00F3394A" w:rsidRPr="003478AF" w:rsidRDefault="001D2C91" w:rsidP="00986D40">
      <w:pPr>
        <w:pStyle w:val="AZRODLO"/>
      </w:pPr>
      <w:r w:rsidRPr="003478AF">
        <w:t>Źródło</w:t>
      </w:r>
      <w:r w:rsidR="00F3394A" w:rsidRPr="003478AF">
        <w:t>: Opracowanie własne na podstawie danych BDL</w:t>
      </w:r>
    </w:p>
    <w:p w14:paraId="17F52160" w14:textId="77777777" w:rsidR="00F3394A" w:rsidRPr="003478AF" w:rsidRDefault="00F3394A" w:rsidP="00F3394A"/>
    <w:p w14:paraId="320E1B25" w14:textId="61313F2D" w:rsidR="00F3394A" w:rsidRPr="003478AF" w:rsidRDefault="00F3394A" w:rsidP="00F3394A">
      <w:pPr>
        <w:ind w:firstLine="709"/>
        <w:rPr>
          <w:rFonts w:eastAsia="Arial" w:cs="Arial"/>
          <w:szCs w:val="20"/>
        </w:rPr>
      </w:pPr>
      <w:r w:rsidRPr="003478AF">
        <w:rPr>
          <w:rFonts w:eastAsia="Arial" w:cs="Arial"/>
          <w:szCs w:val="20"/>
        </w:rPr>
        <w:t xml:space="preserve">Zużycie wody na </w:t>
      </w:r>
      <w:r w:rsidR="00C01CE2" w:rsidRPr="003478AF">
        <w:rPr>
          <w:rFonts w:eastAsia="Arial" w:cs="Arial"/>
          <w:szCs w:val="20"/>
        </w:rPr>
        <w:t xml:space="preserve">1 </w:t>
      </w:r>
      <w:r w:rsidRPr="003478AF">
        <w:rPr>
          <w:rFonts w:eastAsia="Arial" w:cs="Arial"/>
          <w:szCs w:val="20"/>
        </w:rPr>
        <w:t>mieszkańca w gospodarstwach domowych wzrastało od 2010 roku zarówno w Polsce</w:t>
      </w:r>
      <w:r w:rsidR="00C01CE2" w:rsidRPr="003478AF">
        <w:rPr>
          <w:rFonts w:eastAsia="Arial" w:cs="Arial"/>
          <w:szCs w:val="20"/>
        </w:rPr>
        <w:t>,</w:t>
      </w:r>
      <w:r w:rsidRPr="003478AF">
        <w:rPr>
          <w:rFonts w:eastAsia="Arial" w:cs="Arial"/>
          <w:szCs w:val="20"/>
        </w:rPr>
        <w:t xml:space="preserve"> jak i Wielkopolsce. </w:t>
      </w:r>
      <w:r w:rsidR="00C01CE2" w:rsidRPr="003478AF">
        <w:rPr>
          <w:rFonts w:eastAsia="Arial" w:cs="Arial"/>
          <w:szCs w:val="20"/>
        </w:rPr>
        <w:t>W</w:t>
      </w:r>
      <w:r w:rsidRPr="003478AF">
        <w:rPr>
          <w:rFonts w:eastAsia="Arial" w:cs="Arial"/>
          <w:szCs w:val="20"/>
        </w:rPr>
        <w:t xml:space="preserve"> województwie </w:t>
      </w:r>
      <w:r w:rsidR="00C01CE2" w:rsidRPr="003478AF">
        <w:rPr>
          <w:rFonts w:eastAsia="Arial" w:cs="Arial"/>
          <w:szCs w:val="20"/>
        </w:rPr>
        <w:t xml:space="preserve">wielkopolskim </w:t>
      </w:r>
      <w:r w:rsidRPr="003478AF">
        <w:rPr>
          <w:rFonts w:eastAsia="Arial" w:cs="Arial"/>
          <w:szCs w:val="20"/>
        </w:rPr>
        <w:t>wynosiło</w:t>
      </w:r>
      <w:r w:rsidR="00C01CE2" w:rsidRPr="003478AF">
        <w:rPr>
          <w:rFonts w:eastAsia="Arial" w:cs="Arial"/>
          <w:szCs w:val="20"/>
        </w:rPr>
        <w:t xml:space="preserve"> ono w 2020 roku</w:t>
      </w:r>
      <w:r w:rsidRPr="003478AF">
        <w:rPr>
          <w:rFonts w:eastAsia="Arial" w:cs="Arial"/>
          <w:szCs w:val="20"/>
        </w:rPr>
        <w:t xml:space="preserve"> 39,8 m</w:t>
      </w:r>
      <w:r w:rsidRPr="003478AF">
        <w:rPr>
          <w:rFonts w:eastAsia="Arial" w:cs="Arial"/>
          <w:szCs w:val="20"/>
          <w:vertAlign w:val="superscript"/>
        </w:rPr>
        <w:t>3</w:t>
      </w:r>
      <w:r w:rsidRPr="003478AF">
        <w:rPr>
          <w:rFonts w:eastAsia="Arial" w:cs="Arial"/>
          <w:szCs w:val="20"/>
        </w:rPr>
        <w:t xml:space="preserve">, natomiast </w:t>
      </w:r>
      <w:r w:rsidR="00040FBD" w:rsidRPr="003478AF">
        <w:rPr>
          <w:rFonts w:eastAsia="Arial" w:cs="Arial"/>
          <w:szCs w:val="20"/>
        </w:rPr>
        <w:t xml:space="preserve">w kraju – </w:t>
      </w:r>
      <w:r w:rsidRPr="003478AF">
        <w:rPr>
          <w:rFonts w:eastAsia="Arial" w:cs="Arial"/>
          <w:szCs w:val="20"/>
        </w:rPr>
        <w:t>33,9 m</w:t>
      </w:r>
      <w:r w:rsidRPr="003478AF">
        <w:rPr>
          <w:rFonts w:eastAsia="Arial" w:cs="Arial"/>
          <w:szCs w:val="20"/>
          <w:vertAlign w:val="superscript"/>
        </w:rPr>
        <w:t>3</w:t>
      </w:r>
      <w:r w:rsidRPr="003478AF">
        <w:rPr>
          <w:rFonts w:eastAsia="Arial" w:cs="Arial"/>
          <w:szCs w:val="20"/>
        </w:rPr>
        <w:t>, przy czym większy przyrost w latach 2010-2020 obserwowany był w Wielkopolsce</w:t>
      </w:r>
      <w:r w:rsidR="00C01CE2" w:rsidRPr="003478AF">
        <w:rPr>
          <w:rFonts w:eastAsia="Arial" w:cs="Arial"/>
          <w:szCs w:val="20"/>
        </w:rPr>
        <w:t xml:space="preserve"> (</w:t>
      </w:r>
      <w:r w:rsidRPr="003478AF">
        <w:rPr>
          <w:rFonts w:eastAsia="Arial" w:cs="Arial"/>
          <w:szCs w:val="20"/>
        </w:rPr>
        <w:t>o 4,8 m</w:t>
      </w:r>
      <w:r w:rsidRPr="003478AF">
        <w:rPr>
          <w:rFonts w:eastAsia="Arial" w:cs="Arial"/>
          <w:szCs w:val="20"/>
          <w:vertAlign w:val="superscript"/>
        </w:rPr>
        <w:t>3</w:t>
      </w:r>
      <w:r w:rsidR="00C01CE2" w:rsidRPr="003478AF">
        <w:rPr>
          <w:rFonts w:eastAsia="Arial" w:cs="Arial"/>
          <w:szCs w:val="20"/>
        </w:rPr>
        <w:t>) niż średnio w</w:t>
      </w:r>
      <w:r w:rsidRPr="003478AF">
        <w:rPr>
          <w:rFonts w:eastAsia="Arial" w:cs="Arial"/>
          <w:szCs w:val="20"/>
        </w:rPr>
        <w:t xml:space="preserve"> </w:t>
      </w:r>
      <w:r w:rsidR="00C01CE2" w:rsidRPr="003478AF">
        <w:rPr>
          <w:rFonts w:eastAsia="Arial" w:cs="Arial"/>
          <w:szCs w:val="20"/>
        </w:rPr>
        <w:t xml:space="preserve">Polsce </w:t>
      </w:r>
      <w:r w:rsidRPr="003478AF">
        <w:rPr>
          <w:rFonts w:eastAsia="Arial" w:cs="Arial"/>
          <w:szCs w:val="20"/>
        </w:rPr>
        <w:t>(</w:t>
      </w:r>
      <w:r w:rsidR="00C01CE2" w:rsidRPr="003478AF">
        <w:rPr>
          <w:rFonts w:eastAsia="Arial" w:cs="Arial"/>
          <w:szCs w:val="20"/>
        </w:rPr>
        <w:t>o</w:t>
      </w:r>
      <w:r w:rsidR="002112FB" w:rsidRPr="003478AF">
        <w:rPr>
          <w:rFonts w:eastAsia="Arial" w:cs="Arial"/>
          <w:szCs w:val="20"/>
        </w:rPr>
        <w:t xml:space="preserve"> </w:t>
      </w:r>
      <w:r w:rsidRPr="003478AF">
        <w:rPr>
          <w:rFonts w:eastAsia="Arial" w:cs="Arial"/>
          <w:szCs w:val="20"/>
        </w:rPr>
        <w:t>2,8 m</w:t>
      </w:r>
      <w:r w:rsidRPr="003478AF">
        <w:rPr>
          <w:rFonts w:eastAsia="Arial" w:cs="Arial"/>
          <w:szCs w:val="20"/>
          <w:vertAlign w:val="superscript"/>
        </w:rPr>
        <w:t>3</w:t>
      </w:r>
      <w:r w:rsidRPr="003478AF">
        <w:rPr>
          <w:rFonts w:eastAsia="Arial" w:cs="Arial"/>
          <w:szCs w:val="20"/>
        </w:rPr>
        <w:t>) (</w:t>
      </w:r>
      <w:r w:rsidR="00381971" w:rsidRPr="003478AF">
        <w:rPr>
          <w:rFonts w:eastAsia="Arial" w:cs="Arial"/>
          <w:szCs w:val="20"/>
        </w:rPr>
        <w:t>ryc.</w:t>
      </w:r>
      <w:r w:rsidRPr="003478AF">
        <w:rPr>
          <w:rFonts w:eastAsia="Arial" w:cs="Arial"/>
          <w:szCs w:val="20"/>
        </w:rPr>
        <w:t xml:space="preserve"> 8.</w:t>
      </w:r>
      <w:r w:rsidR="00C329EF" w:rsidRPr="003478AF">
        <w:rPr>
          <w:rFonts w:eastAsia="Arial" w:cs="Arial"/>
          <w:szCs w:val="20"/>
        </w:rPr>
        <w:t>4</w:t>
      </w:r>
      <w:r w:rsidRPr="003478AF">
        <w:rPr>
          <w:rFonts w:eastAsia="Arial" w:cs="Arial"/>
          <w:szCs w:val="20"/>
        </w:rPr>
        <w:t>). Wśród powiatów najwięcej wody za 1 mieszkańca zużywa się w powiecie leszczyńskim (5</w:t>
      </w:r>
      <w:r w:rsidR="0023094F" w:rsidRPr="003478AF">
        <w:rPr>
          <w:rFonts w:eastAsia="Arial" w:cs="Arial"/>
          <w:szCs w:val="20"/>
        </w:rPr>
        <w:t>4</w:t>
      </w:r>
      <w:r w:rsidRPr="003478AF">
        <w:rPr>
          <w:rFonts w:eastAsia="Arial" w:cs="Arial"/>
          <w:szCs w:val="20"/>
        </w:rPr>
        <w:t>,</w:t>
      </w:r>
      <w:r w:rsidR="0023094F" w:rsidRPr="003478AF">
        <w:rPr>
          <w:rFonts w:eastAsia="Arial" w:cs="Arial"/>
          <w:szCs w:val="20"/>
        </w:rPr>
        <w:t>0</w:t>
      </w:r>
      <w:r w:rsidRPr="003478AF">
        <w:rPr>
          <w:rFonts w:eastAsia="Arial" w:cs="Arial"/>
          <w:szCs w:val="20"/>
        </w:rPr>
        <w:t xml:space="preserve"> m</w:t>
      </w:r>
      <w:r w:rsidRPr="003478AF">
        <w:rPr>
          <w:rFonts w:eastAsia="Arial" w:cs="Arial"/>
          <w:szCs w:val="20"/>
          <w:vertAlign w:val="superscript"/>
        </w:rPr>
        <w:t>3</w:t>
      </w:r>
      <w:r w:rsidRPr="003478AF">
        <w:rPr>
          <w:rFonts w:eastAsia="Arial" w:cs="Arial"/>
          <w:szCs w:val="20"/>
        </w:rPr>
        <w:t xml:space="preserve">), </w:t>
      </w:r>
      <w:r w:rsidR="0023094F" w:rsidRPr="003478AF">
        <w:rPr>
          <w:rFonts w:eastAsia="Arial" w:cs="Arial"/>
          <w:szCs w:val="20"/>
        </w:rPr>
        <w:t xml:space="preserve">gostyńskim </w:t>
      </w:r>
      <w:r w:rsidRPr="003478AF">
        <w:rPr>
          <w:rFonts w:eastAsia="Arial" w:cs="Arial"/>
          <w:szCs w:val="20"/>
        </w:rPr>
        <w:t>(4</w:t>
      </w:r>
      <w:r w:rsidR="0023094F" w:rsidRPr="003478AF">
        <w:rPr>
          <w:rFonts w:eastAsia="Arial" w:cs="Arial"/>
          <w:szCs w:val="20"/>
        </w:rPr>
        <w:t>8,2</w:t>
      </w:r>
      <w:r w:rsidRPr="003478AF">
        <w:rPr>
          <w:rFonts w:eastAsia="Arial" w:cs="Arial"/>
          <w:szCs w:val="20"/>
        </w:rPr>
        <w:t xml:space="preserve"> m</w:t>
      </w:r>
      <w:r w:rsidRPr="003478AF">
        <w:rPr>
          <w:rFonts w:eastAsia="Arial" w:cs="Arial"/>
          <w:szCs w:val="20"/>
          <w:vertAlign w:val="superscript"/>
        </w:rPr>
        <w:t>3</w:t>
      </w:r>
      <w:r w:rsidRPr="003478AF">
        <w:rPr>
          <w:rFonts w:eastAsia="Arial" w:cs="Arial"/>
          <w:szCs w:val="20"/>
        </w:rPr>
        <w:t xml:space="preserve">) i </w:t>
      </w:r>
      <w:r w:rsidR="0023094F" w:rsidRPr="003478AF">
        <w:rPr>
          <w:rFonts w:eastAsia="Arial" w:cs="Arial"/>
          <w:szCs w:val="20"/>
        </w:rPr>
        <w:t xml:space="preserve">średzkim </w:t>
      </w:r>
      <w:r w:rsidRPr="003478AF">
        <w:rPr>
          <w:rFonts w:eastAsia="Arial" w:cs="Arial"/>
          <w:szCs w:val="20"/>
        </w:rPr>
        <w:t>(4</w:t>
      </w:r>
      <w:r w:rsidR="0023094F" w:rsidRPr="003478AF">
        <w:rPr>
          <w:rFonts w:eastAsia="Arial" w:cs="Arial"/>
          <w:szCs w:val="20"/>
        </w:rPr>
        <w:t>6</w:t>
      </w:r>
      <w:r w:rsidRPr="003478AF">
        <w:rPr>
          <w:rFonts w:eastAsia="Arial" w:cs="Arial"/>
          <w:szCs w:val="20"/>
        </w:rPr>
        <w:t>,</w:t>
      </w:r>
      <w:r w:rsidR="0023094F" w:rsidRPr="003478AF">
        <w:rPr>
          <w:rFonts w:eastAsia="Arial" w:cs="Arial"/>
          <w:szCs w:val="20"/>
        </w:rPr>
        <w:t>6</w:t>
      </w:r>
      <w:r w:rsidRPr="003478AF">
        <w:rPr>
          <w:rFonts w:eastAsia="Arial" w:cs="Arial"/>
          <w:szCs w:val="20"/>
        </w:rPr>
        <w:t xml:space="preserve"> m</w:t>
      </w:r>
      <w:r w:rsidRPr="003478AF">
        <w:rPr>
          <w:rFonts w:eastAsia="Arial" w:cs="Arial"/>
          <w:szCs w:val="20"/>
          <w:vertAlign w:val="superscript"/>
        </w:rPr>
        <w:t>3</w:t>
      </w:r>
      <w:r w:rsidRPr="003478AF">
        <w:rPr>
          <w:rFonts w:eastAsia="Arial" w:cs="Arial"/>
          <w:szCs w:val="20"/>
        </w:rPr>
        <w:t>), a najmniej w złotowskim (28,</w:t>
      </w:r>
      <w:r w:rsidR="0023094F" w:rsidRPr="003478AF">
        <w:rPr>
          <w:rFonts w:eastAsia="Arial" w:cs="Arial"/>
          <w:szCs w:val="20"/>
        </w:rPr>
        <w:t>3</w:t>
      </w:r>
      <w:r w:rsidRPr="003478AF">
        <w:rPr>
          <w:rFonts w:eastAsia="Arial" w:cs="Arial"/>
          <w:szCs w:val="20"/>
        </w:rPr>
        <w:t xml:space="preserve"> m</w:t>
      </w:r>
      <w:r w:rsidRPr="003478AF">
        <w:rPr>
          <w:rFonts w:eastAsia="Arial" w:cs="Arial"/>
          <w:szCs w:val="20"/>
          <w:vertAlign w:val="superscript"/>
        </w:rPr>
        <w:t>3</w:t>
      </w:r>
      <w:r w:rsidRPr="003478AF">
        <w:rPr>
          <w:rFonts w:eastAsia="Arial" w:cs="Arial"/>
          <w:szCs w:val="20"/>
        </w:rPr>
        <w:t xml:space="preserve">, </w:t>
      </w:r>
      <w:r w:rsidR="00381971" w:rsidRPr="003478AF">
        <w:rPr>
          <w:rFonts w:eastAsia="Arial" w:cs="Arial"/>
          <w:szCs w:val="20"/>
        </w:rPr>
        <w:t>ryc.</w:t>
      </w:r>
      <w:r w:rsidRPr="003478AF">
        <w:rPr>
          <w:rFonts w:eastAsia="Arial" w:cs="Arial"/>
          <w:szCs w:val="20"/>
        </w:rPr>
        <w:t xml:space="preserve"> 8.</w:t>
      </w:r>
      <w:r w:rsidR="00C329EF" w:rsidRPr="003478AF">
        <w:rPr>
          <w:rFonts w:eastAsia="Arial" w:cs="Arial"/>
          <w:szCs w:val="20"/>
        </w:rPr>
        <w:t>5</w:t>
      </w:r>
      <w:r w:rsidRPr="003478AF">
        <w:rPr>
          <w:rFonts w:eastAsia="Arial" w:cs="Arial"/>
          <w:szCs w:val="20"/>
        </w:rPr>
        <w:t>).</w:t>
      </w:r>
    </w:p>
    <w:p w14:paraId="623427EA" w14:textId="772DDF68" w:rsidR="00F3394A" w:rsidRPr="003478AF" w:rsidRDefault="00F3394A" w:rsidP="00F3394A">
      <w:pPr>
        <w:rPr>
          <w:rFonts w:eastAsia="Arial" w:cs="Arial"/>
          <w:szCs w:val="20"/>
        </w:rPr>
      </w:pPr>
      <w:r w:rsidRPr="003478AF">
        <w:rPr>
          <w:rFonts w:eastAsia="Arial" w:cs="Arial"/>
          <w:szCs w:val="20"/>
        </w:rPr>
        <w:t>W latach 2010-2019 obserwowano w Wielkopolsce pozytywne tendencje związane ze zużyciem wody w przemyśle poprzez spadek z 1,27</w:t>
      </w:r>
      <w:r w:rsidR="00655164" w:rsidRPr="003478AF">
        <w:rPr>
          <w:rFonts w:eastAsia="Arial" w:cs="Arial"/>
          <w:szCs w:val="20"/>
        </w:rPr>
        <w:t xml:space="preserve"> mln dam</w:t>
      </w:r>
      <w:r w:rsidR="00655164" w:rsidRPr="003478AF">
        <w:rPr>
          <w:rFonts w:eastAsia="Arial" w:cs="Arial"/>
          <w:szCs w:val="20"/>
          <w:vertAlign w:val="superscript"/>
        </w:rPr>
        <w:t>3</w:t>
      </w:r>
      <w:r w:rsidRPr="003478AF">
        <w:rPr>
          <w:rFonts w:eastAsia="Arial" w:cs="Arial"/>
          <w:szCs w:val="20"/>
        </w:rPr>
        <w:t xml:space="preserve"> do 1,02 mln dam</w:t>
      </w:r>
      <w:r w:rsidRPr="003478AF">
        <w:rPr>
          <w:rFonts w:eastAsia="Arial" w:cs="Arial"/>
          <w:szCs w:val="20"/>
          <w:vertAlign w:val="superscript"/>
        </w:rPr>
        <w:t>3</w:t>
      </w:r>
      <w:r w:rsidRPr="003478AF">
        <w:rPr>
          <w:rFonts w:eastAsia="Arial" w:cs="Arial"/>
          <w:szCs w:val="20"/>
        </w:rPr>
        <w:t xml:space="preserve"> oraz zużyciem wody na potrzeby gospodarki narodowej i ludności, który zmniejszył się z 1,54 mln dam</w:t>
      </w:r>
      <w:r w:rsidRPr="003478AF">
        <w:rPr>
          <w:rFonts w:eastAsia="Arial" w:cs="Arial"/>
          <w:szCs w:val="20"/>
          <w:vertAlign w:val="superscript"/>
        </w:rPr>
        <w:t>3</w:t>
      </w:r>
      <w:r w:rsidRPr="003478AF">
        <w:rPr>
          <w:rFonts w:eastAsia="Arial" w:cs="Arial"/>
          <w:szCs w:val="20"/>
        </w:rPr>
        <w:t xml:space="preserve"> do 1,30 mln dam</w:t>
      </w:r>
      <w:r w:rsidRPr="003478AF">
        <w:rPr>
          <w:rFonts w:eastAsia="Arial" w:cs="Arial"/>
          <w:szCs w:val="20"/>
          <w:vertAlign w:val="superscript"/>
        </w:rPr>
        <w:t>3</w:t>
      </w:r>
      <w:r w:rsidRPr="003478AF">
        <w:rPr>
          <w:rFonts w:eastAsia="Arial" w:cs="Arial"/>
          <w:szCs w:val="20"/>
        </w:rPr>
        <w:t>.</w:t>
      </w:r>
    </w:p>
    <w:p w14:paraId="05EC352C" w14:textId="77777777" w:rsidR="00F3394A" w:rsidRPr="003478AF" w:rsidRDefault="00F3394A" w:rsidP="00F3394A">
      <w:pPr>
        <w:spacing w:line="240" w:lineRule="auto"/>
        <w:ind w:firstLine="0"/>
        <w:rPr>
          <w:rFonts w:eastAsia="Arial"/>
          <w:szCs w:val="20"/>
        </w:rPr>
      </w:pPr>
    </w:p>
    <w:p w14:paraId="51C08172" w14:textId="77777777" w:rsidR="00F3394A" w:rsidRPr="003478AF" w:rsidRDefault="00F3394A" w:rsidP="00986D40">
      <w:pPr>
        <w:pStyle w:val="AZRODLO"/>
      </w:pPr>
    </w:p>
    <w:p w14:paraId="2EF56B57" w14:textId="77777777" w:rsidR="00B518C8" w:rsidRPr="003478AF" w:rsidRDefault="00B518C8">
      <w:pPr>
        <w:spacing w:line="240" w:lineRule="auto"/>
        <w:ind w:firstLine="0"/>
        <w:jc w:val="left"/>
        <w:rPr>
          <w:rFonts w:eastAsia="Arial" w:cs="Arial"/>
          <w:b/>
          <w:bCs/>
          <w:sz w:val="16"/>
          <w:szCs w:val="16"/>
        </w:rPr>
      </w:pPr>
      <w:r w:rsidRPr="003478AF">
        <w:br w:type="page"/>
      </w:r>
    </w:p>
    <w:p w14:paraId="6132CF8C" w14:textId="3080232A" w:rsidR="00F3394A" w:rsidRPr="003478AF" w:rsidRDefault="00F3394A" w:rsidP="00986D40">
      <w:pPr>
        <w:pStyle w:val="ARYCINA"/>
      </w:pPr>
      <w:r w:rsidRPr="003478AF">
        <w:lastRenderedPageBreak/>
        <w:t>Ryc. 8.</w:t>
      </w:r>
      <w:r w:rsidR="00C329EF" w:rsidRPr="003478AF">
        <w:t>4</w:t>
      </w:r>
      <w:r w:rsidRPr="003478AF">
        <w:t xml:space="preserve"> Zużycie wody z wodociągów w gospodarstwach domowych na 1 mieszkańca (m</w:t>
      </w:r>
      <w:r w:rsidRPr="003478AF">
        <w:rPr>
          <w:vertAlign w:val="superscript"/>
        </w:rPr>
        <w:t>3</w:t>
      </w:r>
      <w:r w:rsidRPr="003478AF">
        <w:t xml:space="preserve">) </w:t>
      </w:r>
      <w:r w:rsidR="009605E0" w:rsidRPr="003478AF">
        <w:br/>
      </w:r>
      <w:r w:rsidRPr="003478AF">
        <w:t xml:space="preserve">w Polsce i </w:t>
      </w:r>
      <w:r w:rsidR="0038370F" w:rsidRPr="003478AF">
        <w:t xml:space="preserve">województwie wielkopolskim </w:t>
      </w:r>
      <w:r w:rsidRPr="003478AF">
        <w:t>w latach 2010-2020</w:t>
      </w:r>
    </w:p>
    <w:p w14:paraId="75512598" w14:textId="77777777" w:rsidR="00F3394A" w:rsidRPr="003478AF" w:rsidRDefault="00F3394A" w:rsidP="00986D40">
      <w:pPr>
        <w:pStyle w:val="ARYCINA"/>
      </w:pPr>
      <w:r w:rsidRPr="003478AF">
        <w:rPr>
          <w:noProof/>
          <w:lang w:eastAsia="pl-PL"/>
        </w:rPr>
        <w:drawing>
          <wp:inline distT="0" distB="0" distL="0" distR="0" wp14:anchorId="690CA643" wp14:editId="008B741F">
            <wp:extent cx="5040000" cy="2376000"/>
            <wp:effectExtent l="0" t="0" r="8255" b="5715"/>
            <wp:docPr id="18" name="Wykres 18">
              <a:extLst xmlns:a="http://schemas.openxmlformats.org/drawingml/2006/main">
                <a:ext uri="{FF2B5EF4-FFF2-40B4-BE49-F238E27FC236}">
                  <a16:creationId xmlns:a16="http://schemas.microsoft.com/office/drawing/2014/main" id="{04232A33-171D-4BBD-86E7-BB1B602F49A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2"/>
              </a:graphicData>
            </a:graphic>
          </wp:inline>
        </w:drawing>
      </w:r>
    </w:p>
    <w:p w14:paraId="626EC9DD" w14:textId="2F6B704B" w:rsidR="00F3394A" w:rsidRPr="003478AF" w:rsidRDefault="00F3394A" w:rsidP="00986D40">
      <w:pPr>
        <w:pStyle w:val="AZRODLO"/>
      </w:pPr>
      <w:r w:rsidRPr="003478AF">
        <w:t>Źródło: Opracowanie własne na podstawie danych BDL</w:t>
      </w:r>
    </w:p>
    <w:p w14:paraId="5C6AB2F4" w14:textId="77777777" w:rsidR="00F3394A" w:rsidRPr="003478AF" w:rsidRDefault="00F3394A" w:rsidP="009316AA"/>
    <w:p w14:paraId="04602199" w14:textId="42672102" w:rsidR="00F3394A" w:rsidRPr="003478AF" w:rsidRDefault="00F3394A" w:rsidP="00986D40">
      <w:pPr>
        <w:pStyle w:val="ARYCINA"/>
      </w:pPr>
      <w:r w:rsidRPr="003478AF">
        <w:t>Ryc. 8.</w:t>
      </w:r>
      <w:r w:rsidR="00C329EF" w:rsidRPr="003478AF">
        <w:t>5</w:t>
      </w:r>
      <w:r w:rsidRPr="003478AF">
        <w:t xml:space="preserve"> Zużycie wody z wodociągów w gospodarstwach domowych na 1 mieszkańca (m</w:t>
      </w:r>
      <w:r w:rsidRPr="003478AF">
        <w:rPr>
          <w:vertAlign w:val="superscript"/>
        </w:rPr>
        <w:t>3</w:t>
      </w:r>
      <w:r w:rsidRPr="003478AF">
        <w:t xml:space="preserve">) </w:t>
      </w:r>
      <w:r w:rsidR="009605E0" w:rsidRPr="003478AF">
        <w:br/>
      </w:r>
      <w:r w:rsidR="0038370F" w:rsidRPr="003478AF">
        <w:t xml:space="preserve">w województwie wielkopolskim według powiatów </w:t>
      </w:r>
      <w:r w:rsidRPr="003478AF">
        <w:t>w 2019 roku</w:t>
      </w:r>
    </w:p>
    <w:p w14:paraId="65B55F03" w14:textId="5A59A8B7" w:rsidR="00B518C8" w:rsidRPr="003478AF" w:rsidRDefault="0023094F" w:rsidP="00986D40">
      <w:pPr>
        <w:pStyle w:val="AZRODLO"/>
      </w:pPr>
      <w:r w:rsidRPr="003478AF">
        <w:rPr>
          <w:noProof/>
          <w:lang w:eastAsia="pl-PL"/>
        </w:rPr>
        <w:drawing>
          <wp:inline distT="0" distB="0" distL="0" distR="0" wp14:anchorId="17256081" wp14:editId="7B460FFF">
            <wp:extent cx="3248025" cy="4077307"/>
            <wp:effectExtent l="0" t="0" r="0" b="0"/>
            <wp:docPr id="51" name="Obraz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3255508" cy="4086700"/>
                    </a:xfrm>
                    <a:prstGeom prst="rect">
                      <a:avLst/>
                    </a:prstGeom>
                    <a:noFill/>
                    <a:ln>
                      <a:noFill/>
                    </a:ln>
                  </pic:spPr>
                </pic:pic>
              </a:graphicData>
            </a:graphic>
          </wp:inline>
        </w:drawing>
      </w:r>
    </w:p>
    <w:p w14:paraId="38B5D79D" w14:textId="2D748C7A" w:rsidR="003136E2" w:rsidRPr="003478AF" w:rsidRDefault="00B518C8" w:rsidP="00986D40">
      <w:pPr>
        <w:pStyle w:val="AZRODLO"/>
      </w:pPr>
      <w:r w:rsidRPr="003478AF">
        <w:t>Źródło</w:t>
      </w:r>
      <w:r w:rsidR="00F3394A" w:rsidRPr="003478AF">
        <w:t>: Opracowanie własne na podstawie danych BDL</w:t>
      </w:r>
      <w:r w:rsidR="003136E2" w:rsidRPr="003478AF">
        <w:br w:type="page"/>
      </w:r>
    </w:p>
    <w:p w14:paraId="37D5BDB1" w14:textId="6F085BE0" w:rsidR="00F3394A" w:rsidRPr="003478AF" w:rsidRDefault="00F3394A" w:rsidP="00F3394A">
      <w:pPr>
        <w:ind w:firstLine="0"/>
        <w:rPr>
          <w:rFonts w:eastAsia="Arial" w:cs="Arial"/>
          <w:b/>
          <w:bCs/>
          <w:szCs w:val="20"/>
        </w:rPr>
      </w:pPr>
      <w:r w:rsidRPr="003478AF">
        <w:rPr>
          <w:rFonts w:eastAsia="Arial" w:cs="Arial"/>
          <w:b/>
          <w:bCs/>
          <w:szCs w:val="20"/>
        </w:rPr>
        <w:lastRenderedPageBreak/>
        <w:t>Wodochłonność</w:t>
      </w:r>
    </w:p>
    <w:p w14:paraId="1DDAFB81" w14:textId="1F4F9352" w:rsidR="00F3394A" w:rsidRPr="003478AF" w:rsidRDefault="00F3394A" w:rsidP="002E7D99">
      <w:pPr>
        <w:rPr>
          <w:rFonts w:eastAsia="Arial" w:cs="Arial"/>
          <w:szCs w:val="20"/>
        </w:rPr>
      </w:pPr>
      <w:r w:rsidRPr="003478AF">
        <w:rPr>
          <w:rFonts w:eastAsia="Arial" w:cs="Arial"/>
          <w:szCs w:val="20"/>
        </w:rPr>
        <w:t xml:space="preserve">Do oceny wskaźników GOZ w ramach wodochłonności wykorzystano wskaźniki dla: przemysłu (stosunek zużycia wody na potrzeby przemysłu do </w:t>
      </w:r>
      <w:r w:rsidR="002E7D99" w:rsidRPr="003478AF">
        <w:rPr>
          <w:rFonts w:eastAsia="Arial" w:cs="Arial"/>
          <w:szCs w:val="20"/>
        </w:rPr>
        <w:t>wartości produkcji sprzedanej przemysł</w:t>
      </w:r>
      <w:r w:rsidRPr="003478AF">
        <w:rPr>
          <w:rFonts w:eastAsia="Arial" w:cs="Arial"/>
          <w:szCs w:val="20"/>
        </w:rPr>
        <w:t xml:space="preserve">u), gospodarstw domowych (stosunek zużycia wody z wodociągów </w:t>
      </w:r>
      <w:r w:rsidR="00503CAB" w:rsidRPr="003478AF">
        <w:rPr>
          <w:rFonts w:eastAsia="Arial" w:cs="Arial"/>
          <w:szCs w:val="20"/>
        </w:rPr>
        <w:br/>
      </w:r>
      <w:r w:rsidRPr="003478AF">
        <w:rPr>
          <w:rFonts w:eastAsia="Arial" w:cs="Arial"/>
          <w:szCs w:val="20"/>
        </w:rPr>
        <w:t xml:space="preserve">w gospodarstwach domowych do wartości dodanej brutto gospodarstw domowych) </w:t>
      </w:r>
      <w:r w:rsidR="00E14C34">
        <w:rPr>
          <w:rFonts w:eastAsia="Arial" w:cs="Arial"/>
          <w:szCs w:val="20"/>
        </w:rPr>
        <w:br/>
      </w:r>
      <w:r w:rsidRPr="003478AF">
        <w:rPr>
          <w:rFonts w:eastAsia="Arial" w:cs="Arial"/>
          <w:szCs w:val="20"/>
        </w:rPr>
        <w:t xml:space="preserve">i gospodarki (stosunek zużycia wody na </w:t>
      </w:r>
      <w:r w:rsidR="002E7D99" w:rsidRPr="003478AF">
        <w:rPr>
          <w:rFonts w:eastAsia="Arial" w:cs="Arial"/>
          <w:szCs w:val="20"/>
        </w:rPr>
        <w:t xml:space="preserve">potrzeby gospodarki narodowej i ludności </w:t>
      </w:r>
      <w:r w:rsidRPr="003478AF">
        <w:rPr>
          <w:rFonts w:eastAsia="Arial" w:cs="Arial"/>
          <w:szCs w:val="20"/>
        </w:rPr>
        <w:t>do wartości dodanej brutto gospodarki).</w:t>
      </w:r>
    </w:p>
    <w:p w14:paraId="74EF5349" w14:textId="06123090" w:rsidR="00F3394A" w:rsidRPr="003478AF" w:rsidRDefault="00F3394A" w:rsidP="00F3394A">
      <w:pPr>
        <w:rPr>
          <w:rFonts w:eastAsia="Arial" w:cs="Arial"/>
          <w:szCs w:val="20"/>
        </w:rPr>
      </w:pPr>
      <w:r w:rsidRPr="003478AF">
        <w:rPr>
          <w:rFonts w:eastAsia="Arial" w:cs="Arial"/>
          <w:szCs w:val="20"/>
        </w:rPr>
        <w:t>Wodochłonność gospodarki, gospodarstw domowych i przemysłu maleje od 2010 roku (</w:t>
      </w:r>
      <w:r w:rsidR="00381971" w:rsidRPr="003478AF">
        <w:rPr>
          <w:rFonts w:eastAsia="Arial" w:cs="Arial"/>
          <w:szCs w:val="20"/>
        </w:rPr>
        <w:t>ryc.</w:t>
      </w:r>
      <w:r w:rsidRPr="003478AF">
        <w:rPr>
          <w:rFonts w:eastAsia="Arial" w:cs="Arial"/>
          <w:szCs w:val="20"/>
        </w:rPr>
        <w:t xml:space="preserve"> 8.</w:t>
      </w:r>
      <w:r w:rsidR="00C329EF" w:rsidRPr="003478AF">
        <w:rPr>
          <w:rFonts w:eastAsia="Arial" w:cs="Arial"/>
          <w:szCs w:val="20"/>
        </w:rPr>
        <w:t>6</w:t>
      </w:r>
      <w:r w:rsidR="00381971" w:rsidRPr="003478AF">
        <w:rPr>
          <w:rFonts w:eastAsia="Arial" w:cs="Arial"/>
          <w:szCs w:val="20"/>
        </w:rPr>
        <w:t xml:space="preserve"> – </w:t>
      </w:r>
      <w:r w:rsidRPr="003478AF">
        <w:rPr>
          <w:rFonts w:eastAsia="Arial" w:cs="Arial"/>
          <w:szCs w:val="20"/>
        </w:rPr>
        <w:t>8.1</w:t>
      </w:r>
      <w:r w:rsidR="008E2B87" w:rsidRPr="003478AF">
        <w:rPr>
          <w:rFonts w:eastAsia="Arial" w:cs="Arial"/>
          <w:szCs w:val="20"/>
        </w:rPr>
        <w:t>1</w:t>
      </w:r>
      <w:r w:rsidRPr="003478AF">
        <w:rPr>
          <w:rFonts w:eastAsia="Arial" w:cs="Arial"/>
          <w:szCs w:val="20"/>
        </w:rPr>
        <w:t>). Występowanie deficytów wody spowodowane jest wodochłonnością przemysłu i rozwojem procesów demograficznych oraz specyficznymi warunkami geograficznymi i hydrograficznymi.</w:t>
      </w:r>
    </w:p>
    <w:p w14:paraId="1C5B060B" w14:textId="2B03FCCE" w:rsidR="00F3394A" w:rsidRPr="003478AF" w:rsidRDefault="006F7AFE" w:rsidP="00F3394A">
      <w:pPr>
        <w:rPr>
          <w:rFonts w:eastAsia="Arial" w:cs="Arial"/>
          <w:szCs w:val="20"/>
        </w:rPr>
      </w:pPr>
      <w:r w:rsidRPr="003478AF">
        <w:rPr>
          <w:rFonts w:eastAsia="Arial" w:cs="Arial"/>
          <w:szCs w:val="20"/>
        </w:rPr>
        <w:t>W Wielkopolsce w</w:t>
      </w:r>
      <w:r w:rsidR="00F3394A" w:rsidRPr="003478AF">
        <w:rPr>
          <w:rFonts w:eastAsia="Arial" w:cs="Arial"/>
          <w:szCs w:val="20"/>
        </w:rPr>
        <w:t>odochłonność przemysłu spadła w latach 2010-201</w:t>
      </w:r>
      <w:r w:rsidRPr="003478AF">
        <w:rPr>
          <w:rFonts w:eastAsia="Arial" w:cs="Arial"/>
          <w:szCs w:val="20"/>
        </w:rPr>
        <w:t>9</w:t>
      </w:r>
      <w:r w:rsidR="00F3394A" w:rsidRPr="003478AF">
        <w:rPr>
          <w:rFonts w:eastAsia="Arial" w:cs="Arial"/>
          <w:szCs w:val="20"/>
        </w:rPr>
        <w:t xml:space="preserve"> z </w:t>
      </w:r>
      <w:r w:rsidRPr="003478AF">
        <w:rPr>
          <w:rFonts w:eastAsia="Arial" w:cs="Arial"/>
          <w:szCs w:val="20"/>
        </w:rPr>
        <w:t>12,21</w:t>
      </w:r>
      <w:r w:rsidR="00F3394A" w:rsidRPr="003478AF">
        <w:rPr>
          <w:rFonts w:eastAsia="Arial" w:cs="Arial"/>
          <w:szCs w:val="20"/>
        </w:rPr>
        <w:t xml:space="preserve"> dam</w:t>
      </w:r>
      <w:r w:rsidR="00F3394A" w:rsidRPr="003478AF">
        <w:rPr>
          <w:rFonts w:eastAsia="Arial" w:cs="Arial"/>
          <w:szCs w:val="20"/>
          <w:vertAlign w:val="superscript"/>
        </w:rPr>
        <w:t>3</w:t>
      </w:r>
      <w:r w:rsidR="00F3394A" w:rsidRPr="003478AF">
        <w:rPr>
          <w:rFonts w:eastAsia="Arial" w:cs="Arial"/>
          <w:szCs w:val="20"/>
        </w:rPr>
        <w:t>/mln zł do 5,</w:t>
      </w:r>
      <w:r w:rsidRPr="003478AF">
        <w:rPr>
          <w:rFonts w:eastAsia="Arial" w:cs="Arial"/>
          <w:szCs w:val="20"/>
        </w:rPr>
        <w:t>14</w:t>
      </w:r>
      <w:r w:rsidR="00F3394A" w:rsidRPr="003478AF">
        <w:rPr>
          <w:rFonts w:eastAsia="Arial" w:cs="Arial"/>
          <w:szCs w:val="20"/>
        </w:rPr>
        <w:t xml:space="preserve"> dam</w:t>
      </w:r>
      <w:r w:rsidR="00F3394A" w:rsidRPr="003478AF">
        <w:rPr>
          <w:rFonts w:eastAsia="Arial" w:cs="Arial"/>
          <w:szCs w:val="20"/>
          <w:vertAlign w:val="superscript"/>
        </w:rPr>
        <w:t>3</w:t>
      </w:r>
      <w:r w:rsidR="00F3394A" w:rsidRPr="003478AF">
        <w:rPr>
          <w:rFonts w:eastAsia="Arial" w:cs="Arial"/>
          <w:szCs w:val="20"/>
        </w:rPr>
        <w:t>/mln zł (</w:t>
      </w:r>
      <w:r w:rsidR="00381971" w:rsidRPr="003478AF">
        <w:rPr>
          <w:rFonts w:eastAsia="Arial" w:cs="Arial"/>
          <w:szCs w:val="20"/>
        </w:rPr>
        <w:t>ryc.</w:t>
      </w:r>
      <w:r w:rsidR="00F3394A" w:rsidRPr="003478AF">
        <w:rPr>
          <w:rFonts w:eastAsia="Arial" w:cs="Arial"/>
          <w:szCs w:val="20"/>
        </w:rPr>
        <w:t xml:space="preserve"> 8.</w:t>
      </w:r>
      <w:r w:rsidR="00C329EF" w:rsidRPr="003478AF">
        <w:rPr>
          <w:rFonts w:eastAsia="Arial" w:cs="Arial"/>
          <w:szCs w:val="20"/>
        </w:rPr>
        <w:t>7</w:t>
      </w:r>
      <w:r w:rsidR="00F3394A" w:rsidRPr="003478AF">
        <w:rPr>
          <w:rFonts w:eastAsia="Arial" w:cs="Arial"/>
          <w:szCs w:val="20"/>
        </w:rPr>
        <w:t xml:space="preserve">). Podobna tendencja widoczna była w </w:t>
      </w:r>
      <w:r w:rsidR="005F0850" w:rsidRPr="003478AF">
        <w:rPr>
          <w:rFonts w:eastAsia="Arial" w:cs="Arial"/>
          <w:szCs w:val="20"/>
        </w:rPr>
        <w:t xml:space="preserve">przypadku </w:t>
      </w:r>
      <w:r w:rsidR="00F3394A" w:rsidRPr="003478AF">
        <w:rPr>
          <w:rFonts w:eastAsia="Arial" w:cs="Arial"/>
          <w:szCs w:val="20"/>
        </w:rPr>
        <w:t>wodochłonności gospodarki poprzez spadek z 11,34 dam</w:t>
      </w:r>
      <w:r w:rsidR="00F3394A" w:rsidRPr="003478AF">
        <w:rPr>
          <w:rFonts w:eastAsia="Arial" w:cs="Arial"/>
          <w:szCs w:val="20"/>
          <w:vertAlign w:val="superscript"/>
        </w:rPr>
        <w:t>3</w:t>
      </w:r>
      <w:r w:rsidR="00F3394A" w:rsidRPr="003478AF">
        <w:rPr>
          <w:rFonts w:eastAsia="Arial" w:cs="Arial"/>
          <w:szCs w:val="20"/>
        </w:rPr>
        <w:t>/mln zł w 2010 roku do 6,54 dam</w:t>
      </w:r>
      <w:r w:rsidR="00F3394A" w:rsidRPr="003478AF">
        <w:rPr>
          <w:rFonts w:eastAsia="Arial" w:cs="Arial"/>
          <w:szCs w:val="20"/>
          <w:vertAlign w:val="superscript"/>
        </w:rPr>
        <w:t>3</w:t>
      </w:r>
      <w:r w:rsidR="00F3394A" w:rsidRPr="003478AF">
        <w:rPr>
          <w:rFonts w:eastAsia="Arial" w:cs="Arial"/>
          <w:szCs w:val="20"/>
        </w:rPr>
        <w:t>/mln zł w 2018 roku (</w:t>
      </w:r>
      <w:r w:rsidR="00381971" w:rsidRPr="003478AF">
        <w:rPr>
          <w:rFonts w:eastAsia="Arial" w:cs="Arial"/>
          <w:szCs w:val="20"/>
        </w:rPr>
        <w:t>ryc.</w:t>
      </w:r>
      <w:r w:rsidR="00F3394A" w:rsidRPr="003478AF">
        <w:rPr>
          <w:rFonts w:eastAsia="Arial" w:cs="Arial"/>
          <w:szCs w:val="20"/>
        </w:rPr>
        <w:t xml:space="preserve"> 8.</w:t>
      </w:r>
      <w:r w:rsidR="008E2B87" w:rsidRPr="003478AF">
        <w:rPr>
          <w:rFonts w:eastAsia="Arial" w:cs="Arial"/>
          <w:szCs w:val="20"/>
        </w:rPr>
        <w:t>10</w:t>
      </w:r>
      <w:r w:rsidR="00F3394A" w:rsidRPr="003478AF">
        <w:rPr>
          <w:rFonts w:eastAsia="Arial" w:cs="Arial"/>
          <w:szCs w:val="20"/>
        </w:rPr>
        <w:t xml:space="preserve">). </w:t>
      </w:r>
      <w:r w:rsidR="00A3741B" w:rsidRPr="003478AF">
        <w:rPr>
          <w:rFonts w:eastAsia="Arial" w:cs="Arial"/>
          <w:szCs w:val="20"/>
        </w:rPr>
        <w:t>Najwyższa wodochłonność przemysłu występ</w:t>
      </w:r>
      <w:r w:rsidR="006C2B35" w:rsidRPr="003478AF">
        <w:rPr>
          <w:rFonts w:eastAsia="Arial" w:cs="Arial"/>
          <w:szCs w:val="20"/>
        </w:rPr>
        <w:t>owała</w:t>
      </w:r>
      <w:r w:rsidR="00A3741B" w:rsidRPr="003478AF">
        <w:rPr>
          <w:rFonts w:eastAsia="Arial" w:cs="Arial"/>
          <w:szCs w:val="20"/>
        </w:rPr>
        <w:t xml:space="preserve"> </w:t>
      </w:r>
      <w:r w:rsidR="00503CAB" w:rsidRPr="003478AF">
        <w:rPr>
          <w:rFonts w:eastAsia="Arial" w:cs="Arial"/>
          <w:szCs w:val="20"/>
        </w:rPr>
        <w:br/>
      </w:r>
      <w:r w:rsidR="00A3741B" w:rsidRPr="003478AF">
        <w:rPr>
          <w:rFonts w:eastAsia="Arial" w:cs="Arial"/>
          <w:szCs w:val="20"/>
        </w:rPr>
        <w:t>w powi</w:t>
      </w:r>
      <w:r w:rsidR="00655164" w:rsidRPr="003478AF">
        <w:rPr>
          <w:rFonts w:eastAsia="Arial" w:cs="Arial"/>
          <w:szCs w:val="20"/>
        </w:rPr>
        <w:t>e</w:t>
      </w:r>
      <w:r w:rsidR="00A3741B" w:rsidRPr="003478AF">
        <w:rPr>
          <w:rFonts w:eastAsia="Arial" w:cs="Arial"/>
          <w:szCs w:val="20"/>
        </w:rPr>
        <w:t>cie m. Konin – 303,53 dam</w:t>
      </w:r>
      <w:r w:rsidR="00A3741B" w:rsidRPr="003478AF">
        <w:rPr>
          <w:rFonts w:eastAsia="Arial" w:cs="Arial"/>
          <w:szCs w:val="20"/>
          <w:vertAlign w:val="superscript"/>
        </w:rPr>
        <w:t>3</w:t>
      </w:r>
      <w:r w:rsidR="00A3741B" w:rsidRPr="003478AF">
        <w:rPr>
          <w:rFonts w:eastAsia="Arial" w:cs="Arial"/>
          <w:szCs w:val="20"/>
        </w:rPr>
        <w:t>/mln zł</w:t>
      </w:r>
      <w:r w:rsidR="00655164" w:rsidRPr="003478AF">
        <w:rPr>
          <w:rFonts w:eastAsia="Arial" w:cs="Arial"/>
          <w:szCs w:val="20"/>
        </w:rPr>
        <w:t xml:space="preserve"> w 2019 roku</w:t>
      </w:r>
      <w:r w:rsidR="00D3317E" w:rsidRPr="003478AF">
        <w:rPr>
          <w:rFonts w:eastAsia="Arial" w:cs="Arial"/>
          <w:szCs w:val="20"/>
        </w:rPr>
        <w:t xml:space="preserve"> (</w:t>
      </w:r>
      <w:r w:rsidR="00381971" w:rsidRPr="003478AF">
        <w:rPr>
          <w:rFonts w:eastAsia="Arial" w:cs="Arial"/>
          <w:szCs w:val="20"/>
        </w:rPr>
        <w:t>ryc.</w:t>
      </w:r>
      <w:r w:rsidR="00D3317E" w:rsidRPr="003478AF">
        <w:rPr>
          <w:rFonts w:eastAsia="Arial" w:cs="Arial"/>
          <w:szCs w:val="20"/>
        </w:rPr>
        <w:t xml:space="preserve"> 8.8)</w:t>
      </w:r>
      <w:r w:rsidR="00A3741B" w:rsidRPr="003478AF">
        <w:rPr>
          <w:rFonts w:eastAsia="Arial" w:cs="Arial"/>
          <w:szCs w:val="20"/>
        </w:rPr>
        <w:t xml:space="preserve">. </w:t>
      </w:r>
      <w:r w:rsidR="00F3394A" w:rsidRPr="003478AF">
        <w:rPr>
          <w:rFonts w:eastAsia="Arial" w:cs="Arial"/>
          <w:szCs w:val="20"/>
        </w:rPr>
        <w:t>Wodochłonność gospodarstw domowych znajd</w:t>
      </w:r>
      <w:r w:rsidR="006C2B35" w:rsidRPr="003478AF">
        <w:rPr>
          <w:rFonts w:eastAsia="Arial" w:cs="Arial"/>
          <w:szCs w:val="20"/>
        </w:rPr>
        <w:t>owała</w:t>
      </w:r>
      <w:r w:rsidR="00F3394A" w:rsidRPr="003478AF">
        <w:rPr>
          <w:rFonts w:eastAsia="Arial" w:cs="Arial"/>
          <w:szCs w:val="20"/>
        </w:rPr>
        <w:t xml:space="preserve"> się na podobnym poziomie jak w </w:t>
      </w:r>
      <w:r w:rsidR="00655164" w:rsidRPr="003478AF">
        <w:rPr>
          <w:rFonts w:eastAsia="Arial" w:cs="Arial"/>
          <w:szCs w:val="20"/>
        </w:rPr>
        <w:t>Polsce</w:t>
      </w:r>
      <w:r w:rsidR="00F3394A" w:rsidRPr="003478AF">
        <w:rPr>
          <w:rFonts w:eastAsia="Arial" w:cs="Arial"/>
          <w:szCs w:val="20"/>
        </w:rPr>
        <w:t>, stopniowo malejąc z 3,12 dam</w:t>
      </w:r>
      <w:r w:rsidR="00F3394A" w:rsidRPr="003478AF">
        <w:rPr>
          <w:rFonts w:eastAsia="Arial" w:cs="Arial"/>
          <w:szCs w:val="20"/>
          <w:vertAlign w:val="superscript"/>
        </w:rPr>
        <w:t>3</w:t>
      </w:r>
      <w:r w:rsidR="00F3394A" w:rsidRPr="003478AF">
        <w:rPr>
          <w:rFonts w:eastAsia="Arial" w:cs="Arial"/>
          <w:szCs w:val="20"/>
        </w:rPr>
        <w:t>/mln zł do 2,53 dam</w:t>
      </w:r>
      <w:r w:rsidR="00F3394A" w:rsidRPr="003478AF">
        <w:rPr>
          <w:rFonts w:eastAsia="Arial" w:cs="Arial"/>
          <w:szCs w:val="20"/>
          <w:vertAlign w:val="superscript"/>
        </w:rPr>
        <w:t>3</w:t>
      </w:r>
      <w:r w:rsidR="00F3394A" w:rsidRPr="003478AF">
        <w:rPr>
          <w:rFonts w:eastAsia="Arial" w:cs="Arial"/>
          <w:szCs w:val="20"/>
        </w:rPr>
        <w:t xml:space="preserve">/mln zł </w:t>
      </w:r>
      <w:r w:rsidR="006C2B35" w:rsidRPr="003478AF">
        <w:rPr>
          <w:rFonts w:eastAsia="Arial" w:cs="Arial"/>
          <w:szCs w:val="20"/>
        </w:rPr>
        <w:t xml:space="preserve">w latach 2010-2018 </w:t>
      </w:r>
      <w:r w:rsidR="00F3394A" w:rsidRPr="003478AF">
        <w:rPr>
          <w:rFonts w:eastAsia="Arial" w:cs="Arial"/>
          <w:szCs w:val="20"/>
        </w:rPr>
        <w:t>(</w:t>
      </w:r>
      <w:r w:rsidR="00381971" w:rsidRPr="003478AF">
        <w:rPr>
          <w:rFonts w:eastAsia="Arial" w:cs="Arial"/>
          <w:szCs w:val="20"/>
        </w:rPr>
        <w:t>ryc.</w:t>
      </w:r>
      <w:r w:rsidR="00F3394A" w:rsidRPr="003478AF">
        <w:rPr>
          <w:rFonts w:eastAsia="Arial" w:cs="Arial"/>
          <w:szCs w:val="20"/>
        </w:rPr>
        <w:t xml:space="preserve"> 8.1</w:t>
      </w:r>
      <w:r w:rsidR="008E2B87" w:rsidRPr="003478AF">
        <w:rPr>
          <w:rFonts w:eastAsia="Arial" w:cs="Arial"/>
          <w:szCs w:val="20"/>
        </w:rPr>
        <w:t>1</w:t>
      </w:r>
      <w:r w:rsidR="00F3394A" w:rsidRPr="003478AF">
        <w:rPr>
          <w:rFonts w:eastAsia="Arial" w:cs="Arial"/>
          <w:szCs w:val="20"/>
        </w:rPr>
        <w:t>)</w:t>
      </w:r>
      <w:r w:rsidR="001116C7" w:rsidRPr="003478AF">
        <w:rPr>
          <w:rFonts w:eastAsia="Arial" w:cs="Arial"/>
          <w:szCs w:val="20"/>
        </w:rPr>
        <w:t xml:space="preserve">, a </w:t>
      </w:r>
      <w:r w:rsidR="00655164" w:rsidRPr="003478AF">
        <w:rPr>
          <w:rFonts w:eastAsia="Arial" w:cs="Arial"/>
          <w:szCs w:val="20"/>
        </w:rPr>
        <w:t xml:space="preserve">w kraju </w:t>
      </w:r>
      <w:r w:rsidR="001116C7" w:rsidRPr="003478AF">
        <w:rPr>
          <w:rFonts w:eastAsia="Arial" w:cs="Arial"/>
          <w:szCs w:val="20"/>
        </w:rPr>
        <w:t>z 3,14 do 2,45 dam</w:t>
      </w:r>
      <w:r w:rsidR="001116C7" w:rsidRPr="003478AF">
        <w:rPr>
          <w:rFonts w:eastAsia="Arial" w:cs="Arial"/>
          <w:szCs w:val="20"/>
          <w:vertAlign w:val="superscript"/>
        </w:rPr>
        <w:t>3</w:t>
      </w:r>
      <w:r w:rsidR="001116C7" w:rsidRPr="003478AF">
        <w:rPr>
          <w:rFonts w:eastAsia="Arial" w:cs="Arial"/>
          <w:szCs w:val="20"/>
        </w:rPr>
        <w:t>/mln zł.</w:t>
      </w:r>
    </w:p>
    <w:p w14:paraId="00FE03CE" w14:textId="77777777" w:rsidR="00F3394A" w:rsidRPr="003478AF" w:rsidRDefault="00F3394A" w:rsidP="00F3394A">
      <w:pPr>
        <w:rPr>
          <w:rFonts w:eastAsia="Arial" w:cs="Arial"/>
          <w:szCs w:val="20"/>
        </w:rPr>
      </w:pPr>
    </w:p>
    <w:p w14:paraId="2BE4B467" w14:textId="684C4DBD" w:rsidR="00F3394A" w:rsidRPr="003478AF" w:rsidRDefault="00F3394A" w:rsidP="00986D40">
      <w:pPr>
        <w:pStyle w:val="ARYCINA"/>
      </w:pPr>
      <w:r w:rsidRPr="003478AF">
        <w:t>Ryc. 8.</w:t>
      </w:r>
      <w:r w:rsidR="00C329EF" w:rsidRPr="003478AF">
        <w:t>6</w:t>
      </w:r>
      <w:r w:rsidRPr="003478AF">
        <w:t xml:space="preserve"> Wodochłonność przemysłu (dam</w:t>
      </w:r>
      <w:r w:rsidRPr="003478AF">
        <w:rPr>
          <w:vertAlign w:val="superscript"/>
        </w:rPr>
        <w:t>3</w:t>
      </w:r>
      <w:r w:rsidRPr="003478AF">
        <w:t>/mln zł) w Polsce w latach 2010-2019</w:t>
      </w:r>
    </w:p>
    <w:p w14:paraId="7FE9A097" w14:textId="5D717653" w:rsidR="00F3394A" w:rsidRPr="003478AF" w:rsidRDefault="00F3394A" w:rsidP="00986D40">
      <w:pPr>
        <w:pStyle w:val="AZRODLO"/>
      </w:pPr>
      <w:r w:rsidRPr="003478AF">
        <w:rPr>
          <w:noProof/>
          <w:lang w:eastAsia="pl-PL"/>
        </w:rPr>
        <w:drawing>
          <wp:inline distT="0" distB="0" distL="0" distR="0" wp14:anchorId="7A72A35D" wp14:editId="7029675B">
            <wp:extent cx="4896000" cy="2810514"/>
            <wp:effectExtent l="0" t="0" r="0" b="8890"/>
            <wp:docPr id="22" name="Obraz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4896000" cy="2810514"/>
                    </a:xfrm>
                    <a:prstGeom prst="rect">
                      <a:avLst/>
                    </a:prstGeom>
                    <a:noFill/>
                  </pic:spPr>
                </pic:pic>
              </a:graphicData>
            </a:graphic>
          </wp:inline>
        </w:drawing>
      </w:r>
    </w:p>
    <w:p w14:paraId="40C2D002" w14:textId="547C2549" w:rsidR="00F3394A" w:rsidRPr="003478AF" w:rsidRDefault="00F3394A" w:rsidP="00986D40">
      <w:pPr>
        <w:pStyle w:val="AZRODLO"/>
      </w:pPr>
      <w:r w:rsidRPr="003478AF">
        <w:t>Źródło: Opracowanie własne na podstawie danych BDL</w:t>
      </w:r>
    </w:p>
    <w:p w14:paraId="0CB2A470" w14:textId="77777777" w:rsidR="00F3394A" w:rsidRPr="003478AF" w:rsidRDefault="00F3394A" w:rsidP="00F3394A">
      <w:pPr>
        <w:ind w:firstLine="0"/>
      </w:pPr>
    </w:p>
    <w:p w14:paraId="788795EF" w14:textId="77777777" w:rsidR="00B518C8" w:rsidRPr="003478AF" w:rsidRDefault="00B518C8">
      <w:pPr>
        <w:spacing w:line="240" w:lineRule="auto"/>
        <w:ind w:firstLine="0"/>
        <w:jc w:val="left"/>
        <w:rPr>
          <w:rFonts w:eastAsia="Arial" w:cs="Arial"/>
          <w:b/>
          <w:bCs/>
          <w:sz w:val="16"/>
          <w:szCs w:val="16"/>
        </w:rPr>
      </w:pPr>
      <w:r w:rsidRPr="003478AF">
        <w:br w:type="page"/>
      </w:r>
    </w:p>
    <w:p w14:paraId="3C5B09A5" w14:textId="734E3496" w:rsidR="00F3394A" w:rsidRPr="003478AF" w:rsidRDefault="00F3394A" w:rsidP="00986D40">
      <w:pPr>
        <w:pStyle w:val="ARYCINA"/>
      </w:pPr>
      <w:r w:rsidRPr="003478AF">
        <w:lastRenderedPageBreak/>
        <w:t>Ryc. 8.</w:t>
      </w:r>
      <w:r w:rsidR="00C329EF" w:rsidRPr="003478AF">
        <w:t>7</w:t>
      </w:r>
      <w:r w:rsidRPr="003478AF">
        <w:t xml:space="preserve"> Wodochłonność przemysłu (dam</w:t>
      </w:r>
      <w:r w:rsidRPr="003478AF">
        <w:rPr>
          <w:vertAlign w:val="superscript"/>
        </w:rPr>
        <w:t>3</w:t>
      </w:r>
      <w:r w:rsidRPr="003478AF">
        <w:t xml:space="preserve">/mln zł) </w:t>
      </w:r>
      <w:r w:rsidR="00092276" w:rsidRPr="003478AF">
        <w:t xml:space="preserve">w województwie wielkopolskim </w:t>
      </w:r>
      <w:r w:rsidRPr="003478AF">
        <w:t>w latach 2010-2019</w:t>
      </w:r>
    </w:p>
    <w:p w14:paraId="53C435E2" w14:textId="0DE833F9" w:rsidR="00F3394A" w:rsidRPr="003478AF" w:rsidRDefault="0026127F" w:rsidP="006021D5">
      <w:pPr>
        <w:ind w:firstLine="0"/>
        <w:jc w:val="center"/>
        <w:rPr>
          <w:rFonts w:eastAsia="Arial" w:cs="Arial"/>
          <w:noProof/>
          <w:szCs w:val="20"/>
        </w:rPr>
      </w:pPr>
      <w:r w:rsidRPr="003478AF">
        <w:rPr>
          <w:rFonts w:eastAsia="Arial" w:cs="Arial"/>
          <w:noProof/>
          <w:szCs w:val="20"/>
          <w:lang w:eastAsia="pl-PL"/>
        </w:rPr>
        <w:drawing>
          <wp:inline distT="0" distB="0" distL="0" distR="0" wp14:anchorId="6FE706A1" wp14:editId="56E02C5D">
            <wp:extent cx="4536000" cy="2803550"/>
            <wp:effectExtent l="19050" t="19050" r="17145" b="15875"/>
            <wp:docPr id="155" name="Obraz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4536000" cy="2803550"/>
                    </a:xfrm>
                    <a:prstGeom prst="rect">
                      <a:avLst/>
                    </a:prstGeom>
                    <a:noFill/>
                    <a:ln>
                      <a:solidFill>
                        <a:schemeClr val="bg2"/>
                      </a:solidFill>
                    </a:ln>
                  </pic:spPr>
                </pic:pic>
              </a:graphicData>
            </a:graphic>
          </wp:inline>
        </w:drawing>
      </w:r>
    </w:p>
    <w:p w14:paraId="179E6EEA" w14:textId="39AF4B18" w:rsidR="00F3394A" w:rsidRPr="003478AF" w:rsidRDefault="00F3394A" w:rsidP="00986D40">
      <w:pPr>
        <w:pStyle w:val="AZRODLO"/>
      </w:pPr>
      <w:r w:rsidRPr="003478AF">
        <w:t>Źródło: Opracowanie własne na podstawie danych BDL</w:t>
      </w:r>
    </w:p>
    <w:p w14:paraId="479A547F" w14:textId="77777777" w:rsidR="00A3741B" w:rsidRPr="003478AF" w:rsidRDefault="00A3741B" w:rsidP="00007A3A"/>
    <w:p w14:paraId="3411B28B" w14:textId="6C7ABA9B" w:rsidR="00F3394A" w:rsidRPr="003478AF" w:rsidRDefault="00A3741B" w:rsidP="00986D40">
      <w:pPr>
        <w:pStyle w:val="ARYCINA"/>
      </w:pPr>
      <w:r w:rsidRPr="003478AF">
        <w:t>Ryc. 8.8 Wodochłonność przemysłu (dam</w:t>
      </w:r>
      <w:r w:rsidRPr="003478AF">
        <w:rPr>
          <w:vertAlign w:val="superscript"/>
        </w:rPr>
        <w:t>3</w:t>
      </w:r>
      <w:r w:rsidRPr="003478AF">
        <w:t xml:space="preserve">/mln zł) </w:t>
      </w:r>
      <w:r w:rsidR="00092276" w:rsidRPr="003478AF">
        <w:t xml:space="preserve">w województwie wielkopolskim </w:t>
      </w:r>
      <w:r w:rsidRPr="003478AF">
        <w:t>2019</w:t>
      </w:r>
      <w:r w:rsidR="003672A1" w:rsidRPr="003478AF">
        <w:t xml:space="preserve"> roku</w:t>
      </w:r>
    </w:p>
    <w:p w14:paraId="6525015F" w14:textId="2ED37045" w:rsidR="008E745C" w:rsidRPr="003478AF" w:rsidRDefault="008E745C" w:rsidP="00986D40">
      <w:pPr>
        <w:pStyle w:val="AZRODLO"/>
      </w:pPr>
      <w:r w:rsidRPr="003478AF">
        <w:rPr>
          <w:noProof/>
          <w:lang w:eastAsia="pl-PL"/>
        </w:rPr>
        <w:drawing>
          <wp:inline distT="0" distB="0" distL="0" distR="0" wp14:anchorId="2E53BD89" wp14:editId="0DD45456">
            <wp:extent cx="3240000" cy="4021579"/>
            <wp:effectExtent l="0" t="0" r="0" b="0"/>
            <wp:docPr id="54" name="Obraz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3240000" cy="4021579"/>
                    </a:xfrm>
                    <a:prstGeom prst="rect">
                      <a:avLst/>
                    </a:prstGeom>
                    <a:noFill/>
                    <a:ln>
                      <a:noFill/>
                    </a:ln>
                  </pic:spPr>
                </pic:pic>
              </a:graphicData>
            </a:graphic>
          </wp:inline>
        </w:drawing>
      </w:r>
    </w:p>
    <w:p w14:paraId="66A0D99F" w14:textId="4E5AFC23" w:rsidR="00131D31" w:rsidRPr="003478AF" w:rsidRDefault="008E745C" w:rsidP="00986D40">
      <w:pPr>
        <w:pStyle w:val="AZRODLO"/>
      </w:pPr>
      <w:r w:rsidRPr="003478AF">
        <w:t>Źródło: Opracowanie własne na podstawie danych BDL</w:t>
      </w:r>
      <w:r w:rsidR="00131D31" w:rsidRPr="003478AF">
        <w:br w:type="page"/>
      </w:r>
    </w:p>
    <w:p w14:paraId="40461D62" w14:textId="6DDBD01D" w:rsidR="00B518C8" w:rsidRPr="003478AF" w:rsidRDefault="00F3394A" w:rsidP="00986D40">
      <w:pPr>
        <w:pStyle w:val="ARYCINA"/>
      </w:pPr>
      <w:r w:rsidRPr="003478AF">
        <w:lastRenderedPageBreak/>
        <w:t>Ryc. 8.</w:t>
      </w:r>
      <w:r w:rsidR="00A3741B" w:rsidRPr="003478AF">
        <w:t>9</w:t>
      </w:r>
      <w:r w:rsidRPr="003478AF">
        <w:t xml:space="preserve"> Wodochłonność gospodarki (dam</w:t>
      </w:r>
      <w:r w:rsidRPr="003478AF">
        <w:rPr>
          <w:vertAlign w:val="superscript"/>
        </w:rPr>
        <w:t>3</w:t>
      </w:r>
      <w:r w:rsidRPr="003478AF">
        <w:t xml:space="preserve">/mln zł) </w:t>
      </w:r>
      <w:r w:rsidR="0038370F" w:rsidRPr="003478AF">
        <w:t xml:space="preserve">w Polsce </w:t>
      </w:r>
      <w:r w:rsidRPr="003478AF">
        <w:t>w latach 2010-2019</w:t>
      </w:r>
    </w:p>
    <w:p w14:paraId="33C9ABD3" w14:textId="567835E9" w:rsidR="00F3394A" w:rsidRPr="003478AF" w:rsidRDefault="00F3394A" w:rsidP="00986D40">
      <w:pPr>
        <w:pStyle w:val="ARYCINA"/>
      </w:pPr>
      <w:r w:rsidRPr="003478AF">
        <w:rPr>
          <w:noProof/>
          <w:lang w:eastAsia="pl-PL"/>
        </w:rPr>
        <w:drawing>
          <wp:inline distT="0" distB="0" distL="0" distR="0" wp14:anchorId="439145DA" wp14:editId="755C9BFC">
            <wp:extent cx="4896000" cy="3060000"/>
            <wp:effectExtent l="0" t="0" r="0" b="7620"/>
            <wp:docPr id="33" name="Wykres 33">
              <a:extLst xmlns:a="http://schemas.openxmlformats.org/drawingml/2006/main">
                <a:ext uri="{FF2B5EF4-FFF2-40B4-BE49-F238E27FC236}">
                  <a16:creationId xmlns:a16="http://schemas.microsoft.com/office/drawing/2014/main" id="{E581CE93-321D-4E4D-B710-7FEDC82FCEC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7"/>
              </a:graphicData>
            </a:graphic>
          </wp:inline>
        </w:drawing>
      </w:r>
    </w:p>
    <w:p w14:paraId="5AD18A87" w14:textId="0AA3F127" w:rsidR="00F3394A" w:rsidRPr="003478AF" w:rsidRDefault="00F3394A" w:rsidP="00986D40">
      <w:pPr>
        <w:pStyle w:val="AZRODLO"/>
      </w:pPr>
      <w:r w:rsidRPr="003478AF">
        <w:t>Źródło: Opracowanie własne na podstawie danych BDL</w:t>
      </w:r>
    </w:p>
    <w:p w14:paraId="39418B02" w14:textId="30212753" w:rsidR="00B518C8" w:rsidRPr="003478AF" w:rsidRDefault="00B518C8" w:rsidP="00007A3A"/>
    <w:p w14:paraId="58A8F5B8" w14:textId="4E670EFA" w:rsidR="00F3394A" w:rsidRPr="003478AF" w:rsidRDefault="00F3394A" w:rsidP="00986D40">
      <w:pPr>
        <w:pStyle w:val="ARYCINA"/>
      </w:pPr>
      <w:r w:rsidRPr="003478AF">
        <w:t>Ryc. 8.</w:t>
      </w:r>
      <w:r w:rsidR="008E2B87" w:rsidRPr="003478AF">
        <w:t>10</w:t>
      </w:r>
      <w:r w:rsidRPr="003478AF">
        <w:t xml:space="preserve"> Wodochłonność gospodarki (dam</w:t>
      </w:r>
      <w:r w:rsidRPr="003478AF">
        <w:rPr>
          <w:vertAlign w:val="superscript"/>
        </w:rPr>
        <w:t>3</w:t>
      </w:r>
      <w:r w:rsidRPr="003478AF">
        <w:t xml:space="preserve">/mln zł) </w:t>
      </w:r>
      <w:r w:rsidR="00092276" w:rsidRPr="003478AF">
        <w:t xml:space="preserve">w województwie wielkopolskim </w:t>
      </w:r>
      <w:r w:rsidRPr="003478AF">
        <w:t>w latach 2010-2018</w:t>
      </w:r>
    </w:p>
    <w:p w14:paraId="64E76DFB" w14:textId="201E84A4" w:rsidR="00F3394A" w:rsidRPr="003478AF" w:rsidRDefault="00F3394A" w:rsidP="006021D5">
      <w:pPr>
        <w:spacing w:line="240" w:lineRule="auto"/>
        <w:ind w:firstLine="0"/>
        <w:jc w:val="center"/>
        <w:rPr>
          <w:noProof/>
        </w:rPr>
      </w:pPr>
      <w:r w:rsidRPr="003478AF">
        <w:rPr>
          <w:noProof/>
          <w:lang w:eastAsia="pl-PL"/>
        </w:rPr>
        <w:drawing>
          <wp:inline distT="0" distB="0" distL="0" distR="0" wp14:anchorId="03DFCE3F" wp14:editId="32B514BC">
            <wp:extent cx="4896000" cy="3060000"/>
            <wp:effectExtent l="0" t="0" r="0" b="7620"/>
            <wp:docPr id="43" name="Wykres 43">
              <a:extLst xmlns:a="http://schemas.openxmlformats.org/drawingml/2006/main">
                <a:ext uri="{FF2B5EF4-FFF2-40B4-BE49-F238E27FC236}">
                  <a16:creationId xmlns:a16="http://schemas.microsoft.com/office/drawing/2014/main" id="{CA2397B2-17C4-4EDC-AC2C-9F61464606E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8"/>
              </a:graphicData>
            </a:graphic>
          </wp:inline>
        </w:drawing>
      </w:r>
    </w:p>
    <w:p w14:paraId="1D7323BB" w14:textId="0C6914BE" w:rsidR="00F3394A" w:rsidRPr="003478AF" w:rsidRDefault="00F3394A" w:rsidP="00986D40">
      <w:pPr>
        <w:pStyle w:val="AZRODLO"/>
      </w:pPr>
      <w:r w:rsidRPr="003478AF">
        <w:t>Źródło: Opracowanie własne na podstawie danych BDL</w:t>
      </w:r>
    </w:p>
    <w:p w14:paraId="364D724C" w14:textId="2CA496F2" w:rsidR="00483FAF" w:rsidRPr="003478AF" w:rsidRDefault="00483FAF">
      <w:pPr>
        <w:spacing w:line="240" w:lineRule="auto"/>
        <w:ind w:firstLine="0"/>
        <w:jc w:val="left"/>
        <w:rPr>
          <w:rFonts w:eastAsia="Arial" w:cs="Arial"/>
          <w:bCs/>
          <w:sz w:val="16"/>
          <w:szCs w:val="16"/>
        </w:rPr>
      </w:pPr>
      <w:r w:rsidRPr="003478AF">
        <w:br w:type="page"/>
      </w:r>
    </w:p>
    <w:p w14:paraId="44D158D4" w14:textId="3F1EA1B6" w:rsidR="00F3394A" w:rsidRPr="003478AF" w:rsidRDefault="00F3394A" w:rsidP="00986D40">
      <w:pPr>
        <w:pStyle w:val="ARYCINA"/>
      </w:pPr>
      <w:r w:rsidRPr="003478AF">
        <w:lastRenderedPageBreak/>
        <w:t>Ryc. 8.1</w:t>
      </w:r>
      <w:r w:rsidR="008E2B87" w:rsidRPr="003478AF">
        <w:t>1</w:t>
      </w:r>
      <w:r w:rsidRPr="003478AF">
        <w:t xml:space="preserve"> Wodochłonność gospodarstw domowych (dam</w:t>
      </w:r>
      <w:r w:rsidRPr="003478AF">
        <w:rPr>
          <w:vertAlign w:val="superscript"/>
        </w:rPr>
        <w:t>3</w:t>
      </w:r>
      <w:r w:rsidRPr="003478AF">
        <w:t xml:space="preserve">/mln zł) </w:t>
      </w:r>
      <w:r w:rsidR="0038370F" w:rsidRPr="003478AF">
        <w:t xml:space="preserve">w Polsce </w:t>
      </w:r>
      <w:r w:rsidR="009605E0" w:rsidRPr="003478AF">
        <w:br/>
      </w:r>
      <w:r w:rsidR="0038370F" w:rsidRPr="003478AF">
        <w:t xml:space="preserve">i </w:t>
      </w:r>
      <w:r w:rsidR="00092276" w:rsidRPr="003478AF">
        <w:t>województwie wielkopolskim</w:t>
      </w:r>
      <w:r w:rsidR="0038370F" w:rsidRPr="003478AF">
        <w:t xml:space="preserve"> </w:t>
      </w:r>
      <w:r w:rsidR="009605E0" w:rsidRPr="003478AF">
        <w:t xml:space="preserve">w </w:t>
      </w:r>
      <w:r w:rsidRPr="003478AF">
        <w:t>latach 2010-2018</w:t>
      </w:r>
    </w:p>
    <w:p w14:paraId="59B40FA4" w14:textId="77777777" w:rsidR="00F3394A" w:rsidRPr="003478AF" w:rsidRDefault="00F3394A" w:rsidP="006021D5">
      <w:pPr>
        <w:ind w:firstLine="0"/>
        <w:jc w:val="center"/>
        <w:rPr>
          <w:rFonts w:eastAsia="Arial" w:cs="Arial"/>
          <w:szCs w:val="20"/>
        </w:rPr>
      </w:pPr>
      <w:r w:rsidRPr="003478AF">
        <w:rPr>
          <w:noProof/>
          <w:lang w:eastAsia="pl-PL"/>
        </w:rPr>
        <w:drawing>
          <wp:inline distT="0" distB="0" distL="0" distR="0" wp14:anchorId="358E5977" wp14:editId="2BB4E299">
            <wp:extent cx="5256000" cy="3060000"/>
            <wp:effectExtent l="0" t="0" r="1905" b="7620"/>
            <wp:docPr id="45" name="Wykres 45">
              <a:extLst xmlns:a="http://schemas.openxmlformats.org/drawingml/2006/main">
                <a:ext uri="{FF2B5EF4-FFF2-40B4-BE49-F238E27FC236}">
                  <a16:creationId xmlns:a16="http://schemas.microsoft.com/office/drawing/2014/main" id="{7172B2C9-1BA4-48AA-893A-609D2F32648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9"/>
              </a:graphicData>
            </a:graphic>
          </wp:inline>
        </w:drawing>
      </w:r>
    </w:p>
    <w:p w14:paraId="6BC8EEF3" w14:textId="7F39B045" w:rsidR="00F3394A" w:rsidRPr="003478AF" w:rsidRDefault="00F3394A" w:rsidP="00986D40">
      <w:pPr>
        <w:pStyle w:val="AZRODLO"/>
      </w:pPr>
      <w:r w:rsidRPr="003478AF">
        <w:t>Źródło: Opracowanie własne na podstawie danych BDL</w:t>
      </w:r>
    </w:p>
    <w:p w14:paraId="6287DC7F" w14:textId="65C23487" w:rsidR="00B518C8" w:rsidRPr="003478AF" w:rsidRDefault="00B518C8" w:rsidP="00007A3A"/>
    <w:p w14:paraId="1C3CF94C" w14:textId="44C0E706" w:rsidR="0014374E" w:rsidRPr="003478AF" w:rsidRDefault="0014374E" w:rsidP="0014374E">
      <w:pPr>
        <w:ind w:firstLine="0"/>
        <w:rPr>
          <w:rFonts w:eastAsia="Arial" w:cs="Arial"/>
          <w:b/>
          <w:bCs/>
          <w:szCs w:val="20"/>
        </w:rPr>
      </w:pPr>
      <w:r w:rsidRPr="003478AF">
        <w:rPr>
          <w:rFonts w:eastAsia="Arial" w:cs="Arial"/>
          <w:b/>
          <w:bCs/>
          <w:szCs w:val="20"/>
        </w:rPr>
        <w:t>Ścieki przemysłowe</w:t>
      </w:r>
    </w:p>
    <w:p w14:paraId="001BEF12" w14:textId="7E247536" w:rsidR="0038005C" w:rsidRPr="003478AF" w:rsidRDefault="00336483" w:rsidP="00336483">
      <w:pPr>
        <w:rPr>
          <w:rFonts w:eastAsia="Arial" w:cs="Arial"/>
          <w:szCs w:val="20"/>
        </w:rPr>
      </w:pPr>
      <w:r w:rsidRPr="003478AF">
        <w:rPr>
          <w:rFonts w:eastAsia="Arial" w:cs="Arial"/>
          <w:szCs w:val="20"/>
        </w:rPr>
        <w:t xml:space="preserve">Kolejne wskaźniki związane są z gospodarką ściekową: </w:t>
      </w:r>
      <w:r w:rsidR="00716F09" w:rsidRPr="003478AF">
        <w:rPr>
          <w:rFonts w:eastAsia="Arial" w:cs="Arial"/>
          <w:szCs w:val="20"/>
        </w:rPr>
        <w:t>ścieki przemysłowe odprowadzone w ciągu roku</w:t>
      </w:r>
      <w:r w:rsidR="00C329EF" w:rsidRPr="003478AF">
        <w:rPr>
          <w:rFonts w:eastAsia="Arial" w:cs="Arial"/>
          <w:szCs w:val="20"/>
        </w:rPr>
        <w:t xml:space="preserve"> (</w:t>
      </w:r>
      <w:r w:rsidR="00381971" w:rsidRPr="003478AF">
        <w:rPr>
          <w:rFonts w:eastAsia="Arial" w:cs="Arial"/>
          <w:szCs w:val="20"/>
        </w:rPr>
        <w:t>ryc.</w:t>
      </w:r>
      <w:r w:rsidR="00C329EF" w:rsidRPr="003478AF">
        <w:rPr>
          <w:rFonts w:eastAsia="Arial" w:cs="Arial"/>
          <w:szCs w:val="20"/>
        </w:rPr>
        <w:t xml:space="preserve"> 8.1</w:t>
      </w:r>
      <w:r w:rsidR="008E2B87" w:rsidRPr="003478AF">
        <w:rPr>
          <w:rFonts w:eastAsia="Arial" w:cs="Arial"/>
          <w:szCs w:val="20"/>
        </w:rPr>
        <w:t>2</w:t>
      </w:r>
      <w:r w:rsidR="005F0850" w:rsidRPr="003478AF">
        <w:rPr>
          <w:rFonts w:eastAsia="Arial" w:cs="Arial"/>
          <w:szCs w:val="20"/>
        </w:rPr>
        <w:t xml:space="preserve"> – </w:t>
      </w:r>
      <w:r w:rsidR="00C329EF" w:rsidRPr="003478AF">
        <w:rPr>
          <w:rFonts w:eastAsia="Arial" w:cs="Arial"/>
          <w:szCs w:val="20"/>
        </w:rPr>
        <w:t>8.1</w:t>
      </w:r>
      <w:r w:rsidR="008E2B87" w:rsidRPr="003478AF">
        <w:rPr>
          <w:rFonts w:eastAsia="Arial" w:cs="Arial"/>
          <w:szCs w:val="20"/>
        </w:rPr>
        <w:t>4</w:t>
      </w:r>
      <w:r w:rsidR="00C329EF" w:rsidRPr="003478AF">
        <w:rPr>
          <w:rFonts w:eastAsia="Arial" w:cs="Arial"/>
          <w:szCs w:val="20"/>
        </w:rPr>
        <w:t>)</w:t>
      </w:r>
      <w:r w:rsidR="0014428F" w:rsidRPr="003478AF">
        <w:rPr>
          <w:rFonts w:eastAsia="Arial" w:cs="Arial"/>
          <w:szCs w:val="20"/>
        </w:rPr>
        <w:t xml:space="preserve"> i </w:t>
      </w:r>
      <w:r w:rsidRPr="003478AF">
        <w:rPr>
          <w:rFonts w:eastAsia="Arial" w:cs="Arial"/>
          <w:szCs w:val="20"/>
        </w:rPr>
        <w:t>do sieci kanalizacyjnej</w:t>
      </w:r>
      <w:r w:rsidR="00C329EF" w:rsidRPr="003478AF">
        <w:rPr>
          <w:rFonts w:eastAsia="Arial" w:cs="Arial"/>
          <w:szCs w:val="20"/>
        </w:rPr>
        <w:t xml:space="preserve"> (</w:t>
      </w:r>
      <w:r w:rsidR="00381971" w:rsidRPr="003478AF">
        <w:rPr>
          <w:rFonts w:eastAsia="Arial" w:cs="Arial"/>
          <w:szCs w:val="20"/>
        </w:rPr>
        <w:t>ryc.</w:t>
      </w:r>
      <w:r w:rsidR="00C329EF" w:rsidRPr="003478AF">
        <w:rPr>
          <w:rFonts w:eastAsia="Arial" w:cs="Arial"/>
          <w:szCs w:val="20"/>
        </w:rPr>
        <w:t xml:space="preserve"> 8.1</w:t>
      </w:r>
      <w:r w:rsidR="008E2B87" w:rsidRPr="003478AF">
        <w:rPr>
          <w:rFonts w:eastAsia="Arial" w:cs="Arial"/>
          <w:szCs w:val="20"/>
        </w:rPr>
        <w:t>5</w:t>
      </w:r>
      <w:r w:rsidR="005F0850" w:rsidRPr="003478AF">
        <w:rPr>
          <w:rFonts w:eastAsia="Arial" w:cs="Arial"/>
          <w:szCs w:val="20"/>
        </w:rPr>
        <w:t xml:space="preserve"> – </w:t>
      </w:r>
      <w:r w:rsidR="00C329EF" w:rsidRPr="003478AF">
        <w:rPr>
          <w:rFonts w:eastAsia="Arial" w:cs="Arial"/>
          <w:szCs w:val="20"/>
        </w:rPr>
        <w:t>8.1</w:t>
      </w:r>
      <w:r w:rsidR="008E2B87" w:rsidRPr="003478AF">
        <w:rPr>
          <w:rFonts w:eastAsia="Arial" w:cs="Arial"/>
          <w:szCs w:val="20"/>
        </w:rPr>
        <w:t>7</w:t>
      </w:r>
      <w:r w:rsidR="00C329EF" w:rsidRPr="003478AF">
        <w:rPr>
          <w:rFonts w:eastAsia="Arial" w:cs="Arial"/>
          <w:szCs w:val="20"/>
        </w:rPr>
        <w:t>)</w:t>
      </w:r>
      <w:r w:rsidRPr="003478AF">
        <w:rPr>
          <w:rFonts w:eastAsia="Arial" w:cs="Arial"/>
          <w:szCs w:val="20"/>
        </w:rPr>
        <w:t xml:space="preserve"> </w:t>
      </w:r>
      <w:r w:rsidR="0014428F" w:rsidRPr="003478AF">
        <w:rPr>
          <w:rFonts w:eastAsia="Arial" w:cs="Arial"/>
          <w:szCs w:val="20"/>
        </w:rPr>
        <w:t>oraz</w:t>
      </w:r>
      <w:r w:rsidR="00716F09" w:rsidRPr="003478AF">
        <w:rPr>
          <w:rFonts w:eastAsia="Arial" w:cs="Arial"/>
          <w:szCs w:val="20"/>
        </w:rPr>
        <w:t xml:space="preserve"> ścieki przemysłowe i komunalne wymagające oczyszczania odprowadzone do wód lub do ziemi w ciągu roku na 1 mieszkańca</w:t>
      </w:r>
      <w:r w:rsidR="00C329EF" w:rsidRPr="003478AF">
        <w:rPr>
          <w:rFonts w:eastAsia="Arial" w:cs="Arial"/>
          <w:szCs w:val="20"/>
        </w:rPr>
        <w:t xml:space="preserve"> </w:t>
      </w:r>
      <w:r w:rsidR="00CC15E9" w:rsidRPr="003478AF">
        <w:rPr>
          <w:rFonts w:eastAsia="Arial" w:cs="Arial"/>
          <w:szCs w:val="20"/>
        </w:rPr>
        <w:t>(</w:t>
      </w:r>
      <w:r w:rsidR="00381971" w:rsidRPr="003478AF">
        <w:rPr>
          <w:rFonts w:eastAsia="Arial" w:cs="Arial"/>
          <w:szCs w:val="20"/>
        </w:rPr>
        <w:t>ryc.</w:t>
      </w:r>
      <w:r w:rsidR="00C329EF" w:rsidRPr="003478AF">
        <w:rPr>
          <w:rFonts w:eastAsia="Arial" w:cs="Arial"/>
          <w:szCs w:val="20"/>
        </w:rPr>
        <w:t xml:space="preserve"> 8.1</w:t>
      </w:r>
      <w:r w:rsidR="008E2B87" w:rsidRPr="003478AF">
        <w:rPr>
          <w:rFonts w:eastAsia="Arial" w:cs="Arial"/>
          <w:szCs w:val="20"/>
        </w:rPr>
        <w:t>8</w:t>
      </w:r>
      <w:r w:rsidR="005F0850" w:rsidRPr="003478AF">
        <w:rPr>
          <w:rFonts w:eastAsia="Arial" w:cs="Arial"/>
          <w:szCs w:val="20"/>
        </w:rPr>
        <w:t xml:space="preserve"> – </w:t>
      </w:r>
      <w:r w:rsidR="00C329EF" w:rsidRPr="003478AF">
        <w:rPr>
          <w:rFonts w:eastAsia="Arial" w:cs="Arial"/>
          <w:szCs w:val="20"/>
        </w:rPr>
        <w:t>8.</w:t>
      </w:r>
      <w:r w:rsidR="008E2B87" w:rsidRPr="003478AF">
        <w:rPr>
          <w:rFonts w:eastAsia="Arial" w:cs="Arial"/>
          <w:szCs w:val="20"/>
        </w:rPr>
        <w:t>20</w:t>
      </w:r>
      <w:r w:rsidR="00C329EF" w:rsidRPr="003478AF">
        <w:rPr>
          <w:rFonts w:eastAsia="Arial" w:cs="Arial"/>
          <w:szCs w:val="20"/>
        </w:rPr>
        <w:t>)</w:t>
      </w:r>
      <w:r w:rsidRPr="003478AF">
        <w:rPr>
          <w:rFonts w:eastAsia="Arial" w:cs="Arial"/>
          <w:szCs w:val="20"/>
        </w:rPr>
        <w:t>.</w:t>
      </w:r>
      <w:r w:rsidR="005C6DD4" w:rsidRPr="003478AF">
        <w:rPr>
          <w:rFonts w:eastAsia="Arial" w:cs="Arial"/>
          <w:szCs w:val="20"/>
        </w:rPr>
        <w:t xml:space="preserve"> W </w:t>
      </w:r>
      <w:r w:rsidR="00C329EF" w:rsidRPr="003478AF">
        <w:rPr>
          <w:rFonts w:eastAsia="Arial" w:cs="Arial"/>
          <w:szCs w:val="20"/>
        </w:rPr>
        <w:t>Wielkop</w:t>
      </w:r>
      <w:r w:rsidR="005C6DD4" w:rsidRPr="003478AF">
        <w:rPr>
          <w:rFonts w:eastAsia="Arial" w:cs="Arial"/>
          <w:szCs w:val="20"/>
        </w:rPr>
        <w:t>olsce</w:t>
      </w:r>
      <w:r w:rsidR="000E4088" w:rsidRPr="003478AF">
        <w:rPr>
          <w:rFonts w:eastAsia="Arial" w:cs="Arial"/>
          <w:szCs w:val="20"/>
        </w:rPr>
        <w:t xml:space="preserve"> w</w:t>
      </w:r>
      <w:r w:rsidR="005C6DD4" w:rsidRPr="003478AF">
        <w:rPr>
          <w:rFonts w:eastAsia="Arial" w:cs="Arial"/>
          <w:szCs w:val="20"/>
        </w:rPr>
        <w:t xml:space="preserve"> latach 2010-20</w:t>
      </w:r>
      <w:r w:rsidR="00C329EF" w:rsidRPr="003478AF">
        <w:rPr>
          <w:rFonts w:eastAsia="Arial" w:cs="Arial"/>
          <w:szCs w:val="20"/>
        </w:rPr>
        <w:t>20</w:t>
      </w:r>
      <w:r w:rsidR="00A250C9" w:rsidRPr="003478AF">
        <w:rPr>
          <w:rFonts w:eastAsia="Arial" w:cs="Arial"/>
          <w:szCs w:val="20"/>
        </w:rPr>
        <w:t xml:space="preserve"> </w:t>
      </w:r>
      <w:r w:rsidR="00CC15E9" w:rsidRPr="003478AF">
        <w:rPr>
          <w:rFonts w:eastAsia="Arial" w:cs="Arial"/>
          <w:szCs w:val="20"/>
        </w:rPr>
        <w:t xml:space="preserve">wartość </w:t>
      </w:r>
      <w:r w:rsidR="00A250C9" w:rsidRPr="003478AF">
        <w:rPr>
          <w:rFonts w:eastAsia="Arial" w:cs="Arial"/>
          <w:szCs w:val="20"/>
        </w:rPr>
        <w:t>pierwsz</w:t>
      </w:r>
      <w:r w:rsidR="00CC15E9" w:rsidRPr="003478AF">
        <w:rPr>
          <w:rFonts w:eastAsia="Arial" w:cs="Arial"/>
          <w:szCs w:val="20"/>
        </w:rPr>
        <w:t>ego</w:t>
      </w:r>
      <w:r w:rsidR="00A250C9" w:rsidRPr="003478AF">
        <w:rPr>
          <w:rFonts w:eastAsia="Arial" w:cs="Arial"/>
          <w:szCs w:val="20"/>
        </w:rPr>
        <w:t xml:space="preserve"> ze wskaźników zmniejszył</w:t>
      </w:r>
      <w:r w:rsidR="00CC15E9" w:rsidRPr="003478AF">
        <w:rPr>
          <w:rFonts w:eastAsia="Arial" w:cs="Arial"/>
          <w:szCs w:val="20"/>
        </w:rPr>
        <w:t>a</w:t>
      </w:r>
      <w:r w:rsidR="00A250C9" w:rsidRPr="003478AF">
        <w:rPr>
          <w:rFonts w:eastAsia="Arial" w:cs="Arial"/>
          <w:szCs w:val="20"/>
        </w:rPr>
        <w:t xml:space="preserve"> się z</w:t>
      </w:r>
      <w:r w:rsidR="00716F09" w:rsidRPr="003478AF">
        <w:rPr>
          <w:rFonts w:eastAsia="Arial" w:cs="Arial"/>
          <w:szCs w:val="20"/>
        </w:rPr>
        <w:t xml:space="preserve"> 1,33</w:t>
      </w:r>
      <w:r w:rsidR="00CC15E9" w:rsidRPr="003478AF">
        <w:rPr>
          <w:rFonts w:eastAsia="Arial" w:cs="Arial"/>
          <w:szCs w:val="20"/>
        </w:rPr>
        <w:t xml:space="preserve"> mln dam</w:t>
      </w:r>
      <w:r w:rsidR="00CC15E9" w:rsidRPr="003478AF">
        <w:rPr>
          <w:rFonts w:eastAsia="Arial" w:cs="Arial"/>
          <w:szCs w:val="20"/>
          <w:vertAlign w:val="superscript"/>
        </w:rPr>
        <w:t>3</w:t>
      </w:r>
      <w:r w:rsidR="00716F09" w:rsidRPr="003478AF">
        <w:rPr>
          <w:rFonts w:eastAsia="Arial" w:cs="Arial"/>
          <w:szCs w:val="20"/>
        </w:rPr>
        <w:t xml:space="preserve"> do 1,07 mln dam</w:t>
      </w:r>
      <w:r w:rsidR="000E4088" w:rsidRPr="003478AF">
        <w:rPr>
          <w:rFonts w:eastAsia="Arial" w:cs="Arial"/>
          <w:szCs w:val="20"/>
          <w:vertAlign w:val="superscript"/>
        </w:rPr>
        <w:t>3</w:t>
      </w:r>
      <w:r w:rsidR="00C329EF" w:rsidRPr="003478AF">
        <w:rPr>
          <w:rFonts w:eastAsia="Arial" w:cs="Arial"/>
          <w:szCs w:val="20"/>
        </w:rPr>
        <w:t xml:space="preserve"> (</w:t>
      </w:r>
      <w:r w:rsidR="00381971" w:rsidRPr="003478AF">
        <w:rPr>
          <w:rFonts w:eastAsia="Arial" w:cs="Arial"/>
          <w:szCs w:val="20"/>
        </w:rPr>
        <w:t>ryc.</w:t>
      </w:r>
      <w:r w:rsidR="00C329EF" w:rsidRPr="003478AF">
        <w:rPr>
          <w:rFonts w:eastAsia="Arial" w:cs="Arial"/>
          <w:szCs w:val="20"/>
        </w:rPr>
        <w:t xml:space="preserve"> 8.1</w:t>
      </w:r>
      <w:r w:rsidR="00F67C92" w:rsidRPr="003478AF">
        <w:rPr>
          <w:rFonts w:eastAsia="Arial" w:cs="Arial"/>
          <w:szCs w:val="20"/>
        </w:rPr>
        <w:t>3</w:t>
      </w:r>
      <w:r w:rsidR="00C329EF" w:rsidRPr="003478AF">
        <w:rPr>
          <w:rFonts w:eastAsia="Arial" w:cs="Arial"/>
          <w:szCs w:val="20"/>
        </w:rPr>
        <w:t>)</w:t>
      </w:r>
      <w:r w:rsidR="00A250C9" w:rsidRPr="003478AF">
        <w:rPr>
          <w:rFonts w:eastAsia="Arial" w:cs="Arial"/>
          <w:szCs w:val="20"/>
        </w:rPr>
        <w:t>, a drugi</w:t>
      </w:r>
      <w:r w:rsidR="002D5A46" w:rsidRPr="003478AF">
        <w:rPr>
          <w:rFonts w:eastAsia="Arial" w:cs="Arial"/>
          <w:szCs w:val="20"/>
        </w:rPr>
        <w:t>ego</w:t>
      </w:r>
      <w:r w:rsidR="00A250C9" w:rsidRPr="003478AF">
        <w:rPr>
          <w:rFonts w:eastAsia="Arial" w:cs="Arial"/>
          <w:szCs w:val="20"/>
        </w:rPr>
        <w:t xml:space="preserve"> </w:t>
      </w:r>
      <w:r w:rsidR="002121A8" w:rsidRPr="003478AF">
        <w:rPr>
          <w:rFonts w:eastAsia="Arial" w:cs="Arial"/>
          <w:szCs w:val="20"/>
        </w:rPr>
        <w:t xml:space="preserve">utrzymuje się na poziomie </w:t>
      </w:r>
      <w:r w:rsidR="00B00360" w:rsidRPr="003478AF">
        <w:rPr>
          <w:rFonts w:eastAsia="Arial" w:cs="Arial"/>
          <w:szCs w:val="20"/>
        </w:rPr>
        <w:t>około</w:t>
      </w:r>
      <w:r w:rsidR="002121A8" w:rsidRPr="003478AF">
        <w:rPr>
          <w:rFonts w:eastAsia="Arial" w:cs="Arial"/>
          <w:szCs w:val="20"/>
        </w:rPr>
        <w:t xml:space="preserve"> </w:t>
      </w:r>
      <w:r w:rsidR="00C329EF" w:rsidRPr="003478AF">
        <w:rPr>
          <w:rFonts w:eastAsia="Arial" w:cs="Arial"/>
          <w:szCs w:val="20"/>
        </w:rPr>
        <w:t>8,6</w:t>
      </w:r>
      <w:r w:rsidR="002121A8" w:rsidRPr="003478AF">
        <w:rPr>
          <w:rFonts w:eastAsia="Arial" w:cs="Arial"/>
          <w:szCs w:val="20"/>
        </w:rPr>
        <w:t xml:space="preserve"> tys. dam</w:t>
      </w:r>
      <w:r w:rsidR="002121A8" w:rsidRPr="003478AF">
        <w:rPr>
          <w:rFonts w:eastAsia="Arial" w:cs="Arial"/>
          <w:szCs w:val="20"/>
          <w:vertAlign w:val="superscript"/>
        </w:rPr>
        <w:t>3</w:t>
      </w:r>
      <w:r w:rsidR="00C329EF" w:rsidRPr="003478AF">
        <w:rPr>
          <w:rFonts w:eastAsia="Arial" w:cs="Arial"/>
          <w:szCs w:val="20"/>
        </w:rPr>
        <w:t xml:space="preserve"> (</w:t>
      </w:r>
      <w:r w:rsidR="00381971" w:rsidRPr="003478AF">
        <w:rPr>
          <w:rFonts w:eastAsia="Arial" w:cs="Arial"/>
          <w:szCs w:val="20"/>
        </w:rPr>
        <w:t>ryc.</w:t>
      </w:r>
      <w:r w:rsidR="00C329EF" w:rsidRPr="003478AF">
        <w:rPr>
          <w:rFonts w:eastAsia="Arial" w:cs="Arial"/>
          <w:szCs w:val="20"/>
        </w:rPr>
        <w:t xml:space="preserve"> 8.1</w:t>
      </w:r>
      <w:r w:rsidR="00F67C92" w:rsidRPr="003478AF">
        <w:rPr>
          <w:rFonts w:eastAsia="Arial" w:cs="Arial"/>
          <w:szCs w:val="20"/>
        </w:rPr>
        <w:t>6</w:t>
      </w:r>
      <w:r w:rsidR="00C329EF" w:rsidRPr="003478AF">
        <w:rPr>
          <w:rFonts w:eastAsia="Arial" w:cs="Arial"/>
          <w:szCs w:val="20"/>
        </w:rPr>
        <w:t>)</w:t>
      </w:r>
      <w:r w:rsidR="002121A8" w:rsidRPr="003478AF">
        <w:rPr>
          <w:rFonts w:eastAsia="Arial" w:cs="Arial"/>
          <w:szCs w:val="20"/>
        </w:rPr>
        <w:t>. Z</w:t>
      </w:r>
      <w:r w:rsidR="00A4790C" w:rsidRPr="003478AF">
        <w:rPr>
          <w:rFonts w:eastAsia="Arial" w:cs="Arial"/>
          <w:szCs w:val="20"/>
        </w:rPr>
        <w:t xml:space="preserve"> kolei </w:t>
      </w:r>
      <w:r w:rsidR="002D5A46" w:rsidRPr="003478AF">
        <w:rPr>
          <w:rFonts w:eastAsia="Arial" w:cs="Arial"/>
          <w:szCs w:val="20"/>
        </w:rPr>
        <w:t xml:space="preserve">w przypadku </w:t>
      </w:r>
      <w:r w:rsidR="00A4790C" w:rsidRPr="003478AF">
        <w:rPr>
          <w:rFonts w:eastAsia="Arial" w:cs="Arial"/>
          <w:szCs w:val="20"/>
        </w:rPr>
        <w:t>trzeci</w:t>
      </w:r>
      <w:r w:rsidR="002D5A46" w:rsidRPr="003478AF">
        <w:rPr>
          <w:rFonts w:eastAsia="Arial" w:cs="Arial"/>
          <w:szCs w:val="20"/>
        </w:rPr>
        <w:t>ego</w:t>
      </w:r>
      <w:r w:rsidR="00A4790C" w:rsidRPr="003478AF">
        <w:rPr>
          <w:rFonts w:eastAsia="Arial" w:cs="Arial"/>
          <w:szCs w:val="20"/>
        </w:rPr>
        <w:t xml:space="preserve"> </w:t>
      </w:r>
      <w:r w:rsidR="002D5A46" w:rsidRPr="003478AF">
        <w:rPr>
          <w:rFonts w:eastAsia="Arial" w:cs="Arial"/>
          <w:szCs w:val="20"/>
        </w:rPr>
        <w:t>wskaźnika wartość</w:t>
      </w:r>
      <w:r w:rsidR="00A4790C" w:rsidRPr="003478AF">
        <w:rPr>
          <w:rFonts w:eastAsia="Arial" w:cs="Arial"/>
          <w:szCs w:val="20"/>
        </w:rPr>
        <w:t xml:space="preserve"> </w:t>
      </w:r>
      <w:r w:rsidR="00C329EF" w:rsidRPr="003478AF">
        <w:rPr>
          <w:rFonts w:eastAsia="Arial" w:cs="Arial"/>
          <w:szCs w:val="20"/>
        </w:rPr>
        <w:t xml:space="preserve">stopniowo </w:t>
      </w:r>
      <w:r w:rsidR="002121A8" w:rsidRPr="003478AF">
        <w:rPr>
          <w:rFonts w:eastAsia="Arial" w:cs="Arial"/>
          <w:szCs w:val="20"/>
        </w:rPr>
        <w:t>zmniejsza się zarówno w województwie</w:t>
      </w:r>
      <w:r w:rsidR="0015321C" w:rsidRPr="003478AF">
        <w:rPr>
          <w:rFonts w:eastAsia="Arial" w:cs="Arial"/>
          <w:szCs w:val="20"/>
        </w:rPr>
        <w:t>,</w:t>
      </w:r>
      <w:r w:rsidR="002121A8" w:rsidRPr="003478AF">
        <w:rPr>
          <w:rFonts w:eastAsia="Arial" w:cs="Arial"/>
          <w:szCs w:val="20"/>
        </w:rPr>
        <w:t xml:space="preserve"> jak i Polsce</w:t>
      </w:r>
      <w:r w:rsidR="00C329EF" w:rsidRPr="003478AF">
        <w:rPr>
          <w:rFonts w:eastAsia="Arial" w:cs="Arial"/>
          <w:szCs w:val="20"/>
        </w:rPr>
        <w:t xml:space="preserve"> (</w:t>
      </w:r>
      <w:r w:rsidR="00381971" w:rsidRPr="003478AF">
        <w:rPr>
          <w:rFonts w:eastAsia="Arial" w:cs="Arial"/>
          <w:szCs w:val="20"/>
        </w:rPr>
        <w:t>ryc.</w:t>
      </w:r>
      <w:r w:rsidR="00C329EF" w:rsidRPr="003478AF">
        <w:rPr>
          <w:rFonts w:eastAsia="Arial" w:cs="Arial"/>
          <w:szCs w:val="20"/>
        </w:rPr>
        <w:t xml:space="preserve"> 8.1</w:t>
      </w:r>
      <w:r w:rsidR="00F67C92" w:rsidRPr="003478AF">
        <w:rPr>
          <w:rFonts w:eastAsia="Arial" w:cs="Arial"/>
          <w:szCs w:val="20"/>
        </w:rPr>
        <w:t>8</w:t>
      </w:r>
      <w:r w:rsidR="0015321C" w:rsidRPr="003478AF">
        <w:rPr>
          <w:rFonts w:eastAsia="Arial" w:cs="Arial"/>
          <w:szCs w:val="20"/>
        </w:rPr>
        <w:t xml:space="preserve"> i</w:t>
      </w:r>
      <w:r w:rsidR="00C329EF" w:rsidRPr="003478AF">
        <w:rPr>
          <w:rFonts w:eastAsia="Arial" w:cs="Arial"/>
          <w:szCs w:val="20"/>
        </w:rPr>
        <w:t xml:space="preserve"> 8.1</w:t>
      </w:r>
      <w:r w:rsidR="00F67C92" w:rsidRPr="003478AF">
        <w:rPr>
          <w:rFonts w:eastAsia="Arial" w:cs="Arial"/>
          <w:szCs w:val="20"/>
        </w:rPr>
        <w:t>9</w:t>
      </w:r>
      <w:r w:rsidR="00C329EF" w:rsidRPr="003478AF">
        <w:rPr>
          <w:rFonts w:eastAsia="Arial" w:cs="Arial"/>
          <w:szCs w:val="20"/>
        </w:rPr>
        <w:t>)</w:t>
      </w:r>
      <w:r w:rsidR="002121A8" w:rsidRPr="003478AF">
        <w:rPr>
          <w:rFonts w:eastAsia="Arial" w:cs="Arial"/>
          <w:szCs w:val="20"/>
        </w:rPr>
        <w:t>.</w:t>
      </w:r>
    </w:p>
    <w:p w14:paraId="5F7C3CFF" w14:textId="57F4B2EB" w:rsidR="00336483" w:rsidRPr="003478AF" w:rsidRDefault="00336483" w:rsidP="004F008C">
      <w:pPr>
        <w:rPr>
          <w:rFonts w:eastAsia="Arial" w:cs="Arial"/>
          <w:szCs w:val="20"/>
        </w:rPr>
      </w:pPr>
      <w:r w:rsidRPr="003478AF">
        <w:rPr>
          <w:rFonts w:eastAsia="Arial" w:cs="Arial"/>
          <w:szCs w:val="20"/>
        </w:rPr>
        <w:t xml:space="preserve">Biorąc pod uwagę </w:t>
      </w:r>
      <w:r w:rsidR="005F0850" w:rsidRPr="003478AF">
        <w:rPr>
          <w:rFonts w:eastAsia="Arial" w:cs="Arial"/>
          <w:szCs w:val="20"/>
        </w:rPr>
        <w:t>ilość</w:t>
      </w:r>
      <w:r w:rsidRPr="003478AF">
        <w:rPr>
          <w:rFonts w:eastAsia="Arial" w:cs="Arial"/>
          <w:szCs w:val="20"/>
        </w:rPr>
        <w:t xml:space="preserve"> ścieków</w:t>
      </w:r>
      <w:r w:rsidR="00762AAF" w:rsidRPr="003478AF">
        <w:rPr>
          <w:rFonts w:eastAsia="Arial" w:cs="Arial"/>
          <w:szCs w:val="20"/>
        </w:rPr>
        <w:t xml:space="preserve"> przemysłowych</w:t>
      </w:r>
      <w:r w:rsidRPr="003478AF">
        <w:rPr>
          <w:rFonts w:eastAsia="Arial" w:cs="Arial"/>
          <w:szCs w:val="20"/>
        </w:rPr>
        <w:t xml:space="preserve"> odprowadzonych w ciągu roku do sieci kanalizacyjnej </w:t>
      </w:r>
      <w:r w:rsidR="0038005C" w:rsidRPr="003478AF">
        <w:rPr>
          <w:rFonts w:eastAsia="Arial" w:cs="Arial"/>
          <w:szCs w:val="20"/>
        </w:rPr>
        <w:t>udział Wielkopols</w:t>
      </w:r>
      <w:r w:rsidR="005C6DD4" w:rsidRPr="003478AF">
        <w:rPr>
          <w:rFonts w:eastAsia="Arial" w:cs="Arial"/>
          <w:szCs w:val="20"/>
        </w:rPr>
        <w:t>ki</w:t>
      </w:r>
      <w:r w:rsidR="0038005C" w:rsidRPr="003478AF">
        <w:rPr>
          <w:rFonts w:eastAsia="Arial" w:cs="Arial"/>
          <w:szCs w:val="20"/>
        </w:rPr>
        <w:t xml:space="preserve"> w Polsce stanowi </w:t>
      </w:r>
      <w:r w:rsidR="00E42B7F" w:rsidRPr="003478AF">
        <w:rPr>
          <w:rFonts w:eastAsia="Arial" w:cs="Arial"/>
          <w:szCs w:val="20"/>
        </w:rPr>
        <w:t>prawie 9</w:t>
      </w:r>
      <w:r w:rsidR="0038005C" w:rsidRPr="003478AF">
        <w:rPr>
          <w:rFonts w:eastAsia="Arial" w:cs="Arial"/>
          <w:szCs w:val="20"/>
        </w:rPr>
        <w:t>%</w:t>
      </w:r>
      <w:r w:rsidR="005834DD" w:rsidRPr="003478AF">
        <w:rPr>
          <w:rFonts w:eastAsia="Arial" w:cs="Arial"/>
          <w:szCs w:val="20"/>
        </w:rPr>
        <w:t xml:space="preserve"> i jest jednym z wyższych </w:t>
      </w:r>
      <w:r w:rsidR="00E14C34">
        <w:rPr>
          <w:rFonts w:eastAsia="Arial" w:cs="Arial"/>
          <w:szCs w:val="20"/>
        </w:rPr>
        <w:br/>
      </w:r>
      <w:r w:rsidR="005834DD" w:rsidRPr="003478AF">
        <w:rPr>
          <w:rFonts w:eastAsia="Arial" w:cs="Arial"/>
          <w:szCs w:val="20"/>
        </w:rPr>
        <w:t>w kraju. N</w:t>
      </w:r>
      <w:r w:rsidRPr="003478AF">
        <w:rPr>
          <w:rFonts w:eastAsia="Arial" w:cs="Arial"/>
          <w:szCs w:val="20"/>
        </w:rPr>
        <w:t xml:space="preserve">ajwięcej </w:t>
      </w:r>
      <w:r w:rsidR="0015321C" w:rsidRPr="003478AF">
        <w:rPr>
          <w:rFonts w:eastAsia="Arial" w:cs="Arial"/>
          <w:szCs w:val="20"/>
        </w:rPr>
        <w:t xml:space="preserve">takich </w:t>
      </w:r>
      <w:r w:rsidR="00920BA6" w:rsidRPr="003478AF">
        <w:rPr>
          <w:rFonts w:eastAsia="Arial" w:cs="Arial"/>
          <w:szCs w:val="20"/>
        </w:rPr>
        <w:t xml:space="preserve">ścieków </w:t>
      </w:r>
      <w:r w:rsidR="0015321C" w:rsidRPr="003478AF">
        <w:rPr>
          <w:rFonts w:eastAsia="Arial" w:cs="Arial"/>
          <w:szCs w:val="20"/>
        </w:rPr>
        <w:t xml:space="preserve">odnotowano </w:t>
      </w:r>
      <w:r w:rsidRPr="003478AF">
        <w:rPr>
          <w:rFonts w:eastAsia="Arial" w:cs="Arial"/>
          <w:szCs w:val="20"/>
        </w:rPr>
        <w:t>w</w:t>
      </w:r>
      <w:r w:rsidR="00AC3E4C" w:rsidRPr="003478AF">
        <w:rPr>
          <w:rFonts w:eastAsia="Arial" w:cs="Arial"/>
          <w:szCs w:val="20"/>
        </w:rPr>
        <w:t xml:space="preserve"> 2019 roku w</w:t>
      </w:r>
      <w:r w:rsidRPr="003478AF">
        <w:rPr>
          <w:rFonts w:eastAsia="Arial" w:cs="Arial"/>
          <w:szCs w:val="20"/>
        </w:rPr>
        <w:t xml:space="preserve"> </w:t>
      </w:r>
      <w:r w:rsidR="0015321C" w:rsidRPr="003478AF">
        <w:rPr>
          <w:rFonts w:eastAsia="Arial" w:cs="Arial"/>
          <w:szCs w:val="20"/>
        </w:rPr>
        <w:t xml:space="preserve">powiatach </w:t>
      </w:r>
      <w:r w:rsidR="004F22E7" w:rsidRPr="003478AF">
        <w:rPr>
          <w:rFonts w:eastAsia="Arial" w:cs="Arial"/>
          <w:szCs w:val="20"/>
        </w:rPr>
        <w:t>m.</w:t>
      </w:r>
      <w:r w:rsidR="00AC0F3B" w:rsidRPr="003478AF">
        <w:rPr>
          <w:rFonts w:eastAsia="Arial" w:cs="Arial"/>
          <w:szCs w:val="20"/>
        </w:rPr>
        <w:t xml:space="preserve"> </w:t>
      </w:r>
      <w:r w:rsidR="004F22E7" w:rsidRPr="003478AF">
        <w:rPr>
          <w:rFonts w:eastAsia="Arial" w:cs="Arial"/>
          <w:szCs w:val="20"/>
        </w:rPr>
        <w:t>Poznań</w:t>
      </w:r>
      <w:r w:rsidRPr="003478AF">
        <w:rPr>
          <w:rFonts w:eastAsia="Arial" w:cs="Arial"/>
          <w:szCs w:val="20"/>
        </w:rPr>
        <w:t xml:space="preserve"> (1</w:t>
      </w:r>
      <w:r w:rsidR="00E42B7F" w:rsidRPr="003478AF">
        <w:rPr>
          <w:rFonts w:eastAsia="Arial" w:cs="Arial"/>
          <w:szCs w:val="20"/>
        </w:rPr>
        <w:t> 643 dam</w:t>
      </w:r>
      <w:r w:rsidR="00E42B7F" w:rsidRPr="003478AF">
        <w:rPr>
          <w:rFonts w:eastAsia="Arial" w:cs="Arial"/>
          <w:szCs w:val="20"/>
          <w:vertAlign w:val="superscript"/>
        </w:rPr>
        <w:t>3</w:t>
      </w:r>
      <w:r w:rsidR="004F22E7" w:rsidRPr="003478AF">
        <w:rPr>
          <w:rFonts w:eastAsia="Arial" w:cs="Arial"/>
          <w:szCs w:val="20"/>
        </w:rPr>
        <w:t>)</w:t>
      </w:r>
      <w:r w:rsidR="00E42B7F" w:rsidRPr="003478AF">
        <w:rPr>
          <w:rFonts w:eastAsia="Arial" w:cs="Arial"/>
          <w:szCs w:val="20"/>
        </w:rPr>
        <w:t xml:space="preserve"> i kolskim (</w:t>
      </w:r>
      <w:r w:rsidR="0015321C" w:rsidRPr="003478AF">
        <w:rPr>
          <w:rFonts w:eastAsia="Arial" w:cs="Arial"/>
          <w:szCs w:val="20"/>
        </w:rPr>
        <w:t>1 </w:t>
      </w:r>
      <w:r w:rsidR="00E42B7F" w:rsidRPr="003478AF">
        <w:rPr>
          <w:rFonts w:eastAsia="Arial" w:cs="Arial"/>
          <w:szCs w:val="20"/>
        </w:rPr>
        <w:t>248 dam</w:t>
      </w:r>
      <w:r w:rsidR="00E42B7F" w:rsidRPr="003478AF">
        <w:rPr>
          <w:rFonts w:eastAsia="Arial" w:cs="Arial"/>
          <w:szCs w:val="20"/>
          <w:vertAlign w:val="superscript"/>
        </w:rPr>
        <w:t>3</w:t>
      </w:r>
      <w:r w:rsidR="00E42B7F" w:rsidRPr="003478AF">
        <w:rPr>
          <w:rFonts w:eastAsia="Arial" w:cs="Arial"/>
          <w:szCs w:val="20"/>
        </w:rPr>
        <w:t>)</w:t>
      </w:r>
      <w:r w:rsidRPr="003478AF">
        <w:rPr>
          <w:rFonts w:eastAsia="Arial" w:cs="Arial"/>
          <w:szCs w:val="20"/>
        </w:rPr>
        <w:t xml:space="preserve"> </w:t>
      </w:r>
      <w:r w:rsidR="00AC0F3B" w:rsidRPr="003478AF">
        <w:rPr>
          <w:rFonts w:eastAsia="Arial" w:cs="Arial"/>
          <w:szCs w:val="20"/>
        </w:rPr>
        <w:t>(</w:t>
      </w:r>
      <w:r w:rsidR="00381971" w:rsidRPr="003478AF">
        <w:rPr>
          <w:rFonts w:eastAsia="Arial" w:cs="Arial"/>
          <w:szCs w:val="20"/>
        </w:rPr>
        <w:t>ryc.</w:t>
      </w:r>
      <w:r w:rsidR="00754342" w:rsidRPr="003478AF">
        <w:rPr>
          <w:rFonts w:eastAsia="Arial" w:cs="Arial"/>
          <w:szCs w:val="20"/>
        </w:rPr>
        <w:t xml:space="preserve"> </w:t>
      </w:r>
      <w:r w:rsidR="00F76A2B" w:rsidRPr="003478AF">
        <w:rPr>
          <w:rFonts w:eastAsia="Arial" w:cs="Arial"/>
          <w:szCs w:val="20"/>
        </w:rPr>
        <w:t>8.1</w:t>
      </w:r>
      <w:r w:rsidR="0015321C" w:rsidRPr="003478AF">
        <w:rPr>
          <w:rFonts w:eastAsia="Arial" w:cs="Arial"/>
          <w:szCs w:val="20"/>
        </w:rPr>
        <w:t>7</w:t>
      </w:r>
      <w:r w:rsidR="00F76A2B" w:rsidRPr="003478AF">
        <w:rPr>
          <w:rFonts w:eastAsia="Arial" w:cs="Arial"/>
          <w:szCs w:val="20"/>
        </w:rPr>
        <w:t>)</w:t>
      </w:r>
      <w:r w:rsidR="0015321C" w:rsidRPr="003478AF">
        <w:rPr>
          <w:rFonts w:eastAsia="Arial" w:cs="Arial"/>
          <w:szCs w:val="20"/>
        </w:rPr>
        <w:t xml:space="preserve">. </w:t>
      </w:r>
      <w:r w:rsidR="00AC3E4C" w:rsidRPr="003478AF">
        <w:rPr>
          <w:rFonts w:eastAsia="Arial" w:cs="Arial"/>
          <w:szCs w:val="20"/>
        </w:rPr>
        <w:t>Największą ilością</w:t>
      </w:r>
      <w:r w:rsidR="00004C35" w:rsidRPr="003478AF">
        <w:rPr>
          <w:rFonts w:eastAsia="Arial" w:cs="Arial"/>
          <w:szCs w:val="20"/>
        </w:rPr>
        <w:t xml:space="preserve"> ścieków </w:t>
      </w:r>
      <w:r w:rsidR="00D3177A" w:rsidRPr="003478AF">
        <w:rPr>
          <w:rFonts w:eastAsia="Arial" w:cs="Arial"/>
          <w:szCs w:val="20"/>
        </w:rPr>
        <w:t xml:space="preserve">przemysłowych </w:t>
      </w:r>
      <w:r w:rsidR="00004C35" w:rsidRPr="003478AF">
        <w:rPr>
          <w:rFonts w:eastAsia="Arial" w:cs="Arial"/>
          <w:szCs w:val="20"/>
        </w:rPr>
        <w:t>odprowadzanych w ciągu roku</w:t>
      </w:r>
      <w:r w:rsidRPr="003478AF">
        <w:rPr>
          <w:rFonts w:eastAsia="Arial" w:cs="Arial"/>
          <w:szCs w:val="20"/>
        </w:rPr>
        <w:t xml:space="preserve"> </w:t>
      </w:r>
      <w:r w:rsidR="00AC3E4C" w:rsidRPr="003478AF">
        <w:rPr>
          <w:rFonts w:eastAsia="Arial" w:cs="Arial"/>
          <w:szCs w:val="20"/>
        </w:rPr>
        <w:t>cechował się natomiast powiat</w:t>
      </w:r>
      <w:r w:rsidRPr="003478AF">
        <w:rPr>
          <w:rFonts w:eastAsia="Arial" w:cs="Arial"/>
          <w:szCs w:val="20"/>
        </w:rPr>
        <w:t xml:space="preserve"> </w:t>
      </w:r>
      <w:r w:rsidR="00004C35" w:rsidRPr="003478AF">
        <w:rPr>
          <w:rFonts w:eastAsia="Arial" w:cs="Arial"/>
          <w:szCs w:val="20"/>
        </w:rPr>
        <w:t>m.</w:t>
      </w:r>
      <w:r w:rsidR="00C329EF" w:rsidRPr="003478AF">
        <w:rPr>
          <w:rFonts w:eastAsia="Arial" w:cs="Arial"/>
          <w:szCs w:val="20"/>
        </w:rPr>
        <w:t xml:space="preserve"> </w:t>
      </w:r>
      <w:r w:rsidR="00004C35" w:rsidRPr="003478AF">
        <w:rPr>
          <w:rFonts w:eastAsia="Arial" w:cs="Arial"/>
          <w:szCs w:val="20"/>
        </w:rPr>
        <w:t xml:space="preserve">Konin </w:t>
      </w:r>
      <w:r w:rsidR="00004C35" w:rsidRPr="003478AF">
        <w:rPr>
          <w:rFonts w:eastAsia="Calibri" w:cs="Arial"/>
          <w:color w:val="333333"/>
          <w:szCs w:val="20"/>
        </w:rPr>
        <w:t xml:space="preserve">(987,5 </w:t>
      </w:r>
      <w:r w:rsidR="00A4790C" w:rsidRPr="003478AF">
        <w:rPr>
          <w:rFonts w:eastAsia="Calibri" w:cs="Arial"/>
          <w:color w:val="333333"/>
          <w:szCs w:val="20"/>
        </w:rPr>
        <w:t xml:space="preserve">tys. </w:t>
      </w:r>
      <w:r w:rsidR="00004C35" w:rsidRPr="003478AF">
        <w:rPr>
          <w:rFonts w:eastAsia="Calibri" w:cs="Arial"/>
          <w:color w:val="333333"/>
          <w:szCs w:val="20"/>
        </w:rPr>
        <w:t>dam</w:t>
      </w:r>
      <w:r w:rsidR="00004C35" w:rsidRPr="003478AF">
        <w:rPr>
          <w:rFonts w:eastAsia="Calibri" w:cs="Arial"/>
          <w:color w:val="333333"/>
          <w:szCs w:val="20"/>
          <w:vertAlign w:val="superscript"/>
        </w:rPr>
        <w:t>3</w:t>
      </w:r>
      <w:r w:rsidR="004F008C" w:rsidRPr="003478AF">
        <w:rPr>
          <w:rFonts w:eastAsia="Calibri" w:cs="Arial"/>
          <w:color w:val="333333"/>
          <w:szCs w:val="20"/>
        </w:rPr>
        <w:t xml:space="preserve"> </w:t>
      </w:r>
      <w:r w:rsidR="009605E0" w:rsidRPr="003478AF">
        <w:rPr>
          <w:rFonts w:eastAsia="Calibri" w:cs="Arial"/>
          <w:color w:val="333333"/>
          <w:szCs w:val="20"/>
        </w:rPr>
        <w:br/>
      </w:r>
      <w:r w:rsidR="004F008C" w:rsidRPr="003478AF">
        <w:rPr>
          <w:rFonts w:eastAsia="Calibri" w:cs="Arial"/>
          <w:color w:val="333333"/>
          <w:szCs w:val="20"/>
        </w:rPr>
        <w:t>w 2020 roku</w:t>
      </w:r>
      <w:r w:rsidR="00A4790C" w:rsidRPr="003478AF">
        <w:rPr>
          <w:rFonts w:eastAsia="Calibri" w:cs="Arial"/>
          <w:color w:val="333333"/>
          <w:szCs w:val="20"/>
        </w:rPr>
        <w:t xml:space="preserve">, </w:t>
      </w:r>
      <w:r w:rsidR="00381971" w:rsidRPr="003478AF">
        <w:rPr>
          <w:rFonts w:eastAsia="Arial" w:cs="Arial"/>
          <w:szCs w:val="20"/>
        </w:rPr>
        <w:t>ryc.</w:t>
      </w:r>
      <w:r w:rsidR="00754342" w:rsidRPr="003478AF">
        <w:rPr>
          <w:rFonts w:eastAsia="Arial" w:cs="Arial"/>
          <w:szCs w:val="20"/>
        </w:rPr>
        <w:t xml:space="preserve"> </w:t>
      </w:r>
      <w:r w:rsidR="00F76A2B" w:rsidRPr="003478AF">
        <w:rPr>
          <w:rFonts w:eastAsia="Arial" w:cs="Arial"/>
          <w:szCs w:val="20"/>
        </w:rPr>
        <w:t>8</w:t>
      </w:r>
      <w:r w:rsidR="00754342" w:rsidRPr="003478AF">
        <w:rPr>
          <w:rFonts w:eastAsia="Arial" w:cs="Arial"/>
          <w:szCs w:val="20"/>
        </w:rPr>
        <w:t>.</w:t>
      </w:r>
      <w:r w:rsidR="00AC3E4C" w:rsidRPr="003478AF">
        <w:rPr>
          <w:rFonts w:eastAsia="Arial" w:cs="Arial"/>
          <w:szCs w:val="20"/>
        </w:rPr>
        <w:t>14</w:t>
      </w:r>
      <w:r w:rsidRPr="003478AF">
        <w:rPr>
          <w:rFonts w:eastAsia="Arial" w:cs="Arial"/>
          <w:szCs w:val="20"/>
        </w:rPr>
        <w:t>).</w:t>
      </w:r>
      <w:r w:rsidR="00A4790C" w:rsidRPr="003478AF">
        <w:rPr>
          <w:rFonts w:eastAsia="Arial" w:cs="Arial"/>
          <w:szCs w:val="20"/>
        </w:rPr>
        <w:t xml:space="preserve"> Biorąc pod uwagę wielkość ścieków przemysłowych i komunalnych </w:t>
      </w:r>
      <w:r w:rsidR="004F008C" w:rsidRPr="003478AF">
        <w:rPr>
          <w:rFonts w:eastAsia="Arial" w:cs="Arial"/>
          <w:szCs w:val="20"/>
        </w:rPr>
        <w:t xml:space="preserve">wymagających oczyszczania odprowadzonych w ciągu roku do wód lub do ziemi </w:t>
      </w:r>
      <w:r w:rsidR="00A4790C" w:rsidRPr="003478AF">
        <w:rPr>
          <w:rFonts w:eastAsia="Arial" w:cs="Arial"/>
          <w:szCs w:val="20"/>
        </w:rPr>
        <w:t xml:space="preserve">na </w:t>
      </w:r>
      <w:r w:rsidR="009605E0" w:rsidRPr="003478AF">
        <w:rPr>
          <w:rFonts w:eastAsia="Arial" w:cs="Arial"/>
          <w:szCs w:val="20"/>
        </w:rPr>
        <w:br/>
      </w:r>
      <w:r w:rsidR="00A4790C" w:rsidRPr="003478AF">
        <w:rPr>
          <w:rFonts w:eastAsia="Arial" w:cs="Arial"/>
          <w:szCs w:val="20"/>
        </w:rPr>
        <w:t>1 mieszkańca dominowały dwa powiaty: koniński (377,6 m</w:t>
      </w:r>
      <w:r w:rsidR="00A4790C" w:rsidRPr="003478AF">
        <w:rPr>
          <w:rFonts w:eastAsia="Arial" w:cs="Arial"/>
          <w:szCs w:val="20"/>
          <w:vertAlign w:val="superscript"/>
        </w:rPr>
        <w:t>3</w:t>
      </w:r>
      <w:r w:rsidR="00A4790C" w:rsidRPr="003478AF">
        <w:rPr>
          <w:rFonts w:eastAsia="Arial" w:cs="Arial"/>
          <w:szCs w:val="20"/>
        </w:rPr>
        <w:t>) i turecki (214,8 m</w:t>
      </w:r>
      <w:r w:rsidR="00A4790C" w:rsidRPr="003478AF">
        <w:rPr>
          <w:rFonts w:eastAsia="Arial" w:cs="Arial"/>
          <w:szCs w:val="20"/>
          <w:vertAlign w:val="superscript"/>
        </w:rPr>
        <w:t>3</w:t>
      </w:r>
      <w:r w:rsidR="00A4790C" w:rsidRPr="003478AF">
        <w:rPr>
          <w:rFonts w:eastAsia="Arial" w:cs="Arial"/>
          <w:szCs w:val="20"/>
        </w:rPr>
        <w:t xml:space="preserve">, </w:t>
      </w:r>
      <w:r w:rsidR="00381971" w:rsidRPr="003478AF">
        <w:rPr>
          <w:rFonts w:eastAsia="Arial" w:cs="Arial"/>
          <w:szCs w:val="20"/>
        </w:rPr>
        <w:t>ryc.</w:t>
      </w:r>
      <w:r w:rsidR="004F008C" w:rsidRPr="003478AF">
        <w:rPr>
          <w:rFonts w:eastAsia="Arial" w:cs="Arial"/>
          <w:szCs w:val="20"/>
        </w:rPr>
        <w:t xml:space="preserve"> 8.20</w:t>
      </w:r>
      <w:r w:rsidR="00A4790C" w:rsidRPr="003478AF">
        <w:rPr>
          <w:rFonts w:eastAsia="Arial" w:cs="Arial"/>
          <w:szCs w:val="20"/>
        </w:rPr>
        <w:t>)</w:t>
      </w:r>
    </w:p>
    <w:p w14:paraId="127C6EEB" w14:textId="25F5D001" w:rsidR="005F43F3" w:rsidRPr="003478AF" w:rsidRDefault="005F43F3" w:rsidP="005F43F3">
      <w:pPr>
        <w:rPr>
          <w:rFonts w:eastAsia="Arial" w:cs="Arial"/>
          <w:szCs w:val="20"/>
        </w:rPr>
      </w:pPr>
      <w:r w:rsidRPr="003478AF">
        <w:rPr>
          <w:rFonts w:eastAsia="Arial" w:cs="Arial"/>
          <w:szCs w:val="20"/>
        </w:rPr>
        <w:t xml:space="preserve">Należy zaznaczyć, iż wzrost </w:t>
      </w:r>
      <w:r w:rsidR="004F008C" w:rsidRPr="003478AF">
        <w:rPr>
          <w:rFonts w:eastAsia="Arial" w:cs="Arial"/>
          <w:szCs w:val="20"/>
        </w:rPr>
        <w:t xml:space="preserve">wartości </w:t>
      </w:r>
      <w:r w:rsidRPr="003478AF">
        <w:rPr>
          <w:rFonts w:eastAsia="Arial" w:cs="Arial"/>
          <w:szCs w:val="20"/>
        </w:rPr>
        <w:t xml:space="preserve">wskaźników przejawiał się oddawaniem do eksploatacji nowych oczyszczalni ścieków, modernizacją istniejących oczyszczalni, </w:t>
      </w:r>
      <w:r w:rsidR="009605E0" w:rsidRPr="003478AF">
        <w:rPr>
          <w:rFonts w:eastAsia="Arial" w:cs="Arial"/>
          <w:szCs w:val="20"/>
        </w:rPr>
        <w:br/>
      </w:r>
      <w:r w:rsidRPr="003478AF">
        <w:rPr>
          <w:rFonts w:eastAsia="Arial" w:cs="Arial"/>
          <w:szCs w:val="20"/>
        </w:rPr>
        <w:t>w szczególności pod kątem usuwania ze ścieków związków biogennych, a także rozbudową sieci wodociągowo-kanalizacyjn</w:t>
      </w:r>
      <w:r w:rsidR="004F22E7" w:rsidRPr="003478AF">
        <w:rPr>
          <w:rFonts w:eastAsia="Arial" w:cs="Arial"/>
          <w:szCs w:val="20"/>
        </w:rPr>
        <w:t>ych</w:t>
      </w:r>
      <w:r w:rsidRPr="003478AF">
        <w:rPr>
          <w:rFonts w:eastAsia="Arial" w:cs="Arial"/>
          <w:szCs w:val="20"/>
        </w:rPr>
        <w:t xml:space="preserve"> oraz wyłączaniem z eksploatacji obiektów przestarzałych i nieefektywnych.</w:t>
      </w:r>
    </w:p>
    <w:p w14:paraId="6DD668E3" w14:textId="77777777" w:rsidR="003136E2" w:rsidRPr="003478AF" w:rsidRDefault="003136E2" w:rsidP="005F43F3">
      <w:pPr>
        <w:rPr>
          <w:rFonts w:eastAsia="Arial" w:cs="Arial"/>
          <w:szCs w:val="20"/>
        </w:rPr>
      </w:pPr>
    </w:p>
    <w:p w14:paraId="0FA68EDE" w14:textId="77777777" w:rsidR="00007A3A" w:rsidRPr="003478AF" w:rsidRDefault="00007A3A">
      <w:pPr>
        <w:spacing w:line="240" w:lineRule="auto"/>
        <w:ind w:firstLine="0"/>
        <w:jc w:val="left"/>
        <w:rPr>
          <w:rFonts w:eastAsia="Arial" w:cs="Arial"/>
          <w:b/>
          <w:bCs/>
          <w:sz w:val="16"/>
          <w:szCs w:val="16"/>
        </w:rPr>
      </w:pPr>
      <w:bookmarkStart w:id="74" w:name="_Hlk77026065"/>
      <w:r w:rsidRPr="003478AF">
        <w:br w:type="page"/>
      </w:r>
    </w:p>
    <w:p w14:paraId="1A518956" w14:textId="4C2702E3" w:rsidR="005F43F3" w:rsidRPr="003478AF" w:rsidRDefault="003628E8" w:rsidP="00986D40">
      <w:pPr>
        <w:pStyle w:val="ARYCINA"/>
      </w:pPr>
      <w:r w:rsidRPr="003478AF">
        <w:lastRenderedPageBreak/>
        <w:t xml:space="preserve">Ryc. </w:t>
      </w:r>
      <w:r w:rsidR="00F76A2B" w:rsidRPr="003478AF">
        <w:rPr>
          <w:noProof/>
        </w:rPr>
        <w:t>8.1</w:t>
      </w:r>
      <w:r w:rsidR="00F67C92" w:rsidRPr="003478AF">
        <w:rPr>
          <w:noProof/>
        </w:rPr>
        <w:t>2</w:t>
      </w:r>
      <w:r w:rsidR="00F76A2B" w:rsidRPr="003478AF">
        <w:rPr>
          <w:noProof/>
        </w:rPr>
        <w:t xml:space="preserve"> </w:t>
      </w:r>
      <w:bookmarkStart w:id="75" w:name="_Hlk76628210"/>
      <w:r w:rsidR="0014428F" w:rsidRPr="003478AF">
        <w:t>Ścieki przemysłowe odprowadzone w ciągu roku (</w:t>
      </w:r>
      <w:r w:rsidR="00C329EF" w:rsidRPr="003478AF">
        <w:t xml:space="preserve">mln </w:t>
      </w:r>
      <w:r w:rsidR="0014428F" w:rsidRPr="003478AF">
        <w:t>dam</w:t>
      </w:r>
      <w:r w:rsidR="0014428F" w:rsidRPr="003478AF">
        <w:rPr>
          <w:vertAlign w:val="superscript"/>
        </w:rPr>
        <w:t>3</w:t>
      </w:r>
      <w:r w:rsidR="0014428F" w:rsidRPr="003478AF">
        <w:t>)</w:t>
      </w:r>
      <w:r w:rsidR="0014428F" w:rsidRPr="003478AF" w:rsidDel="0014428F">
        <w:t xml:space="preserve"> </w:t>
      </w:r>
      <w:r w:rsidR="0038370F" w:rsidRPr="003478AF">
        <w:t xml:space="preserve">w Polsce </w:t>
      </w:r>
      <w:r w:rsidR="003C6248" w:rsidRPr="003478AF">
        <w:t>w latach 2010-20</w:t>
      </w:r>
      <w:r w:rsidR="00C329EF" w:rsidRPr="003478AF">
        <w:t>20</w:t>
      </w:r>
      <w:bookmarkEnd w:id="75"/>
    </w:p>
    <w:p w14:paraId="379F8EA0" w14:textId="2DEB4151" w:rsidR="00674A90" w:rsidRPr="003478AF" w:rsidRDefault="00B90A3C" w:rsidP="00986D40">
      <w:pPr>
        <w:pStyle w:val="ARYCINA"/>
      </w:pPr>
      <w:r w:rsidRPr="003478AF">
        <w:rPr>
          <w:noProof/>
          <w:lang w:eastAsia="pl-PL"/>
        </w:rPr>
        <w:drawing>
          <wp:inline distT="0" distB="0" distL="0" distR="0" wp14:anchorId="0EBA6069" wp14:editId="760AC995">
            <wp:extent cx="4896000" cy="2945761"/>
            <wp:effectExtent l="0" t="0" r="0" b="7620"/>
            <wp:docPr id="52" name="Obraz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4896000" cy="2945761"/>
                    </a:xfrm>
                    <a:prstGeom prst="rect">
                      <a:avLst/>
                    </a:prstGeom>
                    <a:noFill/>
                  </pic:spPr>
                </pic:pic>
              </a:graphicData>
            </a:graphic>
          </wp:inline>
        </w:drawing>
      </w:r>
    </w:p>
    <w:p w14:paraId="79729BA8" w14:textId="4AC82A53" w:rsidR="00FF0262" w:rsidRPr="003478AF" w:rsidRDefault="00FF0262" w:rsidP="00986D40">
      <w:pPr>
        <w:pStyle w:val="AZRODLO"/>
      </w:pPr>
      <w:r w:rsidRPr="003478AF">
        <w:t>Źródło: Opracowanie własne na podstawie danych BDL</w:t>
      </w:r>
    </w:p>
    <w:p w14:paraId="0E26764F" w14:textId="6E2AD463" w:rsidR="00B518C8" w:rsidRPr="003478AF" w:rsidRDefault="00B518C8" w:rsidP="00007A3A"/>
    <w:p w14:paraId="0D2E868D" w14:textId="3DC94F3D" w:rsidR="00674A90" w:rsidRPr="003478AF" w:rsidRDefault="003C6248" w:rsidP="00986D40">
      <w:pPr>
        <w:pStyle w:val="ARYCINA"/>
      </w:pPr>
      <w:r w:rsidRPr="003478AF">
        <w:t>Ryc.</w:t>
      </w:r>
      <w:r w:rsidR="00F76A2B" w:rsidRPr="003478AF">
        <w:t xml:space="preserve"> 8.1</w:t>
      </w:r>
      <w:r w:rsidR="007365DB" w:rsidRPr="003478AF">
        <w:t>3</w:t>
      </w:r>
      <w:r w:rsidRPr="003478AF">
        <w:t xml:space="preserve"> </w:t>
      </w:r>
      <w:r w:rsidR="0014428F" w:rsidRPr="003478AF">
        <w:t>Ścieki przemysłowe odprowadzone w ciągu roku (</w:t>
      </w:r>
      <w:r w:rsidR="00C329EF" w:rsidRPr="003478AF">
        <w:t xml:space="preserve">mln </w:t>
      </w:r>
      <w:r w:rsidR="0014428F" w:rsidRPr="003478AF">
        <w:t>dam</w:t>
      </w:r>
      <w:r w:rsidR="0014428F" w:rsidRPr="003478AF">
        <w:rPr>
          <w:vertAlign w:val="superscript"/>
        </w:rPr>
        <w:t>3</w:t>
      </w:r>
      <w:r w:rsidR="0014428F" w:rsidRPr="003478AF">
        <w:t>)</w:t>
      </w:r>
      <w:r w:rsidR="0014428F" w:rsidRPr="003478AF" w:rsidDel="0014428F">
        <w:t xml:space="preserve"> </w:t>
      </w:r>
      <w:r w:rsidR="009605E0" w:rsidRPr="003478AF">
        <w:br/>
      </w:r>
      <w:r w:rsidR="00092276" w:rsidRPr="003478AF">
        <w:t xml:space="preserve">w województwie wielkopolskim </w:t>
      </w:r>
      <w:r w:rsidR="0014428F" w:rsidRPr="003478AF">
        <w:t>w latach 2010-20</w:t>
      </w:r>
      <w:r w:rsidR="00C329EF" w:rsidRPr="003478AF">
        <w:t>20</w:t>
      </w:r>
    </w:p>
    <w:p w14:paraId="684D1FF0" w14:textId="1C4E49EE" w:rsidR="008D5EB5" w:rsidRPr="003478AF" w:rsidRDefault="00B90A3C" w:rsidP="00986D40">
      <w:pPr>
        <w:pStyle w:val="AZRODLO"/>
      </w:pPr>
      <w:r w:rsidRPr="003478AF">
        <w:rPr>
          <w:noProof/>
          <w:lang w:eastAsia="pl-PL"/>
        </w:rPr>
        <w:drawing>
          <wp:inline distT="0" distB="0" distL="0" distR="0" wp14:anchorId="5FD8DFB7" wp14:editId="6FB964FC">
            <wp:extent cx="4896000" cy="2652841"/>
            <wp:effectExtent l="0" t="0" r="0" b="0"/>
            <wp:docPr id="53" name="Obraz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4896000" cy="2652841"/>
                    </a:xfrm>
                    <a:prstGeom prst="rect">
                      <a:avLst/>
                    </a:prstGeom>
                    <a:noFill/>
                  </pic:spPr>
                </pic:pic>
              </a:graphicData>
            </a:graphic>
          </wp:inline>
        </w:drawing>
      </w:r>
    </w:p>
    <w:p w14:paraId="5EF6705A" w14:textId="463BB3C6" w:rsidR="003136E2" w:rsidRPr="003478AF" w:rsidRDefault="00FF0262" w:rsidP="00986D40">
      <w:pPr>
        <w:pStyle w:val="AZRODLO"/>
      </w:pPr>
      <w:r w:rsidRPr="003478AF">
        <w:t>Źródło: Opracowanie własne na podstawie danych BDL</w:t>
      </w:r>
      <w:r w:rsidR="003136E2" w:rsidRPr="003478AF">
        <w:br w:type="page"/>
      </w:r>
    </w:p>
    <w:p w14:paraId="671271C3" w14:textId="69E377FD" w:rsidR="00137C25" w:rsidRPr="003478AF" w:rsidRDefault="00137C25" w:rsidP="00986D40">
      <w:pPr>
        <w:pStyle w:val="ARYCINA"/>
      </w:pPr>
      <w:r w:rsidRPr="003478AF">
        <w:lastRenderedPageBreak/>
        <w:t>Ryc. 8.1</w:t>
      </w:r>
      <w:r w:rsidR="007365DB" w:rsidRPr="003478AF">
        <w:t>4</w:t>
      </w:r>
      <w:r w:rsidRPr="003478AF">
        <w:t xml:space="preserve"> Ścieki przemysłowe odprowadzone w ciągu roku (dam</w:t>
      </w:r>
      <w:r w:rsidRPr="003478AF">
        <w:rPr>
          <w:vertAlign w:val="superscript"/>
        </w:rPr>
        <w:t>3</w:t>
      </w:r>
      <w:r w:rsidRPr="003478AF">
        <w:t>)</w:t>
      </w:r>
      <w:r w:rsidRPr="003478AF" w:rsidDel="0014428F">
        <w:t xml:space="preserve"> </w:t>
      </w:r>
      <w:r w:rsidR="0038370F" w:rsidRPr="003478AF">
        <w:t xml:space="preserve">w województwie wielkopolskim </w:t>
      </w:r>
      <w:r w:rsidR="00007A3A" w:rsidRPr="003478AF">
        <w:br/>
      </w:r>
      <w:r w:rsidR="0038370F" w:rsidRPr="003478AF">
        <w:t xml:space="preserve">według powiatów </w:t>
      </w:r>
      <w:r w:rsidRPr="003478AF">
        <w:t>w 20</w:t>
      </w:r>
      <w:r w:rsidR="00C329EF" w:rsidRPr="003478AF">
        <w:t>20</w:t>
      </w:r>
      <w:r w:rsidRPr="003478AF">
        <w:t xml:space="preserve"> roku</w:t>
      </w:r>
    </w:p>
    <w:p w14:paraId="49A337E1" w14:textId="39E7EF60" w:rsidR="00137C25" w:rsidRPr="003478AF" w:rsidRDefault="008E745C" w:rsidP="00986D40">
      <w:pPr>
        <w:pStyle w:val="AZRODLO"/>
      </w:pPr>
      <w:r w:rsidRPr="003478AF">
        <w:rPr>
          <w:noProof/>
          <w:lang w:eastAsia="pl-PL"/>
        </w:rPr>
        <w:drawing>
          <wp:inline distT="0" distB="0" distL="0" distR="0" wp14:anchorId="0037F1D8" wp14:editId="244BA7AC">
            <wp:extent cx="3240000" cy="3868235"/>
            <wp:effectExtent l="0" t="0" r="0" b="0"/>
            <wp:docPr id="55" name="Obraz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3240000" cy="3868235"/>
                    </a:xfrm>
                    <a:prstGeom prst="rect">
                      <a:avLst/>
                    </a:prstGeom>
                    <a:noFill/>
                    <a:ln>
                      <a:noFill/>
                    </a:ln>
                  </pic:spPr>
                </pic:pic>
              </a:graphicData>
            </a:graphic>
          </wp:inline>
        </w:drawing>
      </w:r>
    </w:p>
    <w:p w14:paraId="15A39E1D" w14:textId="63E34388" w:rsidR="00137C25" w:rsidRPr="003478AF" w:rsidRDefault="00137C25" w:rsidP="00986D40">
      <w:pPr>
        <w:pStyle w:val="AZRODLO"/>
      </w:pPr>
      <w:r w:rsidRPr="003478AF">
        <w:t>Źródło: Opracowanie własne na podstawie danych BDL</w:t>
      </w:r>
    </w:p>
    <w:p w14:paraId="7B1A53EA" w14:textId="574D3C42" w:rsidR="0014428F" w:rsidRPr="003478AF" w:rsidRDefault="0014428F" w:rsidP="00E7414E"/>
    <w:p w14:paraId="5BB167C0" w14:textId="1C211AE6" w:rsidR="0014428F" w:rsidRPr="003478AF" w:rsidRDefault="0014428F" w:rsidP="00986D40">
      <w:pPr>
        <w:pStyle w:val="ARYCINA"/>
      </w:pPr>
      <w:r w:rsidRPr="003478AF">
        <w:t xml:space="preserve">Ryc. </w:t>
      </w:r>
      <w:r w:rsidRPr="003478AF">
        <w:rPr>
          <w:noProof/>
        </w:rPr>
        <w:t>8.1</w:t>
      </w:r>
      <w:r w:rsidR="007365DB" w:rsidRPr="003478AF">
        <w:rPr>
          <w:noProof/>
        </w:rPr>
        <w:t>5</w:t>
      </w:r>
      <w:r w:rsidRPr="003478AF">
        <w:rPr>
          <w:noProof/>
        </w:rPr>
        <w:t xml:space="preserve"> </w:t>
      </w:r>
      <w:r w:rsidRPr="003478AF">
        <w:t>Ścieki przemysłowe odprowadzone w ciągu roku do sieci kanalizacyjnej (</w:t>
      </w:r>
      <w:r w:rsidR="00C329EF" w:rsidRPr="003478AF">
        <w:t xml:space="preserve">tys. </w:t>
      </w:r>
      <w:r w:rsidRPr="003478AF">
        <w:t>dam</w:t>
      </w:r>
      <w:r w:rsidRPr="003478AF">
        <w:rPr>
          <w:vertAlign w:val="superscript"/>
        </w:rPr>
        <w:t>3</w:t>
      </w:r>
      <w:r w:rsidRPr="003478AF">
        <w:t>)</w:t>
      </w:r>
      <w:r w:rsidRPr="003478AF" w:rsidDel="0014428F">
        <w:t xml:space="preserve"> </w:t>
      </w:r>
      <w:r w:rsidR="00092276" w:rsidRPr="003478AF">
        <w:br/>
      </w:r>
      <w:r w:rsidR="0038370F" w:rsidRPr="003478AF">
        <w:t>w Polsce</w:t>
      </w:r>
      <w:r w:rsidR="00092276" w:rsidRPr="003478AF">
        <w:t xml:space="preserve"> </w:t>
      </w:r>
      <w:r w:rsidRPr="003478AF">
        <w:t>w latach 2010-20</w:t>
      </w:r>
      <w:r w:rsidR="00C329EF" w:rsidRPr="003478AF">
        <w:t>20</w:t>
      </w:r>
    </w:p>
    <w:p w14:paraId="3FE60678" w14:textId="7A97A103" w:rsidR="0014428F" w:rsidRPr="003478AF" w:rsidRDefault="00021506" w:rsidP="00986D40">
      <w:pPr>
        <w:pStyle w:val="ARYCINA"/>
      </w:pPr>
      <w:r w:rsidRPr="003478AF">
        <w:rPr>
          <w:noProof/>
          <w:lang w:eastAsia="pl-PL"/>
        </w:rPr>
        <w:drawing>
          <wp:inline distT="0" distB="0" distL="0" distR="0" wp14:anchorId="7933BCC7" wp14:editId="53A0C7FD">
            <wp:extent cx="4896000" cy="2755662"/>
            <wp:effectExtent l="0" t="0" r="0" b="6985"/>
            <wp:docPr id="59" name="Obraz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4896000" cy="2755662"/>
                    </a:xfrm>
                    <a:prstGeom prst="rect">
                      <a:avLst/>
                    </a:prstGeom>
                    <a:noFill/>
                  </pic:spPr>
                </pic:pic>
              </a:graphicData>
            </a:graphic>
          </wp:inline>
        </w:drawing>
      </w:r>
    </w:p>
    <w:p w14:paraId="2E82A4AB" w14:textId="55E7DB9A" w:rsidR="00503CAB" w:rsidRPr="003478AF" w:rsidRDefault="0014428F" w:rsidP="00986D40">
      <w:pPr>
        <w:pStyle w:val="AZRODLO"/>
      </w:pPr>
      <w:r w:rsidRPr="003478AF">
        <w:t>Źródło: Opracowanie własne na podstawie danych BDL</w:t>
      </w:r>
    </w:p>
    <w:p w14:paraId="67012D8C" w14:textId="63F69F22" w:rsidR="0014428F" w:rsidRPr="003478AF" w:rsidRDefault="0014428F" w:rsidP="00986D40">
      <w:pPr>
        <w:pStyle w:val="ARYCINA"/>
      </w:pPr>
      <w:r w:rsidRPr="003478AF">
        <w:lastRenderedPageBreak/>
        <w:t>Ryc. 8.1</w:t>
      </w:r>
      <w:r w:rsidR="007365DB" w:rsidRPr="003478AF">
        <w:t>6</w:t>
      </w:r>
      <w:r w:rsidRPr="003478AF">
        <w:t xml:space="preserve"> Ścieki przemysłowe odprowadzone w ciągu roku do sieci kanalizacyjnej (</w:t>
      </w:r>
      <w:r w:rsidR="002D30B2" w:rsidRPr="003478AF">
        <w:t xml:space="preserve">tys. </w:t>
      </w:r>
      <w:r w:rsidRPr="003478AF">
        <w:t>dam</w:t>
      </w:r>
      <w:r w:rsidRPr="003478AF">
        <w:rPr>
          <w:vertAlign w:val="superscript"/>
        </w:rPr>
        <w:t>3</w:t>
      </w:r>
      <w:r w:rsidR="002D30B2" w:rsidRPr="003478AF">
        <w:t xml:space="preserve">) </w:t>
      </w:r>
      <w:r w:rsidR="00007A3A" w:rsidRPr="003478AF">
        <w:br/>
      </w:r>
      <w:r w:rsidR="00092276" w:rsidRPr="003478AF">
        <w:t xml:space="preserve">w województwie wielkopolskim </w:t>
      </w:r>
      <w:r w:rsidRPr="003478AF">
        <w:t>w latach 2010-2019</w:t>
      </w:r>
    </w:p>
    <w:p w14:paraId="333D2F7F" w14:textId="2608E74D" w:rsidR="0014428F" w:rsidRPr="003478AF" w:rsidRDefault="00021506" w:rsidP="00986D40">
      <w:pPr>
        <w:pStyle w:val="AZRODLO"/>
      </w:pPr>
      <w:r w:rsidRPr="003478AF">
        <w:rPr>
          <w:noProof/>
          <w:lang w:eastAsia="pl-PL"/>
        </w:rPr>
        <w:drawing>
          <wp:inline distT="0" distB="0" distL="0" distR="0" wp14:anchorId="050862A6" wp14:editId="0880D676">
            <wp:extent cx="4896000" cy="2597933"/>
            <wp:effectExtent l="0" t="0" r="0" b="0"/>
            <wp:docPr id="58" name="Obraz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4896000" cy="2597933"/>
                    </a:xfrm>
                    <a:prstGeom prst="rect">
                      <a:avLst/>
                    </a:prstGeom>
                    <a:noFill/>
                  </pic:spPr>
                </pic:pic>
              </a:graphicData>
            </a:graphic>
          </wp:inline>
        </w:drawing>
      </w:r>
    </w:p>
    <w:p w14:paraId="4D53FA98" w14:textId="7679F979" w:rsidR="0014428F" w:rsidRPr="003478AF" w:rsidRDefault="0014428F" w:rsidP="00986D40">
      <w:pPr>
        <w:pStyle w:val="AZRODLO"/>
      </w:pPr>
      <w:r w:rsidRPr="003478AF">
        <w:t>Źródło: Opracowanie własne na podstawie danych BDL</w:t>
      </w:r>
    </w:p>
    <w:p w14:paraId="2E2EAA67" w14:textId="127D1744" w:rsidR="00B518C8" w:rsidRPr="003478AF" w:rsidRDefault="00B518C8" w:rsidP="00007A3A"/>
    <w:p w14:paraId="24DFA6D8" w14:textId="68B42FF2" w:rsidR="00137C25" w:rsidRPr="003478AF" w:rsidRDefault="00137C25" w:rsidP="00986D40">
      <w:pPr>
        <w:pStyle w:val="ARYCINA"/>
      </w:pPr>
      <w:r w:rsidRPr="003478AF">
        <w:t>Ryc. 8.1</w:t>
      </w:r>
      <w:r w:rsidR="007365DB" w:rsidRPr="003478AF">
        <w:t>7</w:t>
      </w:r>
      <w:r w:rsidRPr="003478AF">
        <w:t xml:space="preserve"> Ścieki przemysłowe odprowadzone w ciągu roku do sieci kanalizacyjnej (dam</w:t>
      </w:r>
      <w:r w:rsidRPr="003478AF">
        <w:rPr>
          <w:vertAlign w:val="superscript"/>
        </w:rPr>
        <w:t>3</w:t>
      </w:r>
      <w:r w:rsidRPr="003478AF">
        <w:t>)</w:t>
      </w:r>
      <w:r w:rsidRPr="003478AF" w:rsidDel="0014428F">
        <w:t xml:space="preserve"> </w:t>
      </w:r>
      <w:r w:rsidR="00007A3A" w:rsidRPr="003478AF">
        <w:br/>
      </w:r>
      <w:r w:rsidR="0038370F" w:rsidRPr="003478AF">
        <w:t xml:space="preserve">w województwie wielkopolskim według powiatów </w:t>
      </w:r>
      <w:r w:rsidRPr="003478AF">
        <w:t>w 2019 roku</w:t>
      </w:r>
    </w:p>
    <w:p w14:paraId="1C3EB606" w14:textId="5FED13B1" w:rsidR="008414A3" w:rsidRPr="003478AF" w:rsidRDefault="001A1B9C" w:rsidP="00986D40">
      <w:pPr>
        <w:pStyle w:val="AZRODLO"/>
      </w:pPr>
      <w:r w:rsidRPr="003478AF">
        <w:rPr>
          <w:noProof/>
          <w:lang w:eastAsia="pl-PL"/>
        </w:rPr>
        <w:drawing>
          <wp:inline distT="0" distB="0" distL="0" distR="0" wp14:anchorId="566D143C" wp14:editId="53C175C4">
            <wp:extent cx="3240000" cy="3925110"/>
            <wp:effectExtent l="0" t="0" r="0" b="0"/>
            <wp:docPr id="61" name="Obraz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3240000" cy="3925110"/>
                    </a:xfrm>
                    <a:prstGeom prst="rect">
                      <a:avLst/>
                    </a:prstGeom>
                    <a:noFill/>
                    <a:ln>
                      <a:noFill/>
                    </a:ln>
                  </pic:spPr>
                </pic:pic>
              </a:graphicData>
            </a:graphic>
          </wp:inline>
        </w:drawing>
      </w:r>
    </w:p>
    <w:p w14:paraId="5E48AB78" w14:textId="0EF46EF8" w:rsidR="00107715" w:rsidRPr="003478AF" w:rsidRDefault="00137C25" w:rsidP="00986D40">
      <w:pPr>
        <w:pStyle w:val="AZRODLO"/>
      </w:pPr>
      <w:r w:rsidRPr="003478AF">
        <w:t>Źródło: Opracowanie własne na podstawie danych BDL</w:t>
      </w:r>
    </w:p>
    <w:p w14:paraId="11FA6D45" w14:textId="12C15449" w:rsidR="00B90A3C" w:rsidRPr="003478AF" w:rsidRDefault="00B90A3C" w:rsidP="00986D40">
      <w:pPr>
        <w:pStyle w:val="ARYCINA"/>
      </w:pPr>
      <w:r w:rsidRPr="003478AF">
        <w:lastRenderedPageBreak/>
        <w:t xml:space="preserve">Ryc. </w:t>
      </w:r>
      <w:r w:rsidRPr="003478AF">
        <w:rPr>
          <w:noProof/>
        </w:rPr>
        <w:t>8.1</w:t>
      </w:r>
      <w:r w:rsidR="007365DB" w:rsidRPr="003478AF">
        <w:rPr>
          <w:noProof/>
        </w:rPr>
        <w:t>8</w:t>
      </w:r>
      <w:r w:rsidRPr="003478AF">
        <w:rPr>
          <w:noProof/>
        </w:rPr>
        <w:t xml:space="preserve"> </w:t>
      </w:r>
      <w:r w:rsidRPr="003478AF">
        <w:t xml:space="preserve">Ścieki przemysłowe i komunalne wymagające oczyszczania odprowadzone do wód lub do ziemi </w:t>
      </w:r>
      <w:r w:rsidR="00007A3A" w:rsidRPr="003478AF">
        <w:br/>
      </w:r>
      <w:r w:rsidRPr="003478AF">
        <w:t>w ciągu roku - ogółem na 1 mieszkańca (m</w:t>
      </w:r>
      <w:r w:rsidRPr="003478AF">
        <w:rPr>
          <w:vertAlign w:val="superscript"/>
        </w:rPr>
        <w:t>3</w:t>
      </w:r>
      <w:r w:rsidRPr="003478AF">
        <w:t xml:space="preserve">) </w:t>
      </w:r>
      <w:r w:rsidR="0038370F" w:rsidRPr="003478AF">
        <w:t xml:space="preserve">w Polsce </w:t>
      </w:r>
      <w:r w:rsidRPr="003478AF">
        <w:t>w latach 2010-2019</w:t>
      </w:r>
    </w:p>
    <w:p w14:paraId="4F3EABC9" w14:textId="7E25E329" w:rsidR="00B90A3C" w:rsidRPr="003478AF" w:rsidRDefault="00C44A26" w:rsidP="00986D40">
      <w:pPr>
        <w:pStyle w:val="ARYCINA"/>
      </w:pPr>
      <w:r w:rsidRPr="003478AF">
        <w:rPr>
          <w:noProof/>
          <w:lang w:eastAsia="pl-PL"/>
        </w:rPr>
        <w:drawing>
          <wp:inline distT="0" distB="0" distL="0" distR="0" wp14:anchorId="7E92B070" wp14:editId="130BA86E">
            <wp:extent cx="4896000" cy="2642924"/>
            <wp:effectExtent l="0" t="0" r="0" b="5080"/>
            <wp:docPr id="56" name="Obraz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4896000" cy="2642924"/>
                    </a:xfrm>
                    <a:prstGeom prst="rect">
                      <a:avLst/>
                    </a:prstGeom>
                    <a:noFill/>
                  </pic:spPr>
                </pic:pic>
              </a:graphicData>
            </a:graphic>
          </wp:inline>
        </w:drawing>
      </w:r>
    </w:p>
    <w:p w14:paraId="32510EF1" w14:textId="7259310C" w:rsidR="00B90A3C" w:rsidRPr="003478AF" w:rsidRDefault="00B90A3C" w:rsidP="00986D40">
      <w:pPr>
        <w:pStyle w:val="AZRODLO"/>
      </w:pPr>
      <w:r w:rsidRPr="003478AF">
        <w:t>Źródło: Opracowanie własne na podstawie danych BDL</w:t>
      </w:r>
    </w:p>
    <w:p w14:paraId="6AB713FB" w14:textId="500E9F02" w:rsidR="00B90A3C" w:rsidRPr="003478AF" w:rsidRDefault="00B90A3C" w:rsidP="00007A3A"/>
    <w:p w14:paraId="0C867B9F" w14:textId="015C500B" w:rsidR="00B90A3C" w:rsidRPr="003478AF" w:rsidRDefault="00B90A3C" w:rsidP="00986D40">
      <w:pPr>
        <w:pStyle w:val="ARYCINA"/>
      </w:pPr>
      <w:r w:rsidRPr="003478AF">
        <w:t>Ryc. 8.1</w:t>
      </w:r>
      <w:r w:rsidR="007365DB" w:rsidRPr="003478AF">
        <w:t>9</w:t>
      </w:r>
      <w:r w:rsidRPr="003478AF">
        <w:t xml:space="preserve"> Ścieki przemysłowe i komunalne wymagające oczyszczania odprowadzone do wód lub do ziemi </w:t>
      </w:r>
      <w:r w:rsidR="00007A3A" w:rsidRPr="003478AF">
        <w:br/>
      </w:r>
      <w:r w:rsidRPr="003478AF">
        <w:t>w ciągu roku - ogółem na 1 mieszkańca (m</w:t>
      </w:r>
      <w:r w:rsidRPr="003478AF">
        <w:rPr>
          <w:vertAlign w:val="superscript"/>
        </w:rPr>
        <w:t>3</w:t>
      </w:r>
      <w:r w:rsidRPr="003478AF">
        <w:t xml:space="preserve">) </w:t>
      </w:r>
      <w:r w:rsidR="00092276" w:rsidRPr="003478AF">
        <w:t xml:space="preserve">w województwie wielkopolskim </w:t>
      </w:r>
      <w:r w:rsidRPr="003478AF">
        <w:t>w latach 2010-2019</w:t>
      </w:r>
    </w:p>
    <w:p w14:paraId="1E414AC5" w14:textId="5E30F0F8" w:rsidR="00B90A3C" w:rsidRPr="003478AF" w:rsidRDefault="00C44A26" w:rsidP="00986D40">
      <w:pPr>
        <w:pStyle w:val="AZRODLO"/>
      </w:pPr>
      <w:r w:rsidRPr="003478AF">
        <w:rPr>
          <w:noProof/>
          <w:lang w:eastAsia="pl-PL"/>
        </w:rPr>
        <w:drawing>
          <wp:inline distT="0" distB="0" distL="0" distR="0" wp14:anchorId="27275BDE" wp14:editId="35BE8350">
            <wp:extent cx="4896000" cy="2647874"/>
            <wp:effectExtent l="0" t="0" r="0" b="635"/>
            <wp:docPr id="57" name="Obraz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4896000" cy="2647874"/>
                    </a:xfrm>
                    <a:prstGeom prst="rect">
                      <a:avLst/>
                    </a:prstGeom>
                    <a:noFill/>
                  </pic:spPr>
                </pic:pic>
              </a:graphicData>
            </a:graphic>
          </wp:inline>
        </w:drawing>
      </w:r>
    </w:p>
    <w:p w14:paraId="49DE3065" w14:textId="6E51B49C" w:rsidR="00B90A3C" w:rsidRPr="003478AF" w:rsidRDefault="00B90A3C" w:rsidP="00986D40">
      <w:pPr>
        <w:pStyle w:val="AZRODLO"/>
      </w:pPr>
      <w:r w:rsidRPr="003478AF">
        <w:t>Źródło: Opracowanie własne na podstawie danych BDL</w:t>
      </w:r>
    </w:p>
    <w:p w14:paraId="4F8AB597" w14:textId="77777777" w:rsidR="00BD01BE" w:rsidRPr="003478AF" w:rsidRDefault="00BD01BE" w:rsidP="00986D40">
      <w:pPr>
        <w:pStyle w:val="AZRODLO"/>
      </w:pPr>
    </w:p>
    <w:bookmarkEnd w:id="74"/>
    <w:p w14:paraId="6D99FE8D" w14:textId="77777777" w:rsidR="00007A3A" w:rsidRPr="003478AF" w:rsidRDefault="00007A3A">
      <w:pPr>
        <w:spacing w:line="240" w:lineRule="auto"/>
        <w:ind w:firstLine="0"/>
        <w:jc w:val="left"/>
        <w:rPr>
          <w:rFonts w:eastAsia="Arial" w:cs="Arial"/>
          <w:b/>
          <w:bCs/>
          <w:sz w:val="16"/>
          <w:szCs w:val="16"/>
        </w:rPr>
      </w:pPr>
      <w:r w:rsidRPr="003478AF">
        <w:br w:type="page"/>
      </w:r>
    </w:p>
    <w:p w14:paraId="52C70E2D" w14:textId="1C9079B6" w:rsidR="00137C25" w:rsidRPr="003478AF" w:rsidRDefault="00137C25" w:rsidP="00986D40">
      <w:pPr>
        <w:pStyle w:val="ARYCINA"/>
      </w:pPr>
      <w:r w:rsidRPr="003478AF">
        <w:lastRenderedPageBreak/>
        <w:t>Ryc. 8.</w:t>
      </w:r>
      <w:r w:rsidR="00DE51E9" w:rsidRPr="003478AF">
        <w:t>20</w:t>
      </w:r>
      <w:r w:rsidRPr="003478AF">
        <w:t xml:space="preserve"> Ścieki przemysłowe i komunalne wymagające oczyszczania odprowadzone do wód lub do ziemi </w:t>
      </w:r>
      <w:r w:rsidR="00DE51E9" w:rsidRPr="003478AF">
        <w:br/>
      </w:r>
      <w:r w:rsidRPr="003478AF">
        <w:t>w ciągu roku - ogółem na 1 mieszkańca (m</w:t>
      </w:r>
      <w:r w:rsidRPr="003478AF">
        <w:rPr>
          <w:vertAlign w:val="superscript"/>
        </w:rPr>
        <w:t>3</w:t>
      </w:r>
      <w:r w:rsidRPr="003478AF">
        <w:t xml:space="preserve">) </w:t>
      </w:r>
      <w:r w:rsidR="0038370F" w:rsidRPr="003478AF">
        <w:t xml:space="preserve">w województwie wielkopolskim według powiatów </w:t>
      </w:r>
      <w:r w:rsidRPr="003478AF">
        <w:t>w 2019 roku</w:t>
      </w:r>
    </w:p>
    <w:p w14:paraId="3977BB73" w14:textId="64479A88" w:rsidR="00137C25" w:rsidRPr="003478AF" w:rsidRDefault="001A1B9C" w:rsidP="00986D40">
      <w:pPr>
        <w:pStyle w:val="AZRODLO"/>
      </w:pPr>
      <w:r w:rsidRPr="003478AF">
        <w:rPr>
          <w:noProof/>
          <w:lang w:eastAsia="pl-PL"/>
        </w:rPr>
        <w:drawing>
          <wp:inline distT="0" distB="0" distL="0" distR="0" wp14:anchorId="5F80FB8A" wp14:editId="50D5EC3F">
            <wp:extent cx="3240000" cy="4148959"/>
            <wp:effectExtent l="0" t="0" r="0" b="4445"/>
            <wp:docPr id="62" name="Obraz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3240000" cy="4148959"/>
                    </a:xfrm>
                    <a:prstGeom prst="rect">
                      <a:avLst/>
                    </a:prstGeom>
                    <a:noFill/>
                    <a:ln>
                      <a:noFill/>
                    </a:ln>
                  </pic:spPr>
                </pic:pic>
              </a:graphicData>
            </a:graphic>
          </wp:inline>
        </w:drawing>
      </w:r>
    </w:p>
    <w:p w14:paraId="415F0238" w14:textId="3AC2F816" w:rsidR="00137C25" w:rsidRPr="003478AF" w:rsidRDefault="00137C25" w:rsidP="00986D40">
      <w:pPr>
        <w:pStyle w:val="AZRODLO"/>
      </w:pPr>
      <w:r w:rsidRPr="003478AF">
        <w:t>Źródło: Opracowanie własne na podstawie danych BDL</w:t>
      </w:r>
    </w:p>
    <w:p w14:paraId="1CB19EBE" w14:textId="77777777" w:rsidR="009A1C31" w:rsidRPr="003478AF" w:rsidRDefault="009A1C31" w:rsidP="00007A3A"/>
    <w:p w14:paraId="528577A7" w14:textId="05F02014" w:rsidR="005F43F3" w:rsidRPr="003478AF" w:rsidRDefault="005F43F3" w:rsidP="00E6136F">
      <w:pPr>
        <w:spacing w:line="240" w:lineRule="auto"/>
        <w:ind w:firstLine="0"/>
        <w:jc w:val="left"/>
        <w:rPr>
          <w:rFonts w:eastAsia="Arial" w:cs="Arial"/>
          <w:b/>
          <w:bCs/>
          <w:szCs w:val="20"/>
        </w:rPr>
      </w:pPr>
      <w:r w:rsidRPr="003478AF">
        <w:rPr>
          <w:rFonts w:eastAsia="Arial" w:cs="Arial"/>
          <w:b/>
          <w:bCs/>
          <w:szCs w:val="20"/>
        </w:rPr>
        <w:t>Zanieczyszczenie powietrza</w:t>
      </w:r>
    </w:p>
    <w:p w14:paraId="654C2BD7" w14:textId="61708C51" w:rsidR="005F43F3" w:rsidRPr="003478AF" w:rsidRDefault="005F43F3" w:rsidP="005F43F3">
      <w:pPr>
        <w:rPr>
          <w:rFonts w:eastAsia="Arial" w:cs="Arial"/>
          <w:szCs w:val="20"/>
        </w:rPr>
      </w:pPr>
      <w:r w:rsidRPr="003478AF">
        <w:rPr>
          <w:rFonts w:eastAsia="Arial" w:cs="Arial"/>
          <w:szCs w:val="20"/>
        </w:rPr>
        <w:t>W kategorii zanieczyszczenie powietrza wyszczególniono wskaźniki związane z emisją zanieczyszczeń pyłowych i gazowych</w:t>
      </w:r>
      <w:r w:rsidR="0031040C" w:rsidRPr="003478AF">
        <w:rPr>
          <w:rFonts w:eastAsia="Arial" w:cs="Arial"/>
          <w:szCs w:val="20"/>
        </w:rPr>
        <w:t>,</w:t>
      </w:r>
      <w:r w:rsidRPr="003478AF">
        <w:rPr>
          <w:rFonts w:eastAsia="Arial" w:cs="Arial"/>
          <w:szCs w:val="20"/>
        </w:rPr>
        <w:t xml:space="preserve"> dwutlenku węgla</w:t>
      </w:r>
      <w:r w:rsidR="0031040C" w:rsidRPr="003478AF">
        <w:rPr>
          <w:rFonts w:eastAsia="Arial" w:cs="Arial"/>
          <w:szCs w:val="20"/>
        </w:rPr>
        <w:t xml:space="preserve"> i metanu</w:t>
      </w:r>
      <w:r w:rsidRPr="003478AF">
        <w:rPr>
          <w:rFonts w:eastAsia="Arial" w:cs="Arial"/>
          <w:szCs w:val="20"/>
        </w:rPr>
        <w:t xml:space="preserve"> z zakładów szczególnie uciążliwych</w:t>
      </w:r>
      <w:r w:rsidR="004A36D4" w:rsidRPr="003478AF">
        <w:rPr>
          <w:rFonts w:eastAsia="Arial" w:cs="Arial"/>
          <w:szCs w:val="20"/>
        </w:rPr>
        <w:t xml:space="preserve"> dla czystości powietrza</w:t>
      </w:r>
      <w:r w:rsidRPr="003478AF">
        <w:rPr>
          <w:rFonts w:eastAsia="Arial" w:cs="Arial"/>
          <w:szCs w:val="20"/>
        </w:rPr>
        <w:t>.</w:t>
      </w:r>
    </w:p>
    <w:p w14:paraId="335C59E0" w14:textId="4FE79201" w:rsidR="008F5ABA" w:rsidRPr="003478AF" w:rsidRDefault="005F43F3" w:rsidP="005F43F3">
      <w:pPr>
        <w:rPr>
          <w:rFonts w:eastAsia="Arial" w:cs="Arial"/>
          <w:szCs w:val="20"/>
        </w:rPr>
      </w:pPr>
      <w:r w:rsidRPr="003478AF">
        <w:rPr>
          <w:rFonts w:eastAsia="Arial" w:cs="Arial"/>
          <w:szCs w:val="20"/>
        </w:rPr>
        <w:t xml:space="preserve">Głównym źródłem emisji zanieczyszczeń powietrza pochodzenia antropogenicznego </w:t>
      </w:r>
      <w:r w:rsidR="007C14CB" w:rsidRPr="003478AF">
        <w:rPr>
          <w:rFonts w:eastAsia="Arial" w:cs="Arial"/>
          <w:szCs w:val="20"/>
        </w:rPr>
        <w:br/>
      </w:r>
      <w:r w:rsidRPr="003478AF">
        <w:rPr>
          <w:rFonts w:eastAsia="Arial" w:cs="Arial"/>
          <w:szCs w:val="20"/>
        </w:rPr>
        <w:t>w 20</w:t>
      </w:r>
      <w:r w:rsidR="0031040C" w:rsidRPr="003478AF">
        <w:rPr>
          <w:rFonts w:eastAsia="Arial" w:cs="Arial"/>
          <w:szCs w:val="20"/>
        </w:rPr>
        <w:t>20</w:t>
      </w:r>
      <w:r w:rsidRPr="003478AF">
        <w:rPr>
          <w:rFonts w:eastAsia="Arial" w:cs="Arial"/>
          <w:szCs w:val="20"/>
        </w:rPr>
        <w:t xml:space="preserve"> r</w:t>
      </w:r>
      <w:r w:rsidR="004B3441" w:rsidRPr="003478AF">
        <w:rPr>
          <w:rFonts w:eastAsia="Arial" w:cs="Arial"/>
          <w:szCs w:val="20"/>
        </w:rPr>
        <w:t>oku</w:t>
      </w:r>
      <w:r w:rsidRPr="003478AF">
        <w:rPr>
          <w:rFonts w:eastAsia="Arial" w:cs="Arial"/>
          <w:szCs w:val="20"/>
        </w:rPr>
        <w:t xml:space="preserve"> były</w:t>
      </w:r>
      <w:r w:rsidR="004A36D4" w:rsidRPr="003478AF">
        <w:rPr>
          <w:rFonts w:eastAsia="Arial" w:cs="Arial"/>
          <w:szCs w:val="20"/>
        </w:rPr>
        <w:t>,</w:t>
      </w:r>
      <w:r w:rsidRPr="003478AF">
        <w:rPr>
          <w:rFonts w:eastAsia="Arial" w:cs="Arial"/>
          <w:szCs w:val="20"/>
        </w:rPr>
        <w:t xml:space="preserve"> podobnie jak w latach ubiegłych</w:t>
      </w:r>
      <w:r w:rsidR="004A36D4" w:rsidRPr="003478AF">
        <w:rPr>
          <w:rFonts w:eastAsia="Arial" w:cs="Arial"/>
          <w:szCs w:val="20"/>
        </w:rPr>
        <w:t>,</w:t>
      </w:r>
      <w:r w:rsidRPr="003478AF">
        <w:rPr>
          <w:rFonts w:eastAsia="Arial" w:cs="Arial"/>
          <w:szCs w:val="20"/>
        </w:rPr>
        <w:t xml:space="preserve"> źródła stacjonarne, w tym procesy spalania paliw w sektorze produkcji i transformacji energii</w:t>
      </w:r>
      <w:r w:rsidR="00D1083F" w:rsidRPr="003478AF">
        <w:rPr>
          <w:rFonts w:eastAsia="Arial" w:cs="Arial"/>
          <w:szCs w:val="20"/>
        </w:rPr>
        <w:t xml:space="preserve">, </w:t>
      </w:r>
      <w:r w:rsidRPr="003478AF">
        <w:rPr>
          <w:rFonts w:eastAsia="Arial" w:cs="Arial"/>
          <w:szCs w:val="20"/>
        </w:rPr>
        <w:t xml:space="preserve">w przemyśle i małych źródłach spalania (głównie gospodarstwach domowych) oraz </w:t>
      </w:r>
      <w:r w:rsidR="00D1083F" w:rsidRPr="003478AF">
        <w:rPr>
          <w:rFonts w:eastAsia="Arial" w:cs="Arial"/>
          <w:szCs w:val="20"/>
        </w:rPr>
        <w:t xml:space="preserve">w sektorze </w:t>
      </w:r>
      <w:r w:rsidRPr="003478AF">
        <w:rPr>
          <w:rFonts w:eastAsia="Arial" w:cs="Arial"/>
          <w:szCs w:val="20"/>
        </w:rPr>
        <w:t>transport</w:t>
      </w:r>
      <w:r w:rsidR="005F4DDE" w:rsidRPr="003478AF">
        <w:rPr>
          <w:rFonts w:eastAsia="Arial" w:cs="Arial"/>
          <w:szCs w:val="20"/>
        </w:rPr>
        <w:t>u</w:t>
      </w:r>
      <w:r w:rsidRPr="003478AF">
        <w:rPr>
          <w:rFonts w:eastAsia="Arial" w:cs="Arial"/>
          <w:szCs w:val="20"/>
        </w:rPr>
        <w:t>.</w:t>
      </w:r>
    </w:p>
    <w:p w14:paraId="4C198E65" w14:textId="74BF52BF" w:rsidR="005F4DDE" w:rsidRPr="003478AF" w:rsidRDefault="00AB7683">
      <w:pPr>
        <w:rPr>
          <w:rFonts w:eastAsia="Arial" w:cs="Arial"/>
          <w:szCs w:val="20"/>
        </w:rPr>
      </w:pPr>
      <w:r w:rsidRPr="003478AF">
        <w:rPr>
          <w:rFonts w:eastAsia="Arial" w:cs="Arial"/>
          <w:szCs w:val="20"/>
        </w:rPr>
        <w:t xml:space="preserve">W latach 2010-2020 emisja </w:t>
      </w:r>
      <w:r w:rsidR="005F4DDE" w:rsidRPr="003478AF">
        <w:rPr>
          <w:rFonts w:eastAsia="Arial" w:cs="Arial"/>
          <w:szCs w:val="20"/>
        </w:rPr>
        <w:t>metanu</w:t>
      </w:r>
      <w:r w:rsidR="00C63B1E" w:rsidRPr="003478AF">
        <w:rPr>
          <w:rFonts w:eastAsia="Arial" w:cs="Arial"/>
          <w:szCs w:val="20"/>
        </w:rPr>
        <w:t xml:space="preserve"> (8.2</w:t>
      </w:r>
      <w:r w:rsidR="00DE51E9" w:rsidRPr="003478AF">
        <w:rPr>
          <w:rFonts w:eastAsia="Arial" w:cs="Arial"/>
          <w:szCs w:val="20"/>
        </w:rPr>
        <w:t>1</w:t>
      </w:r>
      <w:r w:rsidR="006948A4" w:rsidRPr="003478AF">
        <w:rPr>
          <w:rFonts w:eastAsia="Arial" w:cs="Arial"/>
          <w:szCs w:val="20"/>
        </w:rPr>
        <w:t xml:space="preserve"> i </w:t>
      </w:r>
      <w:r w:rsidR="00C63B1E" w:rsidRPr="003478AF">
        <w:rPr>
          <w:rFonts w:eastAsia="Arial" w:cs="Arial"/>
          <w:szCs w:val="20"/>
        </w:rPr>
        <w:t>8.2</w:t>
      </w:r>
      <w:r w:rsidR="00DE51E9" w:rsidRPr="003478AF">
        <w:rPr>
          <w:rFonts w:eastAsia="Arial" w:cs="Arial"/>
          <w:szCs w:val="20"/>
        </w:rPr>
        <w:t>2</w:t>
      </w:r>
      <w:r w:rsidR="00C63B1E" w:rsidRPr="003478AF">
        <w:rPr>
          <w:rFonts w:eastAsia="Arial" w:cs="Arial"/>
          <w:szCs w:val="20"/>
        </w:rPr>
        <w:t>)</w:t>
      </w:r>
      <w:r w:rsidR="005F4DDE" w:rsidRPr="003478AF">
        <w:rPr>
          <w:rFonts w:eastAsia="Arial" w:cs="Arial"/>
          <w:szCs w:val="20"/>
        </w:rPr>
        <w:t xml:space="preserve">, </w:t>
      </w:r>
      <w:r w:rsidR="00C63B1E" w:rsidRPr="003478AF">
        <w:rPr>
          <w:rFonts w:eastAsia="Arial" w:cs="Arial"/>
          <w:szCs w:val="20"/>
        </w:rPr>
        <w:t>dwutlenku węgla (</w:t>
      </w:r>
      <w:r w:rsidR="00381971" w:rsidRPr="003478AF">
        <w:rPr>
          <w:rFonts w:eastAsia="Arial" w:cs="Arial"/>
          <w:szCs w:val="20"/>
        </w:rPr>
        <w:t>ryc.</w:t>
      </w:r>
      <w:r w:rsidR="00C63B1E" w:rsidRPr="003478AF">
        <w:rPr>
          <w:rFonts w:eastAsia="Arial" w:cs="Arial"/>
          <w:szCs w:val="20"/>
        </w:rPr>
        <w:t xml:space="preserve"> 8.2</w:t>
      </w:r>
      <w:r w:rsidR="002B034E" w:rsidRPr="003478AF">
        <w:rPr>
          <w:rFonts w:eastAsia="Arial" w:cs="Arial"/>
          <w:szCs w:val="20"/>
        </w:rPr>
        <w:t>3</w:t>
      </w:r>
      <w:r w:rsidR="004A36D4" w:rsidRPr="003478AF">
        <w:rPr>
          <w:rFonts w:eastAsia="Arial" w:cs="Arial"/>
          <w:szCs w:val="20"/>
        </w:rPr>
        <w:t xml:space="preserve"> – </w:t>
      </w:r>
      <w:r w:rsidR="00C63B1E" w:rsidRPr="003478AF">
        <w:rPr>
          <w:rFonts w:eastAsia="Arial" w:cs="Arial"/>
          <w:szCs w:val="20"/>
        </w:rPr>
        <w:t>8.2</w:t>
      </w:r>
      <w:r w:rsidR="002B034E" w:rsidRPr="003478AF">
        <w:rPr>
          <w:rFonts w:eastAsia="Arial" w:cs="Arial"/>
          <w:szCs w:val="20"/>
        </w:rPr>
        <w:t>5</w:t>
      </w:r>
      <w:r w:rsidR="00C63B1E" w:rsidRPr="003478AF">
        <w:rPr>
          <w:rFonts w:eastAsia="Arial" w:cs="Arial"/>
          <w:szCs w:val="20"/>
        </w:rPr>
        <w:t xml:space="preserve">), </w:t>
      </w:r>
      <w:r w:rsidR="00336483" w:rsidRPr="003478AF">
        <w:rPr>
          <w:rFonts w:eastAsia="Arial" w:cs="Arial"/>
          <w:szCs w:val="20"/>
        </w:rPr>
        <w:t>zanieczyszczeń pyłowych</w:t>
      </w:r>
      <w:r w:rsidR="00C63B1E" w:rsidRPr="003478AF">
        <w:rPr>
          <w:rFonts w:eastAsia="Arial" w:cs="Arial"/>
          <w:szCs w:val="20"/>
        </w:rPr>
        <w:t xml:space="preserve"> (</w:t>
      </w:r>
      <w:r w:rsidR="00381971" w:rsidRPr="003478AF">
        <w:rPr>
          <w:rFonts w:eastAsia="Arial" w:cs="Arial"/>
          <w:szCs w:val="20"/>
        </w:rPr>
        <w:t>ryc.</w:t>
      </w:r>
      <w:r w:rsidR="00C63B1E" w:rsidRPr="003478AF">
        <w:rPr>
          <w:rFonts w:eastAsia="Arial" w:cs="Arial"/>
          <w:szCs w:val="20"/>
        </w:rPr>
        <w:t xml:space="preserve"> 8.2</w:t>
      </w:r>
      <w:r w:rsidR="002B034E" w:rsidRPr="003478AF">
        <w:rPr>
          <w:rFonts w:eastAsia="Arial" w:cs="Arial"/>
          <w:szCs w:val="20"/>
        </w:rPr>
        <w:t>6</w:t>
      </w:r>
      <w:r w:rsidR="004A36D4" w:rsidRPr="003478AF">
        <w:rPr>
          <w:rFonts w:eastAsia="Arial" w:cs="Arial"/>
          <w:szCs w:val="20"/>
        </w:rPr>
        <w:t xml:space="preserve"> – </w:t>
      </w:r>
      <w:r w:rsidR="00C63B1E" w:rsidRPr="003478AF">
        <w:rPr>
          <w:rFonts w:eastAsia="Arial" w:cs="Arial"/>
          <w:szCs w:val="20"/>
        </w:rPr>
        <w:t>8.2</w:t>
      </w:r>
      <w:r w:rsidR="002B034E" w:rsidRPr="003478AF">
        <w:rPr>
          <w:rFonts w:eastAsia="Arial" w:cs="Arial"/>
          <w:szCs w:val="20"/>
        </w:rPr>
        <w:t>8</w:t>
      </w:r>
      <w:r w:rsidR="00C63B1E" w:rsidRPr="003478AF">
        <w:rPr>
          <w:rFonts w:eastAsia="Arial" w:cs="Arial"/>
          <w:szCs w:val="20"/>
        </w:rPr>
        <w:t>)</w:t>
      </w:r>
      <w:r w:rsidR="00336483" w:rsidRPr="003478AF">
        <w:rPr>
          <w:rFonts w:eastAsia="Arial" w:cs="Arial"/>
          <w:szCs w:val="20"/>
        </w:rPr>
        <w:t xml:space="preserve"> i gazowych</w:t>
      </w:r>
      <w:r w:rsidR="00C63B1E" w:rsidRPr="003478AF">
        <w:rPr>
          <w:rFonts w:eastAsia="Arial" w:cs="Arial"/>
          <w:szCs w:val="20"/>
        </w:rPr>
        <w:t xml:space="preserve"> (</w:t>
      </w:r>
      <w:r w:rsidR="00381971" w:rsidRPr="003478AF">
        <w:rPr>
          <w:rFonts w:eastAsia="Arial" w:cs="Arial"/>
          <w:szCs w:val="20"/>
        </w:rPr>
        <w:t>ryc.</w:t>
      </w:r>
      <w:r w:rsidR="00C63B1E" w:rsidRPr="003478AF">
        <w:rPr>
          <w:rFonts w:eastAsia="Arial" w:cs="Arial"/>
          <w:szCs w:val="20"/>
        </w:rPr>
        <w:t xml:space="preserve"> 8.2</w:t>
      </w:r>
      <w:r w:rsidR="002B034E" w:rsidRPr="003478AF">
        <w:rPr>
          <w:rFonts w:eastAsia="Arial" w:cs="Arial"/>
          <w:szCs w:val="20"/>
        </w:rPr>
        <w:t>9</w:t>
      </w:r>
      <w:r w:rsidR="004A36D4" w:rsidRPr="003478AF">
        <w:rPr>
          <w:rFonts w:eastAsia="Arial" w:cs="Arial"/>
          <w:szCs w:val="20"/>
        </w:rPr>
        <w:t xml:space="preserve"> – </w:t>
      </w:r>
      <w:r w:rsidR="00C63B1E" w:rsidRPr="003478AF">
        <w:rPr>
          <w:rFonts w:eastAsia="Arial" w:cs="Arial"/>
          <w:szCs w:val="20"/>
        </w:rPr>
        <w:t>8.3</w:t>
      </w:r>
      <w:r w:rsidR="002B034E" w:rsidRPr="003478AF">
        <w:rPr>
          <w:rFonts w:eastAsia="Arial" w:cs="Arial"/>
          <w:szCs w:val="20"/>
        </w:rPr>
        <w:t>1</w:t>
      </w:r>
      <w:r w:rsidR="00C63B1E" w:rsidRPr="003478AF">
        <w:rPr>
          <w:rFonts w:eastAsia="Arial" w:cs="Arial"/>
          <w:szCs w:val="20"/>
        </w:rPr>
        <w:t>)</w:t>
      </w:r>
      <w:r w:rsidR="005F4DDE" w:rsidRPr="003478AF">
        <w:rPr>
          <w:rFonts w:eastAsia="Arial" w:cs="Arial"/>
          <w:szCs w:val="20"/>
        </w:rPr>
        <w:t>,</w:t>
      </w:r>
      <w:r w:rsidR="00336483" w:rsidRPr="003478AF">
        <w:rPr>
          <w:rFonts w:eastAsia="Arial" w:cs="Arial"/>
          <w:szCs w:val="20"/>
        </w:rPr>
        <w:t xml:space="preserve"> w </w:t>
      </w:r>
      <w:r w:rsidR="005F4DDE" w:rsidRPr="003478AF">
        <w:rPr>
          <w:rFonts w:cs="Arial"/>
          <w:szCs w:val="20"/>
        </w:rPr>
        <w:t>zakładach szczególnie uciążliwych dla czystości powietrza</w:t>
      </w:r>
      <w:r w:rsidR="00336483" w:rsidRPr="003478AF">
        <w:rPr>
          <w:rFonts w:eastAsia="Arial" w:cs="Arial"/>
          <w:szCs w:val="20"/>
        </w:rPr>
        <w:t xml:space="preserve"> m</w:t>
      </w:r>
      <w:r w:rsidRPr="003478AF">
        <w:rPr>
          <w:rFonts w:eastAsia="Arial" w:cs="Arial"/>
          <w:szCs w:val="20"/>
        </w:rPr>
        <w:t>iał</w:t>
      </w:r>
      <w:r w:rsidR="00336483" w:rsidRPr="003478AF">
        <w:rPr>
          <w:rFonts w:eastAsia="Arial" w:cs="Arial"/>
          <w:szCs w:val="20"/>
        </w:rPr>
        <w:t xml:space="preserve">a </w:t>
      </w:r>
      <w:r w:rsidRPr="003478AF">
        <w:rPr>
          <w:rFonts w:eastAsia="Arial" w:cs="Arial"/>
          <w:szCs w:val="20"/>
        </w:rPr>
        <w:t xml:space="preserve">w Polsce i Wielkopolsce </w:t>
      </w:r>
      <w:r w:rsidR="00336483" w:rsidRPr="003478AF">
        <w:rPr>
          <w:rFonts w:eastAsia="Arial" w:cs="Arial"/>
          <w:szCs w:val="20"/>
        </w:rPr>
        <w:t>tendencję spadkową.</w:t>
      </w:r>
    </w:p>
    <w:p w14:paraId="6D031C28" w14:textId="325F784F" w:rsidR="004B3179" w:rsidRPr="003478AF" w:rsidRDefault="004B3179" w:rsidP="00DE355D">
      <w:pPr>
        <w:rPr>
          <w:rFonts w:eastAsia="Arial" w:cs="Arial"/>
          <w:szCs w:val="20"/>
        </w:rPr>
      </w:pPr>
      <w:bookmarkStart w:id="76" w:name="_Hlk76725172"/>
      <w:r w:rsidRPr="003478AF">
        <w:rPr>
          <w:rFonts w:eastAsia="Arial" w:cs="Arial"/>
          <w:szCs w:val="20"/>
        </w:rPr>
        <w:t>W Wielkopolsce e</w:t>
      </w:r>
      <w:r w:rsidR="001A6BDA" w:rsidRPr="003478AF">
        <w:rPr>
          <w:rFonts w:eastAsia="Arial" w:cs="Arial"/>
          <w:szCs w:val="20"/>
        </w:rPr>
        <w:t xml:space="preserve">misja dwutlenku węgla </w:t>
      </w:r>
      <w:r w:rsidR="007771B7" w:rsidRPr="003478AF">
        <w:rPr>
          <w:rFonts w:eastAsia="Arial" w:cs="Arial"/>
          <w:szCs w:val="20"/>
        </w:rPr>
        <w:t xml:space="preserve">zmniejszyła się </w:t>
      </w:r>
      <w:r w:rsidRPr="003478AF">
        <w:rPr>
          <w:rFonts w:eastAsia="Arial" w:cs="Arial"/>
          <w:szCs w:val="20"/>
        </w:rPr>
        <w:t xml:space="preserve">z 16,7 mln </w:t>
      </w:r>
      <w:r w:rsidR="00791DDE" w:rsidRPr="003478AF">
        <w:rPr>
          <w:rFonts w:eastAsia="Arial" w:cs="Arial"/>
          <w:szCs w:val="20"/>
        </w:rPr>
        <w:t>t</w:t>
      </w:r>
      <w:r w:rsidRPr="003478AF">
        <w:rPr>
          <w:rFonts w:eastAsia="Arial" w:cs="Arial"/>
          <w:szCs w:val="20"/>
        </w:rPr>
        <w:t xml:space="preserve"> w 2010 roku do </w:t>
      </w:r>
      <w:r w:rsidR="00791DDE" w:rsidRPr="003478AF">
        <w:rPr>
          <w:rFonts w:eastAsia="Arial" w:cs="Arial"/>
          <w:szCs w:val="20"/>
        </w:rPr>
        <w:t>9,6</w:t>
      </w:r>
      <w:r w:rsidRPr="003478AF">
        <w:rPr>
          <w:rFonts w:eastAsia="Arial" w:cs="Arial"/>
          <w:szCs w:val="20"/>
        </w:rPr>
        <w:t xml:space="preserve"> mln </w:t>
      </w:r>
      <w:r w:rsidR="00791DDE" w:rsidRPr="003478AF">
        <w:rPr>
          <w:rFonts w:eastAsia="Arial" w:cs="Arial"/>
          <w:szCs w:val="20"/>
        </w:rPr>
        <w:t>t</w:t>
      </w:r>
      <w:r w:rsidRPr="003478AF">
        <w:rPr>
          <w:rFonts w:eastAsia="Arial" w:cs="Arial"/>
          <w:szCs w:val="20"/>
        </w:rPr>
        <w:t xml:space="preserve"> w 20</w:t>
      </w:r>
      <w:r w:rsidR="00791DDE" w:rsidRPr="003478AF">
        <w:rPr>
          <w:rFonts w:eastAsia="Arial" w:cs="Arial"/>
          <w:szCs w:val="20"/>
        </w:rPr>
        <w:t>20</w:t>
      </w:r>
      <w:r w:rsidRPr="003478AF">
        <w:rPr>
          <w:rFonts w:eastAsia="Arial" w:cs="Arial"/>
          <w:szCs w:val="20"/>
        </w:rPr>
        <w:t xml:space="preserve"> roku (</w:t>
      </w:r>
      <w:r w:rsidR="00381971" w:rsidRPr="003478AF">
        <w:rPr>
          <w:rFonts w:eastAsia="Arial" w:cs="Arial"/>
          <w:szCs w:val="20"/>
        </w:rPr>
        <w:t>ryc.</w:t>
      </w:r>
      <w:r w:rsidRPr="003478AF">
        <w:rPr>
          <w:rFonts w:eastAsia="Arial" w:cs="Arial"/>
          <w:szCs w:val="20"/>
        </w:rPr>
        <w:t xml:space="preserve"> 8.2</w:t>
      </w:r>
      <w:r w:rsidR="002B034E" w:rsidRPr="003478AF">
        <w:rPr>
          <w:rFonts w:eastAsia="Arial" w:cs="Arial"/>
          <w:szCs w:val="20"/>
        </w:rPr>
        <w:t>4</w:t>
      </w:r>
      <w:r w:rsidRPr="003478AF">
        <w:rPr>
          <w:rFonts w:eastAsia="Arial" w:cs="Arial"/>
          <w:szCs w:val="20"/>
        </w:rPr>
        <w:t>), a w przypadku emisji zanieczyszczeń pyłowych i gazowych było to</w:t>
      </w:r>
      <w:r w:rsidR="007771B7" w:rsidRPr="003478AF">
        <w:rPr>
          <w:rFonts w:eastAsia="Arial" w:cs="Arial"/>
          <w:szCs w:val="20"/>
        </w:rPr>
        <w:t xml:space="preserve"> spadki</w:t>
      </w:r>
      <w:r w:rsidRPr="003478AF">
        <w:rPr>
          <w:rFonts w:eastAsia="Arial" w:cs="Arial"/>
          <w:szCs w:val="20"/>
        </w:rPr>
        <w:t xml:space="preserve"> odpowiednio: z 5,6 tys. </w:t>
      </w:r>
      <w:r w:rsidR="00791DDE" w:rsidRPr="003478AF">
        <w:rPr>
          <w:rFonts w:eastAsia="Arial" w:cs="Arial"/>
          <w:szCs w:val="20"/>
        </w:rPr>
        <w:t>t</w:t>
      </w:r>
      <w:r w:rsidRPr="003478AF">
        <w:rPr>
          <w:rFonts w:eastAsia="Arial" w:cs="Arial"/>
          <w:szCs w:val="20"/>
        </w:rPr>
        <w:t xml:space="preserve"> w 2010 roku do 1,</w:t>
      </w:r>
      <w:r w:rsidR="003962AC" w:rsidRPr="003478AF">
        <w:rPr>
          <w:rFonts w:eastAsia="Arial" w:cs="Arial"/>
          <w:szCs w:val="20"/>
        </w:rPr>
        <w:t>7</w:t>
      </w:r>
      <w:r w:rsidRPr="003478AF">
        <w:rPr>
          <w:rFonts w:eastAsia="Arial" w:cs="Arial"/>
          <w:szCs w:val="20"/>
        </w:rPr>
        <w:t xml:space="preserve"> tys. </w:t>
      </w:r>
      <w:r w:rsidR="00791DDE" w:rsidRPr="003478AF">
        <w:rPr>
          <w:rFonts w:eastAsia="Arial" w:cs="Arial"/>
          <w:szCs w:val="20"/>
        </w:rPr>
        <w:t>t</w:t>
      </w:r>
      <w:r w:rsidRPr="003478AF">
        <w:rPr>
          <w:rFonts w:eastAsia="Arial" w:cs="Arial"/>
          <w:szCs w:val="20"/>
        </w:rPr>
        <w:t xml:space="preserve"> w 20</w:t>
      </w:r>
      <w:r w:rsidR="003962AC" w:rsidRPr="003478AF">
        <w:rPr>
          <w:rFonts w:eastAsia="Arial" w:cs="Arial"/>
          <w:szCs w:val="20"/>
        </w:rPr>
        <w:t>20</w:t>
      </w:r>
      <w:r w:rsidRPr="003478AF">
        <w:rPr>
          <w:rFonts w:eastAsia="Arial" w:cs="Arial"/>
          <w:szCs w:val="20"/>
        </w:rPr>
        <w:t xml:space="preserve"> roku</w:t>
      </w:r>
      <w:r w:rsidR="00C63B1E" w:rsidRPr="003478AF">
        <w:rPr>
          <w:rFonts w:eastAsia="Arial" w:cs="Arial"/>
          <w:szCs w:val="20"/>
        </w:rPr>
        <w:t xml:space="preserve"> (</w:t>
      </w:r>
      <w:r w:rsidR="00381971" w:rsidRPr="003478AF">
        <w:rPr>
          <w:rFonts w:eastAsia="Arial" w:cs="Arial"/>
          <w:szCs w:val="20"/>
        </w:rPr>
        <w:t>ryc.</w:t>
      </w:r>
      <w:r w:rsidR="00C63B1E" w:rsidRPr="003478AF">
        <w:rPr>
          <w:rFonts w:eastAsia="Arial" w:cs="Arial"/>
          <w:szCs w:val="20"/>
        </w:rPr>
        <w:t xml:space="preserve"> 8.2</w:t>
      </w:r>
      <w:r w:rsidR="002B034E" w:rsidRPr="003478AF">
        <w:rPr>
          <w:rFonts w:eastAsia="Arial" w:cs="Arial"/>
          <w:szCs w:val="20"/>
        </w:rPr>
        <w:t>7</w:t>
      </w:r>
      <w:r w:rsidR="00C63B1E" w:rsidRPr="003478AF">
        <w:rPr>
          <w:rFonts w:eastAsia="Arial" w:cs="Arial"/>
          <w:szCs w:val="20"/>
        </w:rPr>
        <w:t>)</w:t>
      </w:r>
      <w:r w:rsidRPr="003478AF">
        <w:rPr>
          <w:rFonts w:eastAsia="Arial" w:cs="Arial"/>
          <w:szCs w:val="20"/>
        </w:rPr>
        <w:t xml:space="preserve">; z 16,8 </w:t>
      </w:r>
      <w:r w:rsidR="00C63B1E" w:rsidRPr="003478AF">
        <w:rPr>
          <w:rFonts w:eastAsia="Arial" w:cs="Arial"/>
          <w:szCs w:val="20"/>
        </w:rPr>
        <w:t>mln</w:t>
      </w:r>
      <w:r w:rsidRPr="003478AF">
        <w:rPr>
          <w:rFonts w:eastAsia="Arial" w:cs="Arial"/>
          <w:szCs w:val="20"/>
        </w:rPr>
        <w:t xml:space="preserve"> </w:t>
      </w:r>
      <w:r w:rsidR="00791DDE" w:rsidRPr="003478AF">
        <w:rPr>
          <w:rFonts w:eastAsia="Arial" w:cs="Arial"/>
          <w:szCs w:val="20"/>
        </w:rPr>
        <w:t>t</w:t>
      </w:r>
      <w:r w:rsidRPr="003478AF">
        <w:rPr>
          <w:rFonts w:eastAsia="Arial" w:cs="Arial"/>
          <w:szCs w:val="20"/>
        </w:rPr>
        <w:t xml:space="preserve"> w 2010 roku do </w:t>
      </w:r>
      <w:r w:rsidR="003962AC" w:rsidRPr="003478AF">
        <w:rPr>
          <w:rFonts w:eastAsia="Arial" w:cs="Arial"/>
          <w:szCs w:val="20"/>
        </w:rPr>
        <w:t>9,7</w:t>
      </w:r>
      <w:r w:rsidRPr="003478AF">
        <w:rPr>
          <w:rFonts w:eastAsia="Arial" w:cs="Arial"/>
          <w:szCs w:val="20"/>
        </w:rPr>
        <w:t xml:space="preserve"> </w:t>
      </w:r>
      <w:r w:rsidR="00C63B1E" w:rsidRPr="003478AF">
        <w:rPr>
          <w:rFonts w:eastAsia="Arial" w:cs="Arial"/>
          <w:szCs w:val="20"/>
        </w:rPr>
        <w:t>mln</w:t>
      </w:r>
      <w:r w:rsidRPr="003478AF">
        <w:rPr>
          <w:rFonts w:eastAsia="Arial" w:cs="Arial"/>
          <w:szCs w:val="20"/>
        </w:rPr>
        <w:t xml:space="preserve"> </w:t>
      </w:r>
      <w:r w:rsidR="00791DDE" w:rsidRPr="003478AF">
        <w:rPr>
          <w:rFonts w:eastAsia="Arial" w:cs="Arial"/>
          <w:szCs w:val="20"/>
        </w:rPr>
        <w:t>t</w:t>
      </w:r>
      <w:r w:rsidRPr="003478AF">
        <w:rPr>
          <w:rFonts w:eastAsia="Arial" w:cs="Arial"/>
          <w:szCs w:val="20"/>
        </w:rPr>
        <w:t xml:space="preserve"> w 20</w:t>
      </w:r>
      <w:r w:rsidR="003962AC" w:rsidRPr="003478AF">
        <w:rPr>
          <w:rFonts w:eastAsia="Arial" w:cs="Arial"/>
          <w:szCs w:val="20"/>
        </w:rPr>
        <w:t>20</w:t>
      </w:r>
      <w:r w:rsidRPr="003478AF">
        <w:rPr>
          <w:rFonts w:eastAsia="Arial" w:cs="Arial"/>
          <w:szCs w:val="20"/>
        </w:rPr>
        <w:t xml:space="preserve"> roku</w:t>
      </w:r>
      <w:r w:rsidR="00C63B1E" w:rsidRPr="003478AF">
        <w:rPr>
          <w:rFonts w:eastAsia="Arial" w:cs="Arial"/>
          <w:szCs w:val="20"/>
        </w:rPr>
        <w:t xml:space="preserve"> (</w:t>
      </w:r>
      <w:r w:rsidR="00381971" w:rsidRPr="003478AF">
        <w:rPr>
          <w:rFonts w:eastAsia="Arial" w:cs="Arial"/>
          <w:szCs w:val="20"/>
        </w:rPr>
        <w:t>ryc.</w:t>
      </w:r>
      <w:r w:rsidR="00C63B1E" w:rsidRPr="003478AF">
        <w:rPr>
          <w:rFonts w:eastAsia="Arial" w:cs="Arial"/>
          <w:szCs w:val="20"/>
        </w:rPr>
        <w:t xml:space="preserve"> 8.</w:t>
      </w:r>
      <w:r w:rsidR="002B034E" w:rsidRPr="003478AF">
        <w:rPr>
          <w:rFonts w:eastAsia="Arial" w:cs="Arial"/>
          <w:szCs w:val="20"/>
        </w:rPr>
        <w:t>30</w:t>
      </w:r>
      <w:r w:rsidR="00C63B1E" w:rsidRPr="003478AF">
        <w:rPr>
          <w:rFonts w:eastAsia="Arial" w:cs="Arial"/>
          <w:szCs w:val="20"/>
        </w:rPr>
        <w:t>)</w:t>
      </w:r>
      <w:r w:rsidRPr="003478AF">
        <w:rPr>
          <w:rFonts w:eastAsia="Arial" w:cs="Arial"/>
          <w:szCs w:val="20"/>
        </w:rPr>
        <w:t>.</w:t>
      </w:r>
    </w:p>
    <w:bookmarkEnd w:id="76"/>
    <w:p w14:paraId="0D6966C7" w14:textId="6A053964" w:rsidR="00842377" w:rsidRPr="003478AF" w:rsidRDefault="00842377" w:rsidP="00842377">
      <w:pPr>
        <w:rPr>
          <w:rFonts w:eastAsia="Arial" w:cs="Arial"/>
          <w:szCs w:val="20"/>
        </w:rPr>
      </w:pPr>
      <w:r w:rsidRPr="003478AF">
        <w:rPr>
          <w:rFonts w:eastAsia="Arial" w:cs="Arial"/>
          <w:szCs w:val="20"/>
        </w:rPr>
        <w:lastRenderedPageBreak/>
        <w:t>W 20</w:t>
      </w:r>
      <w:r w:rsidR="003962AC" w:rsidRPr="003478AF">
        <w:rPr>
          <w:rFonts w:eastAsia="Arial" w:cs="Arial"/>
          <w:szCs w:val="20"/>
        </w:rPr>
        <w:t>20</w:t>
      </w:r>
      <w:r w:rsidRPr="003478AF">
        <w:rPr>
          <w:rFonts w:eastAsia="Arial" w:cs="Arial"/>
          <w:szCs w:val="20"/>
        </w:rPr>
        <w:t xml:space="preserve"> roku najwyższ</w:t>
      </w:r>
      <w:r w:rsidR="004A36D4" w:rsidRPr="003478AF">
        <w:rPr>
          <w:rFonts w:eastAsia="Arial" w:cs="Arial"/>
          <w:szCs w:val="20"/>
        </w:rPr>
        <w:t>a wartość</w:t>
      </w:r>
      <w:r w:rsidRPr="003478AF">
        <w:rPr>
          <w:rFonts w:eastAsia="Arial" w:cs="Arial"/>
          <w:szCs w:val="20"/>
        </w:rPr>
        <w:t xml:space="preserve"> emisji zanieczyszczeń pyłowych</w:t>
      </w:r>
      <w:r w:rsidR="00B576EB" w:rsidRPr="003478AF">
        <w:rPr>
          <w:rFonts w:eastAsia="Arial" w:cs="Arial"/>
          <w:szCs w:val="20"/>
        </w:rPr>
        <w:t>, gazowych, CO</w:t>
      </w:r>
      <w:r w:rsidR="00B576EB" w:rsidRPr="003478AF">
        <w:rPr>
          <w:rFonts w:eastAsia="Arial" w:cs="Arial"/>
          <w:szCs w:val="20"/>
          <w:vertAlign w:val="subscript"/>
        </w:rPr>
        <w:t>2</w:t>
      </w:r>
      <w:r w:rsidR="00B576EB" w:rsidRPr="003478AF">
        <w:rPr>
          <w:rFonts w:eastAsia="Arial" w:cs="Arial"/>
          <w:szCs w:val="20"/>
        </w:rPr>
        <w:t xml:space="preserve"> </w:t>
      </w:r>
      <w:r w:rsidR="004A36D4" w:rsidRPr="003478AF">
        <w:rPr>
          <w:rFonts w:eastAsia="Arial" w:cs="Arial"/>
          <w:szCs w:val="20"/>
        </w:rPr>
        <w:br/>
      </w:r>
      <w:r w:rsidR="00B576EB" w:rsidRPr="003478AF">
        <w:rPr>
          <w:rFonts w:eastAsia="Arial" w:cs="Arial"/>
          <w:szCs w:val="20"/>
        </w:rPr>
        <w:t>i metanu</w:t>
      </w:r>
      <w:r w:rsidRPr="003478AF">
        <w:rPr>
          <w:rFonts w:eastAsia="Arial" w:cs="Arial"/>
          <w:szCs w:val="20"/>
        </w:rPr>
        <w:t xml:space="preserve"> występ</w:t>
      </w:r>
      <w:r w:rsidR="004B3179" w:rsidRPr="003478AF">
        <w:rPr>
          <w:rFonts w:eastAsia="Arial" w:cs="Arial"/>
          <w:szCs w:val="20"/>
        </w:rPr>
        <w:t>ował</w:t>
      </w:r>
      <w:r w:rsidR="004A36D4" w:rsidRPr="003478AF">
        <w:rPr>
          <w:rFonts w:eastAsia="Arial" w:cs="Arial"/>
          <w:szCs w:val="20"/>
        </w:rPr>
        <w:t>a</w:t>
      </w:r>
      <w:r w:rsidRPr="003478AF">
        <w:rPr>
          <w:rFonts w:eastAsia="Arial" w:cs="Arial"/>
          <w:szCs w:val="20"/>
        </w:rPr>
        <w:t xml:space="preserve"> w </w:t>
      </w:r>
      <w:r w:rsidR="004B3179" w:rsidRPr="003478AF">
        <w:rPr>
          <w:rFonts w:eastAsia="Arial" w:cs="Arial"/>
          <w:szCs w:val="20"/>
        </w:rPr>
        <w:t>m.</w:t>
      </w:r>
      <w:r w:rsidR="00B576EB" w:rsidRPr="003478AF">
        <w:rPr>
          <w:rFonts w:eastAsia="Arial" w:cs="Arial"/>
          <w:szCs w:val="20"/>
        </w:rPr>
        <w:t xml:space="preserve"> </w:t>
      </w:r>
      <w:r w:rsidR="004B3179" w:rsidRPr="003478AF">
        <w:rPr>
          <w:rFonts w:eastAsia="Arial" w:cs="Arial"/>
          <w:szCs w:val="20"/>
        </w:rPr>
        <w:t>Konin</w:t>
      </w:r>
      <w:r w:rsidR="008D52C2" w:rsidRPr="003478AF">
        <w:rPr>
          <w:rFonts w:eastAsia="Arial" w:cs="Arial"/>
          <w:szCs w:val="20"/>
        </w:rPr>
        <w:t>.</w:t>
      </w:r>
    </w:p>
    <w:p w14:paraId="4D8622DC" w14:textId="77777777" w:rsidR="00BC3AB9" w:rsidRPr="003478AF" w:rsidRDefault="00BC3AB9" w:rsidP="00336483">
      <w:pPr>
        <w:rPr>
          <w:rFonts w:eastAsia="Arial" w:cs="Arial"/>
          <w:szCs w:val="20"/>
        </w:rPr>
      </w:pPr>
    </w:p>
    <w:p w14:paraId="24BEA537" w14:textId="1397441F" w:rsidR="00674A90" w:rsidRPr="003478AF" w:rsidRDefault="003C6248" w:rsidP="00986D40">
      <w:pPr>
        <w:pStyle w:val="ARYCINA"/>
      </w:pPr>
      <w:r w:rsidRPr="003478AF">
        <w:t xml:space="preserve">Ryc. </w:t>
      </w:r>
      <w:r w:rsidR="00F76A2B" w:rsidRPr="003478AF">
        <w:t>8.</w:t>
      </w:r>
      <w:r w:rsidR="00997BA4" w:rsidRPr="003478AF">
        <w:t>2</w:t>
      </w:r>
      <w:r w:rsidR="00DE51E9" w:rsidRPr="003478AF">
        <w:t>1</w:t>
      </w:r>
      <w:r w:rsidR="00F76A2B" w:rsidRPr="003478AF">
        <w:t xml:space="preserve"> </w:t>
      </w:r>
      <w:bookmarkStart w:id="77" w:name="_Hlk76628242"/>
      <w:r w:rsidR="008414A3" w:rsidRPr="003478AF">
        <w:t>Emisja zanieczyszczeń metanu w zakładach szczególnie uciążliwych</w:t>
      </w:r>
      <w:r w:rsidR="00EB235F" w:rsidRPr="003478AF">
        <w:t xml:space="preserve"> </w:t>
      </w:r>
      <w:r w:rsidR="008414A3" w:rsidRPr="003478AF">
        <w:t>(tys. t/rok)</w:t>
      </w:r>
      <w:r w:rsidR="0038370F" w:rsidRPr="003478AF">
        <w:t xml:space="preserve"> </w:t>
      </w:r>
      <w:r w:rsidR="002131C8" w:rsidRPr="003478AF">
        <w:br/>
      </w:r>
      <w:r w:rsidRPr="003478AF">
        <w:t>w Polsce w latach 2010-20</w:t>
      </w:r>
      <w:r w:rsidR="00DE14FC" w:rsidRPr="003478AF">
        <w:t>20</w:t>
      </w:r>
      <w:bookmarkEnd w:id="77"/>
    </w:p>
    <w:p w14:paraId="41B3E2FC" w14:textId="60E46DCC" w:rsidR="00674A90" w:rsidRPr="003478AF" w:rsidRDefault="00DE14FC" w:rsidP="006021D5">
      <w:pPr>
        <w:ind w:firstLine="0"/>
        <w:jc w:val="center"/>
        <w:rPr>
          <w:rFonts w:eastAsia="Arial" w:cs="Arial"/>
          <w:b/>
          <w:bCs/>
          <w:szCs w:val="20"/>
        </w:rPr>
      </w:pPr>
      <w:r w:rsidRPr="003478AF">
        <w:rPr>
          <w:rFonts w:eastAsia="Arial" w:cs="Arial"/>
          <w:b/>
          <w:bCs/>
          <w:noProof/>
          <w:szCs w:val="20"/>
          <w:lang w:eastAsia="pl-PL"/>
        </w:rPr>
        <w:drawing>
          <wp:inline distT="0" distB="0" distL="0" distR="0" wp14:anchorId="692E742A" wp14:editId="301E4FFE">
            <wp:extent cx="4896000" cy="2785150"/>
            <wp:effectExtent l="0" t="0" r="0" b="0"/>
            <wp:docPr id="60" name="Obraz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4896000" cy="2785150"/>
                    </a:xfrm>
                    <a:prstGeom prst="rect">
                      <a:avLst/>
                    </a:prstGeom>
                    <a:noFill/>
                  </pic:spPr>
                </pic:pic>
              </a:graphicData>
            </a:graphic>
          </wp:inline>
        </w:drawing>
      </w:r>
    </w:p>
    <w:p w14:paraId="3779E07A" w14:textId="2811CDB2" w:rsidR="00674A90" w:rsidRPr="003478AF" w:rsidRDefault="009A1C31" w:rsidP="00986D40">
      <w:pPr>
        <w:pStyle w:val="AZRODLO"/>
      </w:pPr>
      <w:r w:rsidRPr="003478AF">
        <w:t>Źródło: Opracowanie własne na podstawie danych BDL</w:t>
      </w:r>
    </w:p>
    <w:p w14:paraId="5C044F02" w14:textId="77777777" w:rsidR="009A1C31" w:rsidRPr="003478AF" w:rsidRDefault="009A1C31" w:rsidP="00007A3A"/>
    <w:p w14:paraId="7CA93345" w14:textId="4EE5FBAD" w:rsidR="003C6248" w:rsidRPr="003478AF" w:rsidRDefault="003C6248" w:rsidP="00986D40">
      <w:pPr>
        <w:pStyle w:val="ARYCINA"/>
      </w:pPr>
      <w:r w:rsidRPr="003478AF">
        <w:t xml:space="preserve">Ryc. </w:t>
      </w:r>
      <w:r w:rsidR="00F76A2B" w:rsidRPr="003478AF">
        <w:t>8.2</w:t>
      </w:r>
      <w:r w:rsidR="00DE51E9" w:rsidRPr="003478AF">
        <w:t>2</w:t>
      </w:r>
      <w:r w:rsidR="00F76A2B" w:rsidRPr="003478AF">
        <w:t xml:space="preserve"> </w:t>
      </w:r>
      <w:r w:rsidR="008414A3" w:rsidRPr="003478AF">
        <w:t xml:space="preserve">Emisja zanieczyszczeń metanu w zakładach szczególnie uciążliwych (tys. t/rok) </w:t>
      </w:r>
      <w:r w:rsidR="00EB235F" w:rsidRPr="003478AF">
        <w:br/>
      </w:r>
      <w:r w:rsidR="00092276" w:rsidRPr="003478AF">
        <w:t xml:space="preserve">w województwie wielkopolskim </w:t>
      </w:r>
      <w:r w:rsidR="00DE14FC" w:rsidRPr="003478AF">
        <w:t xml:space="preserve">w </w:t>
      </w:r>
      <w:r w:rsidRPr="003478AF">
        <w:t>latach 2010-20</w:t>
      </w:r>
      <w:r w:rsidR="00C63B1E" w:rsidRPr="003478AF">
        <w:t>20</w:t>
      </w:r>
    </w:p>
    <w:p w14:paraId="3B71283C" w14:textId="050E70F8" w:rsidR="00674A90" w:rsidRPr="003478AF" w:rsidRDefault="00DE14FC" w:rsidP="006021D5">
      <w:pPr>
        <w:ind w:firstLine="0"/>
        <w:jc w:val="center"/>
        <w:rPr>
          <w:rFonts w:eastAsia="Arial" w:cs="Arial"/>
          <w:b/>
          <w:bCs/>
          <w:szCs w:val="20"/>
        </w:rPr>
      </w:pPr>
      <w:r w:rsidRPr="003478AF">
        <w:rPr>
          <w:rFonts w:eastAsia="Arial" w:cs="Arial"/>
          <w:b/>
          <w:bCs/>
          <w:noProof/>
          <w:szCs w:val="20"/>
          <w:lang w:eastAsia="pl-PL"/>
        </w:rPr>
        <w:drawing>
          <wp:inline distT="0" distB="0" distL="0" distR="0" wp14:anchorId="1462ACD6" wp14:editId="2F16CC14">
            <wp:extent cx="4896000" cy="2698406"/>
            <wp:effectExtent l="0" t="0" r="0" b="6985"/>
            <wp:docPr id="76" name="Obraz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4896000" cy="2698406"/>
                    </a:xfrm>
                    <a:prstGeom prst="rect">
                      <a:avLst/>
                    </a:prstGeom>
                    <a:noFill/>
                  </pic:spPr>
                </pic:pic>
              </a:graphicData>
            </a:graphic>
          </wp:inline>
        </w:drawing>
      </w:r>
    </w:p>
    <w:p w14:paraId="7B84630B" w14:textId="792B1133" w:rsidR="00674A90" w:rsidRPr="003478AF" w:rsidRDefault="009A1C31" w:rsidP="00986D40">
      <w:pPr>
        <w:pStyle w:val="AZRODLO"/>
      </w:pPr>
      <w:r w:rsidRPr="003478AF">
        <w:t>Źródło: Opracowanie własne na podstawie danych BDL</w:t>
      </w:r>
    </w:p>
    <w:p w14:paraId="043FB736" w14:textId="77777777" w:rsidR="007D5B90" w:rsidRPr="003478AF" w:rsidRDefault="007D5B90" w:rsidP="00986D40">
      <w:pPr>
        <w:pStyle w:val="AZRODLO"/>
      </w:pPr>
    </w:p>
    <w:p w14:paraId="371A080A" w14:textId="77777777" w:rsidR="00007A3A" w:rsidRPr="003478AF" w:rsidRDefault="00007A3A">
      <w:pPr>
        <w:spacing w:line="240" w:lineRule="auto"/>
        <w:ind w:firstLine="0"/>
        <w:jc w:val="left"/>
        <w:rPr>
          <w:rFonts w:eastAsia="Arial" w:cs="Arial"/>
          <w:b/>
          <w:bCs/>
          <w:sz w:val="16"/>
          <w:szCs w:val="16"/>
        </w:rPr>
      </w:pPr>
      <w:r w:rsidRPr="003478AF">
        <w:br w:type="page"/>
      </w:r>
    </w:p>
    <w:p w14:paraId="25B46594" w14:textId="51EE1EA2" w:rsidR="00674A90" w:rsidRPr="003478AF" w:rsidRDefault="003C6248" w:rsidP="00986D40">
      <w:pPr>
        <w:pStyle w:val="ARYCINA"/>
      </w:pPr>
      <w:r w:rsidRPr="003478AF">
        <w:lastRenderedPageBreak/>
        <w:t xml:space="preserve">Ryc. </w:t>
      </w:r>
      <w:r w:rsidR="00F76A2B" w:rsidRPr="003478AF">
        <w:t>8.2</w:t>
      </w:r>
      <w:r w:rsidR="00DE51E9" w:rsidRPr="003478AF">
        <w:t>3</w:t>
      </w:r>
      <w:r w:rsidR="00F76A2B" w:rsidRPr="003478AF">
        <w:t xml:space="preserve"> </w:t>
      </w:r>
      <w:bookmarkStart w:id="78" w:name="_Hlk76628249"/>
      <w:r w:rsidRPr="003478AF">
        <w:t>Emisja CO</w:t>
      </w:r>
      <w:r w:rsidRPr="003478AF">
        <w:rPr>
          <w:vertAlign w:val="subscript"/>
        </w:rPr>
        <w:t>2</w:t>
      </w:r>
      <w:r w:rsidRPr="003478AF">
        <w:t xml:space="preserve"> z zakładów szczególnie uciążliwych (mln </w:t>
      </w:r>
      <w:r w:rsidR="00035675" w:rsidRPr="003478AF">
        <w:t>t</w:t>
      </w:r>
      <w:r w:rsidR="00C75366" w:rsidRPr="003478AF">
        <w:t>/rok</w:t>
      </w:r>
      <w:r w:rsidRPr="003478AF">
        <w:t xml:space="preserve">) w Polsce w latach </w:t>
      </w:r>
      <w:bookmarkEnd w:id="78"/>
      <w:r w:rsidRPr="003478AF">
        <w:t>2010-20</w:t>
      </w:r>
      <w:r w:rsidR="00C75366" w:rsidRPr="003478AF">
        <w:t>20</w:t>
      </w:r>
    </w:p>
    <w:p w14:paraId="0DDC1C8C" w14:textId="1A5E9BE4" w:rsidR="00035675" w:rsidRPr="003478AF" w:rsidRDefault="00C75366" w:rsidP="00986D40">
      <w:pPr>
        <w:pStyle w:val="AZRODLO"/>
      </w:pPr>
      <w:r w:rsidRPr="003478AF">
        <w:rPr>
          <w:noProof/>
          <w:lang w:eastAsia="pl-PL"/>
        </w:rPr>
        <w:drawing>
          <wp:inline distT="0" distB="0" distL="0" distR="0" wp14:anchorId="6758FEC9" wp14:editId="40B73E8A">
            <wp:extent cx="4896000" cy="2945760"/>
            <wp:effectExtent l="0" t="0" r="0" b="7620"/>
            <wp:docPr id="101" name="Obraz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4896000" cy="2945760"/>
                    </a:xfrm>
                    <a:prstGeom prst="rect">
                      <a:avLst/>
                    </a:prstGeom>
                    <a:noFill/>
                  </pic:spPr>
                </pic:pic>
              </a:graphicData>
            </a:graphic>
          </wp:inline>
        </w:drawing>
      </w:r>
    </w:p>
    <w:p w14:paraId="4D724B9C" w14:textId="637F0BDC" w:rsidR="00674A90" w:rsidRPr="003478AF" w:rsidRDefault="009A1C31" w:rsidP="00986D40">
      <w:pPr>
        <w:pStyle w:val="AZRODLO"/>
      </w:pPr>
      <w:r w:rsidRPr="003478AF">
        <w:t>Źródło: Opracowanie własne na podstawie danych BDL</w:t>
      </w:r>
    </w:p>
    <w:p w14:paraId="756FE344" w14:textId="21342B14" w:rsidR="00B518C8" w:rsidRPr="003478AF" w:rsidRDefault="00B518C8" w:rsidP="00007A3A"/>
    <w:p w14:paraId="6389DE79" w14:textId="60B879F0" w:rsidR="00674A90" w:rsidRPr="003478AF" w:rsidRDefault="00F76A2B" w:rsidP="00986D40">
      <w:pPr>
        <w:pStyle w:val="ARYCINA"/>
      </w:pPr>
      <w:r w:rsidRPr="003478AF">
        <w:t>Ryc. 8.2</w:t>
      </w:r>
      <w:r w:rsidR="00DE51E9" w:rsidRPr="003478AF">
        <w:t>4</w:t>
      </w:r>
      <w:r w:rsidRPr="003478AF">
        <w:t xml:space="preserve"> </w:t>
      </w:r>
      <w:r w:rsidR="003C6248" w:rsidRPr="003478AF">
        <w:t>Emisja CO</w:t>
      </w:r>
      <w:r w:rsidR="003C6248" w:rsidRPr="003478AF">
        <w:rPr>
          <w:vertAlign w:val="subscript"/>
        </w:rPr>
        <w:t>2</w:t>
      </w:r>
      <w:r w:rsidR="003C6248" w:rsidRPr="003478AF">
        <w:t xml:space="preserve"> z zakładów szczególnie uciążliwych (mln </w:t>
      </w:r>
      <w:r w:rsidR="00035675" w:rsidRPr="003478AF">
        <w:t>t</w:t>
      </w:r>
      <w:r w:rsidR="00C75366" w:rsidRPr="003478AF">
        <w:t>/rok</w:t>
      </w:r>
      <w:r w:rsidR="003C6248" w:rsidRPr="003478AF">
        <w:t xml:space="preserve">) </w:t>
      </w:r>
      <w:r w:rsidR="009605E0" w:rsidRPr="003478AF">
        <w:br/>
      </w:r>
      <w:r w:rsidR="00092276" w:rsidRPr="003478AF">
        <w:t xml:space="preserve">w województwie wielkopolskim </w:t>
      </w:r>
      <w:r w:rsidR="003C6248" w:rsidRPr="003478AF">
        <w:t>w latach 2010-20</w:t>
      </w:r>
      <w:r w:rsidR="00C75366" w:rsidRPr="003478AF">
        <w:t>20</w:t>
      </w:r>
    </w:p>
    <w:p w14:paraId="69FF1506" w14:textId="77F8A9EA" w:rsidR="00674A90" w:rsidRPr="003478AF" w:rsidRDefault="00C75366" w:rsidP="00E6136F">
      <w:pPr>
        <w:ind w:firstLine="0"/>
        <w:jc w:val="center"/>
        <w:rPr>
          <w:noProof/>
        </w:rPr>
      </w:pPr>
      <w:r w:rsidRPr="003478AF">
        <w:rPr>
          <w:noProof/>
          <w:lang w:eastAsia="pl-PL"/>
        </w:rPr>
        <w:drawing>
          <wp:inline distT="0" distB="0" distL="0" distR="0" wp14:anchorId="3ACECBB4" wp14:editId="2A310AD5">
            <wp:extent cx="4896000" cy="2945760"/>
            <wp:effectExtent l="0" t="0" r="0" b="7620"/>
            <wp:docPr id="100" name="Obraz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4896000" cy="2945760"/>
                    </a:xfrm>
                    <a:prstGeom prst="rect">
                      <a:avLst/>
                    </a:prstGeom>
                    <a:noFill/>
                  </pic:spPr>
                </pic:pic>
              </a:graphicData>
            </a:graphic>
          </wp:inline>
        </w:drawing>
      </w:r>
    </w:p>
    <w:p w14:paraId="45998D1F" w14:textId="743367A9" w:rsidR="00674A90" w:rsidRPr="003478AF" w:rsidRDefault="009A1C31" w:rsidP="00986D40">
      <w:pPr>
        <w:pStyle w:val="AZRODLO"/>
      </w:pPr>
      <w:r w:rsidRPr="003478AF">
        <w:t>Źródło: Opracowanie własne na podstawie danych BDL</w:t>
      </w:r>
    </w:p>
    <w:p w14:paraId="731CB202" w14:textId="77777777" w:rsidR="007D5B90" w:rsidRPr="003478AF" w:rsidRDefault="007D5B90" w:rsidP="00986D40">
      <w:pPr>
        <w:pStyle w:val="AZRODLO"/>
      </w:pPr>
    </w:p>
    <w:p w14:paraId="6CE44CA0" w14:textId="77777777" w:rsidR="00007A3A" w:rsidRPr="003478AF" w:rsidRDefault="00007A3A">
      <w:pPr>
        <w:spacing w:line="240" w:lineRule="auto"/>
        <w:ind w:firstLine="0"/>
        <w:jc w:val="left"/>
        <w:rPr>
          <w:rFonts w:eastAsia="Arial" w:cs="Arial"/>
          <w:b/>
          <w:bCs/>
          <w:sz w:val="16"/>
          <w:szCs w:val="16"/>
        </w:rPr>
      </w:pPr>
      <w:r w:rsidRPr="003478AF">
        <w:br w:type="page"/>
      </w:r>
    </w:p>
    <w:p w14:paraId="2FDBCA90" w14:textId="2F168253" w:rsidR="000260DE" w:rsidRPr="003478AF" w:rsidRDefault="000260DE" w:rsidP="00986D40">
      <w:pPr>
        <w:pStyle w:val="ARYCINA"/>
      </w:pPr>
      <w:r w:rsidRPr="003478AF">
        <w:lastRenderedPageBreak/>
        <w:t>Ryc. 8.2</w:t>
      </w:r>
      <w:r w:rsidR="00DE51E9" w:rsidRPr="003478AF">
        <w:t>5</w:t>
      </w:r>
      <w:r w:rsidRPr="003478AF">
        <w:t xml:space="preserve"> Emisja CO</w:t>
      </w:r>
      <w:r w:rsidRPr="003478AF">
        <w:rPr>
          <w:vertAlign w:val="subscript"/>
        </w:rPr>
        <w:t>2</w:t>
      </w:r>
      <w:r w:rsidRPr="003478AF">
        <w:t xml:space="preserve"> z zakładów szczególnie uciążliwych (t</w:t>
      </w:r>
      <w:r w:rsidR="00DE51E9" w:rsidRPr="003478AF">
        <w:t>ys. t</w:t>
      </w:r>
      <w:r w:rsidRPr="003478AF">
        <w:t xml:space="preserve">/rok) </w:t>
      </w:r>
      <w:r w:rsidR="0038370F" w:rsidRPr="003478AF">
        <w:t xml:space="preserve">w województwie wielkopolskim </w:t>
      </w:r>
      <w:r w:rsidR="00007A3A" w:rsidRPr="003478AF">
        <w:br/>
      </w:r>
      <w:r w:rsidR="0038370F" w:rsidRPr="003478AF">
        <w:t xml:space="preserve">według powiatów </w:t>
      </w:r>
      <w:r w:rsidRPr="003478AF">
        <w:t xml:space="preserve">w </w:t>
      </w:r>
      <w:r w:rsidR="004672A0" w:rsidRPr="003478AF">
        <w:t>2020 roku</w:t>
      </w:r>
    </w:p>
    <w:p w14:paraId="1DF6C630" w14:textId="543522D4" w:rsidR="000260DE" w:rsidRPr="003478AF" w:rsidRDefault="001A1B9C" w:rsidP="00DA4713">
      <w:pPr>
        <w:ind w:firstLine="0"/>
        <w:jc w:val="center"/>
        <w:rPr>
          <w:noProof/>
        </w:rPr>
      </w:pPr>
      <w:r w:rsidRPr="003478AF">
        <w:rPr>
          <w:noProof/>
          <w:lang w:eastAsia="pl-PL"/>
        </w:rPr>
        <w:drawing>
          <wp:inline distT="0" distB="0" distL="0" distR="0" wp14:anchorId="7AA0B018" wp14:editId="2EA11835">
            <wp:extent cx="3240000" cy="4108378"/>
            <wp:effectExtent l="0" t="0" r="0" b="6985"/>
            <wp:docPr id="63" name="Obraz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3240000" cy="4108378"/>
                    </a:xfrm>
                    <a:prstGeom prst="rect">
                      <a:avLst/>
                    </a:prstGeom>
                    <a:noFill/>
                    <a:ln>
                      <a:noFill/>
                    </a:ln>
                  </pic:spPr>
                </pic:pic>
              </a:graphicData>
            </a:graphic>
          </wp:inline>
        </w:drawing>
      </w:r>
    </w:p>
    <w:p w14:paraId="1F1DEB0B" w14:textId="7E848730" w:rsidR="000260DE" w:rsidRPr="003478AF" w:rsidRDefault="000260DE" w:rsidP="00986D40">
      <w:pPr>
        <w:pStyle w:val="AZRODLO"/>
      </w:pPr>
      <w:r w:rsidRPr="003478AF">
        <w:t>Źródło: Opracowanie własne na podstawie danych BDL</w:t>
      </w:r>
    </w:p>
    <w:p w14:paraId="0B6EA275" w14:textId="1585FA82" w:rsidR="00B518C8" w:rsidRPr="003478AF" w:rsidRDefault="00B518C8" w:rsidP="00007A3A"/>
    <w:p w14:paraId="26B2ED4D" w14:textId="54D65E8E" w:rsidR="000A3AAD" w:rsidRPr="003478AF" w:rsidRDefault="003C6248" w:rsidP="00986D40">
      <w:pPr>
        <w:pStyle w:val="ARYCINA"/>
      </w:pPr>
      <w:r w:rsidRPr="003478AF">
        <w:t xml:space="preserve">Ryc. </w:t>
      </w:r>
      <w:r w:rsidR="00F76A2B" w:rsidRPr="003478AF">
        <w:t>8.2</w:t>
      </w:r>
      <w:r w:rsidR="00DE51E9" w:rsidRPr="003478AF">
        <w:t>6</w:t>
      </w:r>
      <w:r w:rsidR="00F76A2B" w:rsidRPr="003478AF">
        <w:t xml:space="preserve"> </w:t>
      </w:r>
      <w:bookmarkStart w:id="79" w:name="_Hlk76628260"/>
      <w:r w:rsidR="00610120" w:rsidRPr="003478AF">
        <w:t>Emisja zanieczyszczeń pyłowych w zakładach szczególnie uciążliwych (tys. t/rok)</w:t>
      </w:r>
      <w:r w:rsidR="00610120" w:rsidRPr="003478AF" w:rsidDel="00610120">
        <w:t xml:space="preserve"> </w:t>
      </w:r>
      <w:bookmarkEnd w:id="79"/>
      <w:r w:rsidR="007D5B90" w:rsidRPr="003478AF">
        <w:br/>
      </w:r>
      <w:r w:rsidRPr="003478AF">
        <w:t>w Polsce w latach 2010-20</w:t>
      </w:r>
      <w:r w:rsidR="00C75366" w:rsidRPr="003478AF">
        <w:t>20</w:t>
      </w:r>
    </w:p>
    <w:p w14:paraId="08AF6716" w14:textId="0B7C6F1D" w:rsidR="00674A90" w:rsidRPr="003478AF" w:rsidRDefault="00C75366" w:rsidP="00986D40">
      <w:pPr>
        <w:pStyle w:val="ARYCINA"/>
      </w:pPr>
      <w:r w:rsidRPr="003478AF">
        <w:rPr>
          <w:noProof/>
          <w:lang w:eastAsia="pl-PL"/>
        </w:rPr>
        <w:drawing>
          <wp:inline distT="0" distB="0" distL="0" distR="0" wp14:anchorId="57AB9000" wp14:editId="025E8E29">
            <wp:extent cx="4896000" cy="2359332"/>
            <wp:effectExtent l="0" t="0" r="0" b="3175"/>
            <wp:docPr id="103" name="Obraz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4896000" cy="2359332"/>
                    </a:xfrm>
                    <a:prstGeom prst="rect">
                      <a:avLst/>
                    </a:prstGeom>
                    <a:noFill/>
                  </pic:spPr>
                </pic:pic>
              </a:graphicData>
            </a:graphic>
          </wp:inline>
        </w:drawing>
      </w:r>
    </w:p>
    <w:p w14:paraId="0F031994" w14:textId="29448047" w:rsidR="00FF0262" w:rsidRPr="003478AF" w:rsidRDefault="00FF0262" w:rsidP="00986D40">
      <w:pPr>
        <w:pStyle w:val="AZRODLO"/>
      </w:pPr>
      <w:r w:rsidRPr="003478AF">
        <w:t>Źródło: Opracowanie własne na podstawie danych BDL</w:t>
      </w:r>
    </w:p>
    <w:p w14:paraId="04DDFC52" w14:textId="28E4991A" w:rsidR="003C6248" w:rsidRPr="003478AF" w:rsidRDefault="00F76A2B" w:rsidP="00986D40">
      <w:pPr>
        <w:pStyle w:val="ARYCINA"/>
      </w:pPr>
      <w:r w:rsidRPr="003478AF">
        <w:lastRenderedPageBreak/>
        <w:t>Ryc. 8.</w:t>
      </w:r>
      <w:r w:rsidR="00C63B1E" w:rsidRPr="003478AF">
        <w:t>2</w:t>
      </w:r>
      <w:r w:rsidR="00DE51E9" w:rsidRPr="003478AF">
        <w:t>7</w:t>
      </w:r>
      <w:r w:rsidR="00C63B1E" w:rsidRPr="003478AF">
        <w:t xml:space="preserve"> </w:t>
      </w:r>
      <w:r w:rsidR="00610120" w:rsidRPr="003478AF">
        <w:t xml:space="preserve">Emisja zanieczyszczeń pyłowych w zakładach szczególnie uciążliwych (tys. t/rok) </w:t>
      </w:r>
      <w:r w:rsidR="00007A3A" w:rsidRPr="003478AF">
        <w:br/>
      </w:r>
      <w:r w:rsidR="00092276" w:rsidRPr="003478AF">
        <w:t xml:space="preserve">w województwie wielkopolskim </w:t>
      </w:r>
      <w:r w:rsidR="003C6248" w:rsidRPr="003478AF">
        <w:t>w latach 2010-20</w:t>
      </w:r>
      <w:r w:rsidR="00C75366" w:rsidRPr="003478AF">
        <w:t>20</w:t>
      </w:r>
    </w:p>
    <w:p w14:paraId="70EE27A2" w14:textId="7F25079A" w:rsidR="00674A90" w:rsidRPr="003478AF" w:rsidRDefault="00C75366" w:rsidP="00E6136F">
      <w:pPr>
        <w:ind w:firstLine="0"/>
        <w:jc w:val="center"/>
        <w:rPr>
          <w:rFonts w:eastAsia="Arial" w:cs="Arial"/>
          <w:b/>
          <w:bCs/>
          <w:szCs w:val="20"/>
        </w:rPr>
      </w:pPr>
      <w:r w:rsidRPr="003478AF">
        <w:rPr>
          <w:rFonts w:eastAsia="Arial" w:cs="Arial"/>
          <w:b/>
          <w:bCs/>
          <w:noProof/>
          <w:szCs w:val="20"/>
          <w:lang w:eastAsia="pl-PL"/>
        </w:rPr>
        <w:drawing>
          <wp:inline distT="0" distB="0" distL="0" distR="0" wp14:anchorId="25C92CF8" wp14:editId="3B0BE689">
            <wp:extent cx="4896000" cy="2654262"/>
            <wp:effectExtent l="0" t="0" r="0" b="0"/>
            <wp:docPr id="102" name="Obraz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4896000" cy="2654262"/>
                    </a:xfrm>
                    <a:prstGeom prst="rect">
                      <a:avLst/>
                    </a:prstGeom>
                    <a:noFill/>
                  </pic:spPr>
                </pic:pic>
              </a:graphicData>
            </a:graphic>
          </wp:inline>
        </w:drawing>
      </w:r>
    </w:p>
    <w:p w14:paraId="4B441C6B" w14:textId="54863343" w:rsidR="00FF0262" w:rsidRPr="003478AF" w:rsidRDefault="00FF0262" w:rsidP="00986D40">
      <w:pPr>
        <w:pStyle w:val="AZRODLO"/>
      </w:pPr>
      <w:r w:rsidRPr="003478AF">
        <w:t>Źródło: Opracowanie własne na podstawie danych BDL</w:t>
      </w:r>
    </w:p>
    <w:p w14:paraId="6B6A2A76" w14:textId="15461457" w:rsidR="00B518C8" w:rsidRPr="003478AF" w:rsidRDefault="00B518C8" w:rsidP="00007A3A"/>
    <w:p w14:paraId="1F6D152B" w14:textId="078BCBA5" w:rsidR="004672A0" w:rsidRPr="003478AF" w:rsidRDefault="004672A0" w:rsidP="00986D40">
      <w:pPr>
        <w:pStyle w:val="ARYCINA"/>
      </w:pPr>
      <w:r w:rsidRPr="003478AF">
        <w:t>Ryc. 8.</w:t>
      </w:r>
      <w:r w:rsidR="00C63B1E" w:rsidRPr="003478AF">
        <w:t>2</w:t>
      </w:r>
      <w:r w:rsidR="00DE51E9" w:rsidRPr="003478AF">
        <w:t>8</w:t>
      </w:r>
      <w:r w:rsidRPr="003478AF">
        <w:t xml:space="preserve"> Emisja zanieczyszczeń pyłowych w zakładach szczególnie uciążliwych (</w:t>
      </w:r>
      <w:r w:rsidR="00DE51E9" w:rsidRPr="003478AF">
        <w:t>t</w:t>
      </w:r>
      <w:r w:rsidRPr="003478AF">
        <w:t xml:space="preserve">/rok) </w:t>
      </w:r>
      <w:r w:rsidR="0038370F" w:rsidRPr="003478AF">
        <w:t xml:space="preserve">w województwie wielkopolskim według powiatów </w:t>
      </w:r>
      <w:r w:rsidRPr="003478AF">
        <w:t>w 2020 roku</w:t>
      </w:r>
    </w:p>
    <w:p w14:paraId="36D1D96E" w14:textId="55C3DEB7" w:rsidR="004672A0" w:rsidRPr="003478AF" w:rsidRDefault="001A1B9C" w:rsidP="00DA4713">
      <w:pPr>
        <w:ind w:firstLine="0"/>
        <w:jc w:val="center"/>
        <w:rPr>
          <w:rFonts w:eastAsia="Arial" w:cs="Arial"/>
          <w:b/>
          <w:bCs/>
          <w:szCs w:val="20"/>
        </w:rPr>
      </w:pPr>
      <w:r w:rsidRPr="003478AF">
        <w:rPr>
          <w:noProof/>
          <w:lang w:eastAsia="pl-PL"/>
        </w:rPr>
        <w:drawing>
          <wp:inline distT="0" distB="0" distL="0" distR="0" wp14:anchorId="59E6191F" wp14:editId="3038C391">
            <wp:extent cx="3240000" cy="3978319"/>
            <wp:effectExtent l="0" t="0" r="0" b="3175"/>
            <wp:docPr id="64" name="Obraz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3240000" cy="3978319"/>
                    </a:xfrm>
                    <a:prstGeom prst="rect">
                      <a:avLst/>
                    </a:prstGeom>
                    <a:noFill/>
                    <a:ln>
                      <a:noFill/>
                    </a:ln>
                  </pic:spPr>
                </pic:pic>
              </a:graphicData>
            </a:graphic>
          </wp:inline>
        </w:drawing>
      </w:r>
    </w:p>
    <w:p w14:paraId="2B8F1D64" w14:textId="3D32DDD7" w:rsidR="004672A0" w:rsidRPr="003478AF" w:rsidRDefault="004672A0" w:rsidP="00986D40">
      <w:pPr>
        <w:pStyle w:val="AZRODLO"/>
      </w:pPr>
      <w:r w:rsidRPr="003478AF">
        <w:t>Źródło: Opracowanie własne na podstawie danych BDL</w:t>
      </w:r>
    </w:p>
    <w:p w14:paraId="09A34D78" w14:textId="0AF7B003" w:rsidR="003C6248" w:rsidRPr="003478AF" w:rsidRDefault="003C6248" w:rsidP="00986D40">
      <w:pPr>
        <w:pStyle w:val="ARYCINA"/>
      </w:pPr>
      <w:r w:rsidRPr="003478AF">
        <w:lastRenderedPageBreak/>
        <w:t xml:space="preserve">Ryc. </w:t>
      </w:r>
      <w:r w:rsidR="00F76A2B" w:rsidRPr="003478AF">
        <w:t>8.2</w:t>
      </w:r>
      <w:r w:rsidR="00702AC7" w:rsidRPr="003478AF">
        <w:t>9</w:t>
      </w:r>
      <w:r w:rsidR="00F76A2B" w:rsidRPr="003478AF">
        <w:t xml:space="preserve"> </w:t>
      </w:r>
      <w:r w:rsidRPr="003478AF">
        <w:t>Emisja zanieczyszczeń gazowych powietrza z zakładów szczególnie uciążliwych dla czystości powietrza (</w:t>
      </w:r>
      <w:r w:rsidR="00342F05" w:rsidRPr="003478AF">
        <w:t>ml</w:t>
      </w:r>
      <w:r w:rsidR="000260DE" w:rsidRPr="003478AF">
        <w:t>n</w:t>
      </w:r>
      <w:r w:rsidRPr="003478AF">
        <w:t xml:space="preserve"> </w:t>
      </w:r>
      <w:r w:rsidR="000260DE" w:rsidRPr="003478AF">
        <w:t>t/rok</w:t>
      </w:r>
      <w:r w:rsidRPr="003478AF">
        <w:t>) w Polsce w latach 2010-20</w:t>
      </w:r>
      <w:r w:rsidR="00C75366" w:rsidRPr="003478AF">
        <w:t>20</w:t>
      </w:r>
    </w:p>
    <w:p w14:paraId="4DB128E8" w14:textId="30D4DBE0" w:rsidR="00DF3BB1" w:rsidRPr="003478AF" w:rsidRDefault="000260DE" w:rsidP="00DA4713">
      <w:pPr>
        <w:ind w:firstLine="0"/>
        <w:jc w:val="center"/>
        <w:rPr>
          <w:rFonts w:eastAsia="Arial" w:cs="Arial"/>
          <w:b/>
          <w:bCs/>
          <w:szCs w:val="20"/>
        </w:rPr>
      </w:pPr>
      <w:r w:rsidRPr="003478AF">
        <w:rPr>
          <w:rFonts w:eastAsia="Arial" w:cs="Arial"/>
          <w:b/>
          <w:bCs/>
          <w:noProof/>
          <w:szCs w:val="20"/>
          <w:lang w:eastAsia="pl-PL"/>
        </w:rPr>
        <w:drawing>
          <wp:inline distT="0" distB="0" distL="0" distR="0" wp14:anchorId="039897C5" wp14:editId="1BC4DEF3">
            <wp:extent cx="4896000" cy="2595989"/>
            <wp:effectExtent l="0" t="0" r="0" b="0"/>
            <wp:docPr id="104" name="Obraz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4896000" cy="2595989"/>
                    </a:xfrm>
                    <a:prstGeom prst="rect">
                      <a:avLst/>
                    </a:prstGeom>
                    <a:noFill/>
                  </pic:spPr>
                </pic:pic>
              </a:graphicData>
            </a:graphic>
          </wp:inline>
        </w:drawing>
      </w:r>
    </w:p>
    <w:p w14:paraId="16CCBB8D" w14:textId="1A17F27B" w:rsidR="00FF0262" w:rsidRPr="003478AF" w:rsidRDefault="00FF0262" w:rsidP="00986D40">
      <w:pPr>
        <w:pStyle w:val="AZRODLO"/>
      </w:pPr>
      <w:r w:rsidRPr="003478AF">
        <w:t>Źródło: Opracowanie własne na podstawie danych BDL</w:t>
      </w:r>
    </w:p>
    <w:p w14:paraId="4CC01D9E" w14:textId="031979D8" w:rsidR="00DF3BB1" w:rsidRPr="003478AF" w:rsidRDefault="00DF3BB1" w:rsidP="00E7414E"/>
    <w:p w14:paraId="23713F03" w14:textId="17F6E955" w:rsidR="00DF3BB1" w:rsidRPr="003478AF" w:rsidRDefault="003C6248" w:rsidP="00986D40">
      <w:pPr>
        <w:pStyle w:val="ARYCINA"/>
      </w:pPr>
      <w:r w:rsidRPr="003478AF">
        <w:t xml:space="preserve">Ryc. </w:t>
      </w:r>
      <w:r w:rsidR="00F76A2B" w:rsidRPr="003478AF">
        <w:t>8.</w:t>
      </w:r>
      <w:r w:rsidR="00702AC7" w:rsidRPr="003478AF">
        <w:t>30</w:t>
      </w:r>
      <w:r w:rsidR="00F76A2B" w:rsidRPr="003478AF">
        <w:t xml:space="preserve"> </w:t>
      </w:r>
      <w:r w:rsidRPr="003478AF">
        <w:t>Emisja zanieczyszczeń gazowych powietrza z zakładów szczególnie uciążliwych dla czystości powietrza (</w:t>
      </w:r>
      <w:r w:rsidR="003B71A0" w:rsidRPr="003478AF">
        <w:t>tys.</w:t>
      </w:r>
      <w:r w:rsidRPr="003478AF">
        <w:t xml:space="preserve"> </w:t>
      </w:r>
      <w:r w:rsidR="000260DE" w:rsidRPr="003478AF">
        <w:t>t/rok</w:t>
      </w:r>
      <w:r w:rsidRPr="003478AF">
        <w:t xml:space="preserve">) </w:t>
      </w:r>
      <w:r w:rsidR="00092276" w:rsidRPr="003478AF">
        <w:t xml:space="preserve">w województwie wielkopolskim </w:t>
      </w:r>
      <w:r w:rsidRPr="003478AF">
        <w:t>w latach 2010-20</w:t>
      </w:r>
      <w:r w:rsidR="00C75366" w:rsidRPr="003478AF">
        <w:t>20</w:t>
      </w:r>
    </w:p>
    <w:p w14:paraId="58661D3C" w14:textId="38AA7282" w:rsidR="00342F05" w:rsidRPr="003478AF" w:rsidRDefault="000260DE" w:rsidP="00986D40">
      <w:pPr>
        <w:pStyle w:val="ARYCINA"/>
      </w:pPr>
      <w:r w:rsidRPr="003478AF">
        <w:rPr>
          <w:noProof/>
          <w:lang w:eastAsia="pl-PL"/>
        </w:rPr>
        <w:drawing>
          <wp:inline distT="0" distB="0" distL="0" distR="0" wp14:anchorId="53DC2CBC" wp14:editId="113AB74F">
            <wp:extent cx="4895850" cy="2750820"/>
            <wp:effectExtent l="0" t="0" r="0" b="0"/>
            <wp:docPr id="105" name="Obraz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4895850" cy="2750820"/>
                    </a:xfrm>
                    <a:prstGeom prst="rect">
                      <a:avLst/>
                    </a:prstGeom>
                    <a:noFill/>
                  </pic:spPr>
                </pic:pic>
              </a:graphicData>
            </a:graphic>
          </wp:inline>
        </w:drawing>
      </w:r>
    </w:p>
    <w:p w14:paraId="1263B969" w14:textId="4526E8C1" w:rsidR="00FF0262" w:rsidRPr="003478AF" w:rsidRDefault="00FF0262" w:rsidP="00986D40">
      <w:pPr>
        <w:pStyle w:val="AZRODLO"/>
      </w:pPr>
      <w:r w:rsidRPr="003478AF">
        <w:t>Źródło: Opracowanie własne na podstawie danych BDL</w:t>
      </w:r>
    </w:p>
    <w:p w14:paraId="00BC0A23" w14:textId="77777777" w:rsidR="007D5B90" w:rsidRPr="003478AF" w:rsidRDefault="007D5B90" w:rsidP="00986D40">
      <w:pPr>
        <w:pStyle w:val="AZRODLO"/>
      </w:pPr>
    </w:p>
    <w:p w14:paraId="5CE056AD" w14:textId="77777777" w:rsidR="00007A3A" w:rsidRPr="003478AF" w:rsidRDefault="00007A3A">
      <w:pPr>
        <w:spacing w:line="240" w:lineRule="auto"/>
        <w:ind w:firstLine="0"/>
        <w:jc w:val="left"/>
        <w:rPr>
          <w:rFonts w:eastAsia="Arial" w:cs="Arial"/>
          <w:b/>
          <w:bCs/>
          <w:sz w:val="16"/>
          <w:szCs w:val="16"/>
        </w:rPr>
      </w:pPr>
      <w:r w:rsidRPr="003478AF">
        <w:br w:type="page"/>
      </w:r>
    </w:p>
    <w:p w14:paraId="7B2F54D9" w14:textId="04C035E5" w:rsidR="004672A0" w:rsidRPr="003478AF" w:rsidRDefault="004672A0" w:rsidP="00986D40">
      <w:pPr>
        <w:pStyle w:val="ARYCINA"/>
      </w:pPr>
      <w:r w:rsidRPr="003478AF">
        <w:lastRenderedPageBreak/>
        <w:t>Ryc. 8.</w:t>
      </w:r>
      <w:r w:rsidR="00C63B1E" w:rsidRPr="003478AF">
        <w:t>3</w:t>
      </w:r>
      <w:r w:rsidR="00702AC7" w:rsidRPr="003478AF">
        <w:t>1</w:t>
      </w:r>
      <w:r w:rsidRPr="003478AF">
        <w:t xml:space="preserve"> Emisja zanieczyszczeń gazowych powietrza z zakładów szczególnie uciążliwych dla czystości powietrza (</w:t>
      </w:r>
      <w:r w:rsidR="00702AC7" w:rsidRPr="003478AF">
        <w:t>tys.</w:t>
      </w:r>
      <w:r w:rsidRPr="003478AF">
        <w:t xml:space="preserve"> t/rok) </w:t>
      </w:r>
      <w:r w:rsidR="0038370F" w:rsidRPr="003478AF">
        <w:t xml:space="preserve">w województwie wielkopolskim według powiatów </w:t>
      </w:r>
      <w:r w:rsidRPr="003478AF">
        <w:t>w 2020 roku</w:t>
      </w:r>
    </w:p>
    <w:p w14:paraId="61D70510" w14:textId="69C64FA3" w:rsidR="004672A0" w:rsidRPr="003478AF" w:rsidRDefault="001A1B9C" w:rsidP="00986D40">
      <w:pPr>
        <w:pStyle w:val="ARYCINA"/>
      </w:pPr>
      <w:r w:rsidRPr="003478AF">
        <w:rPr>
          <w:noProof/>
          <w:lang w:eastAsia="pl-PL"/>
        </w:rPr>
        <w:drawing>
          <wp:inline distT="0" distB="0" distL="0" distR="0" wp14:anchorId="4ABE60AB" wp14:editId="78CD899B">
            <wp:extent cx="3240000" cy="4023060"/>
            <wp:effectExtent l="0" t="0" r="0" b="0"/>
            <wp:docPr id="65" name="Obraz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3240000" cy="4023060"/>
                    </a:xfrm>
                    <a:prstGeom prst="rect">
                      <a:avLst/>
                    </a:prstGeom>
                    <a:noFill/>
                    <a:ln>
                      <a:noFill/>
                    </a:ln>
                  </pic:spPr>
                </pic:pic>
              </a:graphicData>
            </a:graphic>
          </wp:inline>
        </w:drawing>
      </w:r>
    </w:p>
    <w:p w14:paraId="10EA16F3" w14:textId="40932D55" w:rsidR="004672A0" w:rsidRPr="003478AF" w:rsidRDefault="004672A0" w:rsidP="00986D40">
      <w:pPr>
        <w:pStyle w:val="AZRODLO"/>
      </w:pPr>
      <w:r w:rsidRPr="003478AF">
        <w:t>Źródło: Opracowanie własne na podstawie danych BDL</w:t>
      </w:r>
    </w:p>
    <w:p w14:paraId="155218E4" w14:textId="0991A897" w:rsidR="004672A0" w:rsidRPr="003478AF" w:rsidRDefault="004672A0" w:rsidP="00E7414E"/>
    <w:p w14:paraId="70CE0FD4" w14:textId="509463F5" w:rsidR="005F43F3" w:rsidRPr="003478AF" w:rsidRDefault="005F43F3" w:rsidP="0014374E">
      <w:pPr>
        <w:ind w:firstLine="0"/>
        <w:rPr>
          <w:rFonts w:eastAsia="Arial" w:cs="Arial"/>
          <w:b/>
          <w:iCs/>
          <w:szCs w:val="20"/>
        </w:rPr>
      </w:pPr>
      <w:r w:rsidRPr="003478AF">
        <w:rPr>
          <w:rFonts w:eastAsia="Arial" w:cs="Arial"/>
          <w:b/>
          <w:iCs/>
          <w:szCs w:val="20"/>
        </w:rPr>
        <w:t>Gospodarka odpadami</w:t>
      </w:r>
    </w:p>
    <w:p w14:paraId="2AF8F442" w14:textId="7E66EAA2" w:rsidR="000B1C6B" w:rsidRPr="003478AF" w:rsidRDefault="000B1C6B" w:rsidP="00175EF7">
      <w:bookmarkStart w:id="80" w:name="_Hlk77127896"/>
      <w:r w:rsidRPr="003478AF">
        <w:t xml:space="preserve">W </w:t>
      </w:r>
      <w:r w:rsidR="00501F9D" w:rsidRPr="003478AF">
        <w:t xml:space="preserve">ramach zagadnienia </w:t>
      </w:r>
      <w:r w:rsidRPr="003478AF">
        <w:t>gospodar</w:t>
      </w:r>
      <w:r w:rsidR="00501F9D" w:rsidRPr="003478AF">
        <w:t>ki</w:t>
      </w:r>
      <w:r w:rsidRPr="003478AF">
        <w:t xml:space="preserve"> odpadami sprecyzowano cztery wskaźniki: odpady komunalne zebrane w ciągu roku (</w:t>
      </w:r>
      <w:r w:rsidR="00381971" w:rsidRPr="003478AF">
        <w:t>ryc.</w:t>
      </w:r>
      <w:r w:rsidRPr="003478AF">
        <w:t xml:space="preserve"> 8.3</w:t>
      </w:r>
      <w:r w:rsidR="002B034E" w:rsidRPr="003478AF">
        <w:t>2</w:t>
      </w:r>
      <w:r w:rsidR="00501F9D" w:rsidRPr="003478AF">
        <w:rPr>
          <w:rFonts w:eastAsia="Arial" w:cs="Arial"/>
          <w:szCs w:val="20"/>
        </w:rPr>
        <w:t xml:space="preserve"> – </w:t>
      </w:r>
      <w:r w:rsidRPr="003478AF">
        <w:t>8.3</w:t>
      </w:r>
      <w:r w:rsidR="002B034E" w:rsidRPr="003478AF">
        <w:t>4</w:t>
      </w:r>
      <w:r w:rsidRPr="003478AF">
        <w:t>), zmieszane odpady zebrane w ciągu roku na 1 mieszkańca (</w:t>
      </w:r>
      <w:r w:rsidR="00381971" w:rsidRPr="003478AF">
        <w:t>ryc.</w:t>
      </w:r>
      <w:r w:rsidRPr="003478AF">
        <w:t xml:space="preserve"> 8.3</w:t>
      </w:r>
      <w:r w:rsidR="007F24E8" w:rsidRPr="003478AF">
        <w:t>5</w:t>
      </w:r>
      <w:r w:rsidR="00321FE7" w:rsidRPr="003478AF">
        <w:t xml:space="preserve"> i</w:t>
      </w:r>
      <w:r w:rsidR="007F24E8" w:rsidRPr="003478AF">
        <w:t xml:space="preserve"> 8.36</w:t>
      </w:r>
      <w:r w:rsidRPr="003478AF">
        <w:t xml:space="preserve">), </w:t>
      </w:r>
      <w:r w:rsidR="00321FE7" w:rsidRPr="003478AF">
        <w:t>odpady zebrane selektywnie w relacji do ogółu odpadów</w:t>
      </w:r>
      <w:r w:rsidRPr="003478AF">
        <w:t xml:space="preserve"> (</w:t>
      </w:r>
      <w:r w:rsidR="00381971" w:rsidRPr="003478AF">
        <w:t>ryc.</w:t>
      </w:r>
      <w:r w:rsidRPr="003478AF">
        <w:t xml:space="preserve"> 8.3</w:t>
      </w:r>
      <w:r w:rsidR="00FA5E3E" w:rsidRPr="003478AF">
        <w:t>7</w:t>
      </w:r>
      <w:r w:rsidR="00501F9D" w:rsidRPr="003478AF">
        <w:rPr>
          <w:rFonts w:eastAsia="Arial" w:cs="Arial"/>
          <w:szCs w:val="20"/>
        </w:rPr>
        <w:t xml:space="preserve"> – </w:t>
      </w:r>
      <w:r w:rsidRPr="003478AF">
        <w:t>8.39),</w:t>
      </w:r>
      <w:r w:rsidR="00321FE7" w:rsidRPr="003478AF">
        <w:t xml:space="preserve"> ilość odpadów biodegradowalnych zebranych selektywnie</w:t>
      </w:r>
      <w:r w:rsidRPr="003478AF">
        <w:t xml:space="preserve"> (</w:t>
      </w:r>
      <w:r w:rsidR="00381971" w:rsidRPr="003478AF">
        <w:t>ryc.</w:t>
      </w:r>
      <w:r w:rsidRPr="003478AF">
        <w:t xml:space="preserve"> 8.</w:t>
      </w:r>
      <w:r w:rsidR="00D85EA3" w:rsidRPr="003478AF">
        <w:t>40</w:t>
      </w:r>
      <w:r w:rsidR="00501F9D" w:rsidRPr="003478AF">
        <w:rPr>
          <w:rFonts w:eastAsia="Arial" w:cs="Arial"/>
          <w:szCs w:val="20"/>
        </w:rPr>
        <w:t xml:space="preserve"> – </w:t>
      </w:r>
      <w:r w:rsidR="00D85EA3" w:rsidRPr="003478AF">
        <w:t>8.42</w:t>
      </w:r>
      <w:r w:rsidRPr="003478AF">
        <w:t>).</w:t>
      </w:r>
    </w:p>
    <w:p w14:paraId="2A43ED64" w14:textId="77777777" w:rsidR="005B402E" w:rsidRPr="003478AF" w:rsidRDefault="000B1C6B" w:rsidP="00644042">
      <w:pPr>
        <w:rPr>
          <w:rFonts w:eastAsia="Arial" w:cs="Arial"/>
          <w:szCs w:val="20"/>
        </w:rPr>
      </w:pPr>
      <w:r w:rsidRPr="003478AF">
        <w:rPr>
          <w:rFonts w:eastAsia="Arial" w:cs="Arial"/>
          <w:szCs w:val="20"/>
        </w:rPr>
        <w:t>W Polsce w 20</w:t>
      </w:r>
      <w:r w:rsidR="00206677" w:rsidRPr="003478AF">
        <w:rPr>
          <w:rFonts w:eastAsia="Arial" w:cs="Arial"/>
          <w:szCs w:val="20"/>
        </w:rPr>
        <w:t>20</w:t>
      </w:r>
      <w:r w:rsidRPr="003478AF">
        <w:rPr>
          <w:rFonts w:eastAsia="Arial" w:cs="Arial"/>
          <w:szCs w:val="20"/>
        </w:rPr>
        <w:t xml:space="preserve"> roku zebrano 13,1 mln ton odpadów komunalnych, z czego 1,2</w:t>
      </w:r>
      <w:r w:rsidR="005B402E" w:rsidRPr="003478AF">
        <w:rPr>
          <w:rFonts w:eastAsia="Arial" w:cs="Arial"/>
          <w:szCs w:val="20"/>
        </w:rPr>
        <w:t>6</w:t>
      </w:r>
      <w:r w:rsidRPr="003478AF">
        <w:rPr>
          <w:rFonts w:eastAsia="Arial" w:cs="Arial"/>
          <w:szCs w:val="20"/>
        </w:rPr>
        <w:t xml:space="preserve"> mln ton stanowiły te z Wielkopolski. W latach 2010-2013 w Polsce zebrane odpady komunalne zmniejszały się z 10,04 mln ton do 9,</w:t>
      </w:r>
      <w:r w:rsidR="00321FE7" w:rsidRPr="003478AF">
        <w:rPr>
          <w:rFonts w:eastAsia="Arial" w:cs="Arial"/>
          <w:szCs w:val="20"/>
        </w:rPr>
        <w:t xml:space="preserve">5 </w:t>
      </w:r>
      <w:r w:rsidRPr="003478AF">
        <w:rPr>
          <w:rFonts w:eastAsia="Arial" w:cs="Arial"/>
          <w:szCs w:val="20"/>
        </w:rPr>
        <w:t xml:space="preserve">mln ton; a od 2014 </w:t>
      </w:r>
      <w:r w:rsidR="00321FE7" w:rsidRPr="003478AF">
        <w:rPr>
          <w:rFonts w:eastAsia="Arial" w:cs="Arial"/>
          <w:szCs w:val="20"/>
        </w:rPr>
        <w:t xml:space="preserve">roku ich ilość zaczęła </w:t>
      </w:r>
      <w:r w:rsidRPr="003478AF">
        <w:rPr>
          <w:rFonts w:eastAsia="Arial" w:cs="Arial"/>
          <w:szCs w:val="20"/>
        </w:rPr>
        <w:t xml:space="preserve">rosnąć. </w:t>
      </w:r>
      <w:r w:rsidR="009605E0" w:rsidRPr="003478AF">
        <w:rPr>
          <w:rFonts w:eastAsia="Arial" w:cs="Arial"/>
          <w:szCs w:val="20"/>
        </w:rPr>
        <w:br/>
      </w:r>
      <w:r w:rsidRPr="003478AF">
        <w:rPr>
          <w:rFonts w:eastAsia="Arial" w:cs="Arial"/>
          <w:szCs w:val="20"/>
        </w:rPr>
        <w:t>W Wielkopolsce ilość zebranych odpadów rośnie</w:t>
      </w:r>
      <w:r w:rsidR="005B402E" w:rsidRPr="003478AF">
        <w:rPr>
          <w:rFonts w:eastAsia="Arial" w:cs="Arial"/>
          <w:szCs w:val="20"/>
        </w:rPr>
        <w:t xml:space="preserve"> nieprzerwanie </w:t>
      </w:r>
      <w:r w:rsidRPr="003478AF">
        <w:rPr>
          <w:rFonts w:eastAsia="Arial" w:cs="Arial"/>
          <w:szCs w:val="20"/>
        </w:rPr>
        <w:t>od 0,9 mln ton w 2010 roku</w:t>
      </w:r>
      <w:r w:rsidR="005B402E" w:rsidRPr="003478AF">
        <w:rPr>
          <w:rFonts w:eastAsia="Arial" w:cs="Arial"/>
          <w:szCs w:val="20"/>
        </w:rPr>
        <w:t>.</w:t>
      </w:r>
    </w:p>
    <w:p w14:paraId="65FBF8E9" w14:textId="41FC2618" w:rsidR="000B1C6B" w:rsidRPr="003478AF" w:rsidRDefault="000B1C6B" w:rsidP="000B1C6B">
      <w:pPr>
        <w:rPr>
          <w:rFonts w:eastAsia="Arial" w:cs="Arial"/>
          <w:szCs w:val="20"/>
        </w:rPr>
      </w:pPr>
      <w:r w:rsidRPr="003478AF">
        <w:rPr>
          <w:rFonts w:eastAsia="Arial" w:cs="Arial"/>
          <w:szCs w:val="20"/>
        </w:rPr>
        <w:t>Udział Wielkopolski w gospodarce odpadami ogółem wyn</w:t>
      </w:r>
      <w:r w:rsidR="005B402E" w:rsidRPr="003478AF">
        <w:rPr>
          <w:rFonts w:eastAsia="Arial" w:cs="Arial"/>
          <w:szCs w:val="20"/>
        </w:rPr>
        <w:t xml:space="preserve">iósł w 2020 roku 9,7%, </w:t>
      </w:r>
      <w:r w:rsidR="005B402E" w:rsidRPr="003478AF">
        <w:rPr>
          <w:rFonts w:eastAsia="Arial" w:cs="Arial"/>
          <w:szCs w:val="20"/>
        </w:rPr>
        <w:br/>
        <w:t xml:space="preserve">a </w:t>
      </w:r>
      <w:r w:rsidRPr="003478AF">
        <w:rPr>
          <w:rFonts w:eastAsia="Arial" w:cs="Arial"/>
          <w:szCs w:val="20"/>
        </w:rPr>
        <w:t>najwięcej odpadów komunalnych zebrano w powi</w:t>
      </w:r>
      <w:r w:rsidR="005B402E" w:rsidRPr="003478AF">
        <w:rPr>
          <w:rFonts w:eastAsia="Arial" w:cs="Arial"/>
          <w:szCs w:val="20"/>
        </w:rPr>
        <w:t>atach</w:t>
      </w:r>
      <w:r w:rsidRPr="003478AF">
        <w:rPr>
          <w:rFonts w:eastAsia="Arial" w:cs="Arial"/>
          <w:szCs w:val="20"/>
        </w:rPr>
        <w:t xml:space="preserve">: m. Poznań (209,3 tys. t) </w:t>
      </w:r>
      <w:r w:rsidR="005B402E" w:rsidRPr="003478AF">
        <w:rPr>
          <w:rFonts w:eastAsia="Arial" w:cs="Arial"/>
          <w:szCs w:val="20"/>
        </w:rPr>
        <w:br/>
      </w:r>
      <w:r w:rsidRPr="003478AF">
        <w:rPr>
          <w:rFonts w:eastAsia="Arial" w:cs="Arial"/>
          <w:szCs w:val="20"/>
        </w:rPr>
        <w:t xml:space="preserve">i poznańskim (183,61 tys. ton, </w:t>
      </w:r>
      <w:r w:rsidR="00381971" w:rsidRPr="003478AF">
        <w:rPr>
          <w:rFonts w:eastAsia="Arial" w:cs="Arial"/>
          <w:szCs w:val="20"/>
        </w:rPr>
        <w:t>ryc.</w:t>
      </w:r>
      <w:r w:rsidRPr="003478AF">
        <w:rPr>
          <w:rFonts w:eastAsia="Arial" w:cs="Arial"/>
          <w:szCs w:val="20"/>
        </w:rPr>
        <w:t xml:space="preserve"> 8.3</w:t>
      </w:r>
      <w:r w:rsidR="00127A56" w:rsidRPr="003478AF">
        <w:rPr>
          <w:rFonts w:eastAsia="Arial" w:cs="Arial"/>
          <w:szCs w:val="20"/>
        </w:rPr>
        <w:t>4</w:t>
      </w:r>
      <w:r w:rsidRPr="003478AF">
        <w:rPr>
          <w:rFonts w:eastAsia="Arial" w:cs="Arial"/>
          <w:szCs w:val="20"/>
        </w:rPr>
        <w:t>).</w:t>
      </w:r>
    </w:p>
    <w:p w14:paraId="0E88E388" w14:textId="49D110E8" w:rsidR="000B1C6B" w:rsidRPr="003478AF" w:rsidRDefault="005B402E" w:rsidP="000B1C6B">
      <w:pPr>
        <w:rPr>
          <w:rFonts w:eastAsia="Arial" w:cs="Arial"/>
          <w:szCs w:val="20"/>
        </w:rPr>
      </w:pPr>
      <w:r w:rsidRPr="003478AF">
        <w:rPr>
          <w:rFonts w:eastAsia="Arial" w:cs="Arial"/>
          <w:szCs w:val="20"/>
        </w:rPr>
        <w:t>W przeliczeniu na 1 mieszkańca w Wi</w:t>
      </w:r>
      <w:r w:rsidR="000B1C6B" w:rsidRPr="003478AF">
        <w:rPr>
          <w:rFonts w:eastAsia="Arial" w:cs="Arial"/>
          <w:szCs w:val="20"/>
        </w:rPr>
        <w:t>elkopols</w:t>
      </w:r>
      <w:r w:rsidRPr="003478AF">
        <w:rPr>
          <w:rFonts w:eastAsia="Arial" w:cs="Arial"/>
          <w:szCs w:val="20"/>
        </w:rPr>
        <w:t>ce</w:t>
      </w:r>
      <w:r w:rsidR="000B1C6B" w:rsidRPr="003478AF">
        <w:rPr>
          <w:rFonts w:eastAsia="Arial" w:cs="Arial"/>
          <w:szCs w:val="20"/>
        </w:rPr>
        <w:t xml:space="preserve"> zbiera</w:t>
      </w:r>
      <w:r w:rsidRPr="003478AF">
        <w:rPr>
          <w:rFonts w:eastAsia="Arial" w:cs="Arial"/>
          <w:szCs w:val="20"/>
        </w:rPr>
        <w:t>no</w:t>
      </w:r>
      <w:r w:rsidR="000B1C6B" w:rsidRPr="003478AF">
        <w:rPr>
          <w:rFonts w:eastAsia="Arial" w:cs="Arial"/>
          <w:szCs w:val="20"/>
        </w:rPr>
        <w:t xml:space="preserve"> więcej odpadów</w:t>
      </w:r>
      <w:r w:rsidR="002B2B7B" w:rsidRPr="003478AF">
        <w:rPr>
          <w:rFonts w:eastAsia="Arial" w:cs="Arial"/>
          <w:szCs w:val="20"/>
        </w:rPr>
        <w:t xml:space="preserve"> zmieszanych</w:t>
      </w:r>
      <w:r w:rsidR="000B1C6B" w:rsidRPr="003478AF">
        <w:rPr>
          <w:rFonts w:eastAsia="Arial" w:cs="Arial"/>
          <w:szCs w:val="20"/>
        </w:rPr>
        <w:t xml:space="preserve"> niż średni</w:t>
      </w:r>
      <w:r w:rsidR="00206677" w:rsidRPr="003478AF">
        <w:rPr>
          <w:rFonts w:eastAsia="Arial" w:cs="Arial"/>
          <w:szCs w:val="20"/>
        </w:rPr>
        <w:t>o</w:t>
      </w:r>
      <w:r w:rsidR="000B1C6B" w:rsidRPr="003478AF">
        <w:rPr>
          <w:rFonts w:eastAsia="Arial" w:cs="Arial"/>
          <w:szCs w:val="20"/>
        </w:rPr>
        <w:t xml:space="preserve"> </w:t>
      </w:r>
      <w:r w:rsidR="00206677" w:rsidRPr="003478AF">
        <w:rPr>
          <w:rFonts w:eastAsia="Arial" w:cs="Arial"/>
          <w:szCs w:val="20"/>
        </w:rPr>
        <w:t xml:space="preserve">w </w:t>
      </w:r>
      <w:r w:rsidR="000B1C6B" w:rsidRPr="003478AF">
        <w:rPr>
          <w:rFonts w:eastAsia="Arial" w:cs="Arial"/>
          <w:szCs w:val="20"/>
        </w:rPr>
        <w:t>Pols</w:t>
      </w:r>
      <w:r w:rsidR="00206677" w:rsidRPr="003478AF">
        <w:rPr>
          <w:rFonts w:eastAsia="Arial" w:cs="Arial"/>
          <w:szCs w:val="20"/>
        </w:rPr>
        <w:t>ce</w:t>
      </w:r>
      <w:r w:rsidR="002B2B7B" w:rsidRPr="003478AF">
        <w:rPr>
          <w:rFonts w:eastAsia="Arial" w:cs="Arial"/>
          <w:szCs w:val="20"/>
        </w:rPr>
        <w:t xml:space="preserve"> (</w:t>
      </w:r>
      <w:r w:rsidR="000B1C6B" w:rsidRPr="003478AF">
        <w:rPr>
          <w:rFonts w:eastAsia="Arial" w:cs="Arial"/>
          <w:szCs w:val="20"/>
        </w:rPr>
        <w:t>różnic</w:t>
      </w:r>
      <w:r w:rsidR="002B2B7B" w:rsidRPr="003478AF">
        <w:rPr>
          <w:rFonts w:eastAsia="Arial" w:cs="Arial"/>
          <w:szCs w:val="20"/>
        </w:rPr>
        <w:t>e w poszczególnych latach</w:t>
      </w:r>
      <w:r w:rsidR="000B1C6B" w:rsidRPr="003478AF">
        <w:rPr>
          <w:rFonts w:eastAsia="Arial" w:cs="Arial"/>
          <w:szCs w:val="20"/>
        </w:rPr>
        <w:t xml:space="preserve"> </w:t>
      </w:r>
      <w:r w:rsidR="002B2B7B" w:rsidRPr="003478AF">
        <w:rPr>
          <w:rFonts w:eastAsia="Arial" w:cs="Arial"/>
          <w:szCs w:val="20"/>
        </w:rPr>
        <w:t xml:space="preserve">przekraczały </w:t>
      </w:r>
      <w:r w:rsidR="000B1C6B" w:rsidRPr="003478AF">
        <w:rPr>
          <w:rFonts w:eastAsia="Arial" w:cs="Arial"/>
          <w:szCs w:val="20"/>
        </w:rPr>
        <w:t xml:space="preserve">nawet </w:t>
      </w:r>
      <w:r w:rsidR="002B2B7B" w:rsidRPr="003478AF">
        <w:rPr>
          <w:rFonts w:eastAsia="Arial" w:cs="Arial"/>
          <w:szCs w:val="20"/>
        </w:rPr>
        <w:t xml:space="preserve">30 </w:t>
      </w:r>
      <w:r w:rsidR="000B1C6B" w:rsidRPr="003478AF">
        <w:rPr>
          <w:rFonts w:eastAsia="Arial" w:cs="Arial"/>
          <w:szCs w:val="20"/>
        </w:rPr>
        <w:t>kg</w:t>
      </w:r>
      <w:r w:rsidR="002B2B7B" w:rsidRPr="003478AF">
        <w:rPr>
          <w:rFonts w:eastAsia="Arial" w:cs="Arial"/>
          <w:szCs w:val="20"/>
        </w:rPr>
        <w:t>)</w:t>
      </w:r>
      <w:r w:rsidR="000B1C6B" w:rsidRPr="003478AF">
        <w:rPr>
          <w:rFonts w:eastAsia="Arial" w:cs="Arial"/>
          <w:szCs w:val="20"/>
        </w:rPr>
        <w:t xml:space="preserve">. W 2020 roku na jedną osobę przypadało </w:t>
      </w:r>
      <w:r w:rsidR="002B2B7B" w:rsidRPr="003478AF">
        <w:rPr>
          <w:rFonts w:eastAsia="Arial" w:cs="Arial"/>
          <w:szCs w:val="20"/>
        </w:rPr>
        <w:t xml:space="preserve">w regionie </w:t>
      </w:r>
      <w:r w:rsidR="000B1C6B" w:rsidRPr="003478AF">
        <w:rPr>
          <w:rFonts w:eastAsia="Arial" w:cs="Arial"/>
          <w:szCs w:val="20"/>
        </w:rPr>
        <w:t xml:space="preserve">233 kg </w:t>
      </w:r>
      <w:r w:rsidR="00127A56" w:rsidRPr="003478AF">
        <w:rPr>
          <w:rFonts w:eastAsia="Arial" w:cs="Arial"/>
          <w:szCs w:val="20"/>
        </w:rPr>
        <w:t>odpadów zmieszanych</w:t>
      </w:r>
      <w:r w:rsidRPr="003478AF">
        <w:rPr>
          <w:rFonts w:eastAsia="Arial" w:cs="Arial"/>
          <w:szCs w:val="20"/>
        </w:rPr>
        <w:t>, a w Polsce 212 kg</w:t>
      </w:r>
      <w:r w:rsidR="000B1C6B" w:rsidRPr="003478AF">
        <w:rPr>
          <w:rFonts w:eastAsia="Arial" w:cs="Arial"/>
          <w:szCs w:val="20"/>
        </w:rPr>
        <w:t>. Najwięcej odpadów na mieszkańca zebrano w powiecie m. Konin</w:t>
      </w:r>
      <w:r w:rsidR="000B1C6B" w:rsidRPr="003478AF" w:rsidDel="00DE4EAA">
        <w:rPr>
          <w:rFonts w:eastAsia="Arial" w:cs="Arial"/>
          <w:szCs w:val="20"/>
        </w:rPr>
        <w:t xml:space="preserve"> </w:t>
      </w:r>
      <w:r w:rsidR="000B1C6B" w:rsidRPr="003478AF">
        <w:rPr>
          <w:rFonts w:eastAsia="Arial" w:cs="Arial"/>
          <w:szCs w:val="20"/>
        </w:rPr>
        <w:t xml:space="preserve">(320 kg, </w:t>
      </w:r>
      <w:r w:rsidR="00381971" w:rsidRPr="003478AF">
        <w:rPr>
          <w:rFonts w:eastAsia="Arial" w:cs="Arial"/>
          <w:szCs w:val="20"/>
        </w:rPr>
        <w:t>ryc.</w:t>
      </w:r>
      <w:r w:rsidR="000B1C6B" w:rsidRPr="003478AF">
        <w:rPr>
          <w:rFonts w:eastAsia="Arial" w:cs="Arial"/>
          <w:szCs w:val="20"/>
        </w:rPr>
        <w:t xml:space="preserve"> 8.3</w:t>
      </w:r>
      <w:r w:rsidR="00F91F56" w:rsidRPr="003478AF">
        <w:rPr>
          <w:rFonts w:eastAsia="Arial" w:cs="Arial"/>
          <w:szCs w:val="20"/>
        </w:rPr>
        <w:t>6</w:t>
      </w:r>
      <w:r w:rsidR="000B1C6B" w:rsidRPr="003478AF">
        <w:rPr>
          <w:rFonts w:eastAsia="Arial" w:cs="Arial"/>
          <w:szCs w:val="20"/>
        </w:rPr>
        <w:t>).</w:t>
      </w:r>
    </w:p>
    <w:p w14:paraId="0FD875B1" w14:textId="77777777" w:rsidR="007D5B90" w:rsidRPr="003478AF" w:rsidRDefault="007D5B90" w:rsidP="000B1C6B">
      <w:pPr>
        <w:rPr>
          <w:rFonts w:eastAsia="Arial" w:cs="Arial"/>
          <w:szCs w:val="20"/>
        </w:rPr>
      </w:pPr>
    </w:p>
    <w:bookmarkEnd w:id="80"/>
    <w:p w14:paraId="25384F09" w14:textId="77777777" w:rsidR="00E14C34" w:rsidRDefault="00E14C34">
      <w:pPr>
        <w:spacing w:line="240" w:lineRule="auto"/>
        <w:ind w:firstLine="0"/>
        <w:jc w:val="left"/>
        <w:rPr>
          <w:rFonts w:eastAsia="Arial" w:cs="Arial"/>
          <w:b/>
          <w:bCs/>
          <w:sz w:val="16"/>
          <w:szCs w:val="16"/>
        </w:rPr>
      </w:pPr>
      <w:r>
        <w:br w:type="page"/>
      </w:r>
    </w:p>
    <w:p w14:paraId="395EFE2F" w14:textId="2D9416B8" w:rsidR="000A2F97" w:rsidRPr="003478AF" w:rsidRDefault="000A2F97" w:rsidP="00986D40">
      <w:pPr>
        <w:pStyle w:val="ARYCINA"/>
      </w:pPr>
      <w:r w:rsidRPr="003478AF">
        <w:lastRenderedPageBreak/>
        <w:t>Ryc.</w:t>
      </w:r>
      <w:r w:rsidR="00F76A2B" w:rsidRPr="003478AF">
        <w:t xml:space="preserve"> 8.</w:t>
      </w:r>
      <w:r w:rsidR="00997BA4" w:rsidRPr="003478AF">
        <w:t>3</w:t>
      </w:r>
      <w:r w:rsidR="002B034E" w:rsidRPr="003478AF">
        <w:t>2</w:t>
      </w:r>
      <w:r w:rsidRPr="003478AF">
        <w:t xml:space="preserve"> </w:t>
      </w:r>
      <w:bookmarkStart w:id="81" w:name="_Hlk76628327"/>
      <w:r w:rsidR="00CC7E87" w:rsidRPr="003478AF">
        <w:t>Odpady komunalne zebrane w ciągu roku (</w:t>
      </w:r>
      <w:r w:rsidR="00E43B3E" w:rsidRPr="003478AF">
        <w:t>mln</w:t>
      </w:r>
      <w:r w:rsidR="00CC7E87" w:rsidRPr="003478AF">
        <w:t xml:space="preserve"> t) </w:t>
      </w:r>
      <w:r w:rsidRPr="003478AF">
        <w:t>w Polsce w latach 2010-20</w:t>
      </w:r>
      <w:r w:rsidR="00CC7E87" w:rsidRPr="003478AF">
        <w:t>20</w:t>
      </w:r>
      <w:bookmarkEnd w:id="81"/>
    </w:p>
    <w:p w14:paraId="13657E20" w14:textId="29F5319A" w:rsidR="00DF3BB1" w:rsidRPr="003478AF" w:rsidRDefault="00E43B3E" w:rsidP="00E6136F">
      <w:pPr>
        <w:ind w:firstLine="0"/>
        <w:jc w:val="center"/>
        <w:rPr>
          <w:rFonts w:eastAsia="Arial" w:cs="Arial"/>
          <w:szCs w:val="20"/>
        </w:rPr>
      </w:pPr>
      <w:r w:rsidRPr="003478AF">
        <w:rPr>
          <w:rFonts w:eastAsia="Arial" w:cs="Arial"/>
          <w:noProof/>
          <w:szCs w:val="20"/>
          <w:lang w:eastAsia="pl-PL"/>
        </w:rPr>
        <w:drawing>
          <wp:inline distT="0" distB="0" distL="0" distR="0" wp14:anchorId="4FDCA59A" wp14:editId="11FFC550">
            <wp:extent cx="4896000" cy="2814390"/>
            <wp:effectExtent l="0" t="0" r="0" b="5080"/>
            <wp:docPr id="82" name="Obraz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4896000" cy="2814390"/>
                    </a:xfrm>
                    <a:prstGeom prst="rect">
                      <a:avLst/>
                    </a:prstGeom>
                    <a:noFill/>
                  </pic:spPr>
                </pic:pic>
              </a:graphicData>
            </a:graphic>
          </wp:inline>
        </w:drawing>
      </w:r>
    </w:p>
    <w:p w14:paraId="0188839D" w14:textId="06BC9EAD" w:rsidR="00FF0262" w:rsidRPr="003478AF" w:rsidRDefault="00FF0262" w:rsidP="00986D40">
      <w:pPr>
        <w:pStyle w:val="AZRODLO"/>
      </w:pPr>
      <w:r w:rsidRPr="003478AF">
        <w:t>Źródło: Opracowanie własne na podstawie danych BDL</w:t>
      </w:r>
    </w:p>
    <w:p w14:paraId="6A15970A" w14:textId="7BA6058A" w:rsidR="00B518C8" w:rsidRPr="003478AF" w:rsidRDefault="00B518C8" w:rsidP="00007A3A"/>
    <w:p w14:paraId="0796FA4F" w14:textId="79FBF10A" w:rsidR="00CC7E87" w:rsidRPr="003478AF" w:rsidRDefault="000A2F97" w:rsidP="00986D40">
      <w:pPr>
        <w:pStyle w:val="ARYCINA"/>
      </w:pPr>
      <w:r w:rsidRPr="003478AF">
        <w:t>Ryc.</w:t>
      </w:r>
      <w:r w:rsidR="00F76A2B" w:rsidRPr="003478AF">
        <w:t xml:space="preserve"> 8.3</w:t>
      </w:r>
      <w:r w:rsidR="002B034E" w:rsidRPr="003478AF">
        <w:t>3</w:t>
      </w:r>
      <w:r w:rsidRPr="003478AF">
        <w:t xml:space="preserve"> </w:t>
      </w:r>
      <w:r w:rsidR="00CC7E87" w:rsidRPr="003478AF">
        <w:t xml:space="preserve">Odpady komunalne zebrane w ciągu roku (tys. t) </w:t>
      </w:r>
      <w:r w:rsidR="009605E0" w:rsidRPr="003478AF">
        <w:br/>
      </w:r>
      <w:r w:rsidR="00092276" w:rsidRPr="003478AF">
        <w:t xml:space="preserve">w województwie wielkopolskim </w:t>
      </w:r>
      <w:r w:rsidR="00CC7E87" w:rsidRPr="003478AF">
        <w:t>w latach 2010-2020</w:t>
      </w:r>
    </w:p>
    <w:p w14:paraId="152BD010" w14:textId="680E14FD" w:rsidR="00DF3BB1" w:rsidRPr="003478AF" w:rsidRDefault="00CC7E87" w:rsidP="00986D40">
      <w:pPr>
        <w:pStyle w:val="ARYCINA"/>
      </w:pPr>
      <w:r w:rsidRPr="003478AF">
        <w:rPr>
          <w:noProof/>
          <w:lang w:eastAsia="pl-PL"/>
        </w:rPr>
        <w:drawing>
          <wp:inline distT="0" distB="0" distL="0" distR="0" wp14:anchorId="7B2AB128" wp14:editId="20E05F61">
            <wp:extent cx="4896000" cy="2677963"/>
            <wp:effectExtent l="0" t="0" r="0" b="8255"/>
            <wp:docPr id="113" name="Obraz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4896000" cy="2677963"/>
                    </a:xfrm>
                    <a:prstGeom prst="rect">
                      <a:avLst/>
                    </a:prstGeom>
                    <a:noFill/>
                  </pic:spPr>
                </pic:pic>
              </a:graphicData>
            </a:graphic>
          </wp:inline>
        </w:drawing>
      </w:r>
    </w:p>
    <w:p w14:paraId="2B9801C4" w14:textId="02BB42BC" w:rsidR="00FF0262" w:rsidRPr="003478AF" w:rsidRDefault="00FF0262" w:rsidP="00986D40">
      <w:pPr>
        <w:pStyle w:val="AZRODLO"/>
      </w:pPr>
      <w:r w:rsidRPr="003478AF">
        <w:t>Źródło: Opracowanie własne na podstawie danych BDL</w:t>
      </w:r>
    </w:p>
    <w:p w14:paraId="64FBD3C7" w14:textId="77777777" w:rsidR="007D5B90" w:rsidRPr="003478AF" w:rsidRDefault="007D5B90" w:rsidP="00986D40">
      <w:pPr>
        <w:pStyle w:val="AZRODLO"/>
      </w:pPr>
    </w:p>
    <w:p w14:paraId="3B8EAC12" w14:textId="77777777" w:rsidR="00007A3A" w:rsidRPr="003478AF" w:rsidRDefault="00007A3A">
      <w:pPr>
        <w:spacing w:line="240" w:lineRule="auto"/>
        <w:ind w:firstLine="0"/>
        <w:jc w:val="left"/>
        <w:rPr>
          <w:rFonts w:eastAsia="Arial" w:cs="Arial"/>
          <w:b/>
          <w:bCs/>
          <w:sz w:val="16"/>
          <w:szCs w:val="16"/>
        </w:rPr>
      </w:pPr>
      <w:r w:rsidRPr="003478AF">
        <w:br w:type="page"/>
      </w:r>
    </w:p>
    <w:p w14:paraId="29CDECCE" w14:textId="1755A39D" w:rsidR="00754342" w:rsidRPr="003478AF" w:rsidRDefault="00E43B3E" w:rsidP="00986D40">
      <w:pPr>
        <w:pStyle w:val="ARYCINA"/>
      </w:pPr>
      <w:r w:rsidRPr="003478AF">
        <w:lastRenderedPageBreak/>
        <w:t>Ryc. 8.3</w:t>
      </w:r>
      <w:r w:rsidR="002B034E" w:rsidRPr="003478AF">
        <w:t>4</w:t>
      </w:r>
      <w:r w:rsidRPr="003478AF">
        <w:t xml:space="preserve"> Odpady komunalne zebrane w ciągu roku (tys. ton) </w:t>
      </w:r>
      <w:r w:rsidR="0038370F" w:rsidRPr="003478AF">
        <w:t xml:space="preserve">w województwie wielkopolskim </w:t>
      </w:r>
      <w:r w:rsidR="00007A3A" w:rsidRPr="003478AF">
        <w:br/>
      </w:r>
      <w:r w:rsidR="0038370F" w:rsidRPr="003478AF">
        <w:t xml:space="preserve">według powiatów </w:t>
      </w:r>
      <w:r w:rsidRPr="003478AF">
        <w:t>w 2020 roku</w:t>
      </w:r>
    </w:p>
    <w:p w14:paraId="3A0F1051" w14:textId="107560B6" w:rsidR="00E43B3E" w:rsidRPr="003478AF" w:rsidRDefault="001A1B9C" w:rsidP="00986D40">
      <w:pPr>
        <w:pStyle w:val="ARYCINA"/>
      </w:pPr>
      <w:r w:rsidRPr="003478AF">
        <w:rPr>
          <w:noProof/>
          <w:lang w:eastAsia="pl-PL"/>
        </w:rPr>
        <w:drawing>
          <wp:inline distT="0" distB="0" distL="0" distR="0" wp14:anchorId="7750264A" wp14:editId="65209FDC">
            <wp:extent cx="3240000" cy="4010749"/>
            <wp:effectExtent l="0" t="0" r="0" b="8890"/>
            <wp:docPr id="66" name="Obraz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3240000" cy="4010749"/>
                    </a:xfrm>
                    <a:prstGeom prst="rect">
                      <a:avLst/>
                    </a:prstGeom>
                    <a:noFill/>
                    <a:ln>
                      <a:noFill/>
                    </a:ln>
                  </pic:spPr>
                </pic:pic>
              </a:graphicData>
            </a:graphic>
          </wp:inline>
        </w:drawing>
      </w:r>
    </w:p>
    <w:p w14:paraId="5AB50EBC" w14:textId="235F932C" w:rsidR="00537879" w:rsidRPr="003478AF" w:rsidRDefault="00537879" w:rsidP="00986D40">
      <w:pPr>
        <w:pStyle w:val="AZRODLO"/>
      </w:pPr>
      <w:r w:rsidRPr="003478AF">
        <w:t>Źródło: Opracowanie własne na podstawie danych BDL</w:t>
      </w:r>
    </w:p>
    <w:p w14:paraId="7C6D94C6" w14:textId="12F15C34" w:rsidR="00537879" w:rsidRPr="003478AF" w:rsidRDefault="00537879" w:rsidP="00986D40">
      <w:pPr>
        <w:pStyle w:val="ARYCINA"/>
      </w:pPr>
    </w:p>
    <w:p w14:paraId="28ED02E1" w14:textId="742CDF1B" w:rsidR="000A2F97" w:rsidRPr="003478AF" w:rsidRDefault="000A2F97" w:rsidP="00986D40">
      <w:pPr>
        <w:pStyle w:val="ARYCINA"/>
      </w:pPr>
      <w:bookmarkStart w:id="82" w:name="_Hlk75906742"/>
      <w:r w:rsidRPr="003478AF">
        <w:t xml:space="preserve">Ryc. </w:t>
      </w:r>
      <w:r w:rsidR="00F76A2B" w:rsidRPr="003478AF">
        <w:t>8.3</w:t>
      </w:r>
      <w:r w:rsidR="007F24E8" w:rsidRPr="003478AF">
        <w:t>5</w:t>
      </w:r>
      <w:r w:rsidR="00F76A2B" w:rsidRPr="003478AF">
        <w:t xml:space="preserve"> </w:t>
      </w:r>
      <w:bookmarkStart w:id="83" w:name="_Hlk76628359"/>
      <w:r w:rsidR="00CC7E87" w:rsidRPr="003478AF">
        <w:t xml:space="preserve">Zmieszane odpady zebrane w ciągu roku na 1 mieszkańca (kg) </w:t>
      </w:r>
      <w:r w:rsidR="00007A3A" w:rsidRPr="003478AF">
        <w:br/>
      </w:r>
      <w:r w:rsidR="00CC7E87" w:rsidRPr="003478AF">
        <w:t>w Polsce</w:t>
      </w:r>
      <w:r w:rsidR="002D62EF" w:rsidRPr="003478AF">
        <w:t xml:space="preserve"> i </w:t>
      </w:r>
      <w:r w:rsidR="00092276" w:rsidRPr="003478AF">
        <w:t>województwie wielkopolskim</w:t>
      </w:r>
      <w:r w:rsidR="00CC7E87" w:rsidRPr="003478AF">
        <w:t xml:space="preserve"> w latach 2010-2020</w:t>
      </w:r>
      <w:bookmarkEnd w:id="83"/>
    </w:p>
    <w:bookmarkEnd w:id="82"/>
    <w:p w14:paraId="0D651F76" w14:textId="2DDCE1C3" w:rsidR="00DF3BB1" w:rsidRPr="003478AF" w:rsidRDefault="00225734" w:rsidP="00986D40">
      <w:pPr>
        <w:pStyle w:val="ARYCINA"/>
      </w:pPr>
      <w:r w:rsidRPr="003478AF">
        <w:rPr>
          <w:noProof/>
          <w:lang w:eastAsia="pl-PL"/>
        </w:rPr>
        <w:drawing>
          <wp:inline distT="0" distB="0" distL="0" distR="0" wp14:anchorId="49FFE95C" wp14:editId="49CF7BD8">
            <wp:extent cx="4680000" cy="2664171"/>
            <wp:effectExtent l="0" t="0" r="6350" b="3175"/>
            <wp:docPr id="97" name="Obraz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4680000" cy="2664171"/>
                    </a:xfrm>
                    <a:prstGeom prst="rect">
                      <a:avLst/>
                    </a:prstGeom>
                    <a:noFill/>
                  </pic:spPr>
                </pic:pic>
              </a:graphicData>
            </a:graphic>
          </wp:inline>
        </w:drawing>
      </w:r>
    </w:p>
    <w:p w14:paraId="10859947" w14:textId="249DC1D3" w:rsidR="00FF0262" w:rsidRPr="003478AF" w:rsidRDefault="00FF0262" w:rsidP="00986D40">
      <w:pPr>
        <w:pStyle w:val="AZRODLO"/>
      </w:pPr>
      <w:r w:rsidRPr="003478AF">
        <w:t>Źródło: Opracowanie własne na podstawie danych BDL</w:t>
      </w:r>
    </w:p>
    <w:p w14:paraId="4CFC9A90" w14:textId="040C217A" w:rsidR="00011E4D" w:rsidRPr="003478AF" w:rsidRDefault="00011E4D" w:rsidP="00986D40">
      <w:pPr>
        <w:pStyle w:val="ARYCINA"/>
      </w:pPr>
      <w:r w:rsidRPr="003478AF">
        <w:lastRenderedPageBreak/>
        <w:t xml:space="preserve">Ryc. </w:t>
      </w:r>
      <w:r w:rsidRPr="003478AF">
        <w:rPr>
          <w:noProof/>
        </w:rPr>
        <w:t>8.3</w:t>
      </w:r>
      <w:r w:rsidR="007F24E8" w:rsidRPr="003478AF">
        <w:rPr>
          <w:noProof/>
        </w:rPr>
        <w:t>6</w:t>
      </w:r>
      <w:r w:rsidRPr="003478AF">
        <w:rPr>
          <w:noProof/>
        </w:rPr>
        <w:t xml:space="preserve"> </w:t>
      </w:r>
      <w:r w:rsidRPr="003478AF">
        <w:t xml:space="preserve">Zmieszane odpady zebrane w ciągu roku na 1 mieszkańca (kg) </w:t>
      </w:r>
      <w:r w:rsidR="0038370F" w:rsidRPr="003478AF">
        <w:t xml:space="preserve">w województwie wielkopolskim według powiatów </w:t>
      </w:r>
      <w:r w:rsidRPr="003478AF">
        <w:t>w 2020 roku</w:t>
      </w:r>
    </w:p>
    <w:p w14:paraId="11C251D8" w14:textId="69640399" w:rsidR="00011E4D" w:rsidRPr="003478AF" w:rsidRDefault="001A1B9C" w:rsidP="00986D40">
      <w:pPr>
        <w:pStyle w:val="ARYCINA"/>
      </w:pPr>
      <w:r w:rsidRPr="003478AF">
        <w:rPr>
          <w:noProof/>
          <w:lang w:eastAsia="pl-PL"/>
        </w:rPr>
        <w:drawing>
          <wp:inline distT="0" distB="0" distL="0" distR="0" wp14:anchorId="315514F4" wp14:editId="0135590A">
            <wp:extent cx="3240000" cy="3959209"/>
            <wp:effectExtent l="0" t="0" r="0" b="3810"/>
            <wp:docPr id="67" name="Obraz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3240000" cy="3959209"/>
                    </a:xfrm>
                    <a:prstGeom prst="rect">
                      <a:avLst/>
                    </a:prstGeom>
                    <a:noFill/>
                    <a:ln>
                      <a:noFill/>
                    </a:ln>
                  </pic:spPr>
                </pic:pic>
              </a:graphicData>
            </a:graphic>
          </wp:inline>
        </w:drawing>
      </w:r>
    </w:p>
    <w:p w14:paraId="66CA828A" w14:textId="606CF1AD" w:rsidR="00011E4D" w:rsidRPr="003478AF" w:rsidRDefault="00011E4D" w:rsidP="00986D40">
      <w:pPr>
        <w:pStyle w:val="AZRODLO"/>
      </w:pPr>
      <w:r w:rsidRPr="003478AF">
        <w:t>Źródło: Opracowanie własne na podstawie BDL</w:t>
      </w:r>
    </w:p>
    <w:p w14:paraId="4169B8DC" w14:textId="77777777" w:rsidR="00B518C8" w:rsidRPr="003478AF" w:rsidRDefault="00B518C8" w:rsidP="00E7414E"/>
    <w:p w14:paraId="57B8DAF3" w14:textId="31A945C1" w:rsidR="00FC408A" w:rsidRPr="003478AF" w:rsidRDefault="00006E72" w:rsidP="00006E72">
      <w:pPr>
        <w:rPr>
          <w:rFonts w:eastAsia="Arial" w:cs="Arial"/>
          <w:szCs w:val="20"/>
        </w:rPr>
      </w:pPr>
      <w:r w:rsidRPr="003478AF">
        <w:rPr>
          <w:rFonts w:eastAsia="Arial" w:cs="Arial"/>
          <w:szCs w:val="20"/>
        </w:rPr>
        <w:t xml:space="preserve">Kolejne wskaźniki dotyczące gospodarki odpadami to: </w:t>
      </w:r>
      <w:r w:rsidR="00580A55" w:rsidRPr="003478AF">
        <w:rPr>
          <w:rFonts w:eastAsia="Arial" w:cs="Arial"/>
          <w:szCs w:val="20"/>
        </w:rPr>
        <w:t xml:space="preserve">odsetek odpadów </w:t>
      </w:r>
      <w:r w:rsidRPr="003478AF">
        <w:rPr>
          <w:rFonts w:eastAsia="Arial" w:cs="Arial"/>
          <w:szCs w:val="20"/>
        </w:rPr>
        <w:t xml:space="preserve">zebranych selektywnie i </w:t>
      </w:r>
      <w:r w:rsidR="007657B7" w:rsidRPr="003478AF">
        <w:rPr>
          <w:rFonts w:eastAsia="Arial" w:cs="Arial"/>
          <w:szCs w:val="20"/>
        </w:rPr>
        <w:t xml:space="preserve">ilość </w:t>
      </w:r>
      <w:r w:rsidRPr="003478AF">
        <w:rPr>
          <w:rFonts w:eastAsia="Arial" w:cs="Arial"/>
          <w:szCs w:val="20"/>
        </w:rPr>
        <w:t xml:space="preserve">biodegradowalnych </w:t>
      </w:r>
      <w:r w:rsidR="002F276C" w:rsidRPr="003478AF">
        <w:rPr>
          <w:rFonts w:eastAsia="Arial" w:cs="Arial"/>
          <w:szCs w:val="20"/>
        </w:rPr>
        <w:t xml:space="preserve">odpadów </w:t>
      </w:r>
      <w:r w:rsidR="008D60AD" w:rsidRPr="003478AF">
        <w:rPr>
          <w:rFonts w:eastAsia="Arial" w:cs="Arial"/>
          <w:szCs w:val="20"/>
        </w:rPr>
        <w:t>zebranych selektywnie</w:t>
      </w:r>
      <w:r w:rsidRPr="003478AF">
        <w:rPr>
          <w:rFonts w:eastAsia="Arial" w:cs="Arial"/>
          <w:szCs w:val="20"/>
        </w:rPr>
        <w:t xml:space="preserve">. </w:t>
      </w:r>
      <w:r w:rsidR="00580A55" w:rsidRPr="003478AF">
        <w:rPr>
          <w:rFonts w:eastAsia="Arial" w:cs="Arial"/>
          <w:szCs w:val="20"/>
        </w:rPr>
        <w:t xml:space="preserve">Wartości obu wskaźników </w:t>
      </w:r>
      <w:r w:rsidRPr="003478AF">
        <w:rPr>
          <w:rFonts w:eastAsia="Arial" w:cs="Arial"/>
          <w:szCs w:val="20"/>
        </w:rPr>
        <w:t>rosną od 2010 r</w:t>
      </w:r>
      <w:r w:rsidR="00FC408A" w:rsidRPr="003478AF">
        <w:rPr>
          <w:rFonts w:eastAsia="Arial" w:cs="Arial"/>
          <w:szCs w:val="20"/>
        </w:rPr>
        <w:t>oku</w:t>
      </w:r>
      <w:r w:rsidR="00C13171" w:rsidRPr="003478AF">
        <w:rPr>
          <w:rFonts w:eastAsia="Arial" w:cs="Arial"/>
          <w:szCs w:val="20"/>
        </w:rPr>
        <w:t>.</w:t>
      </w:r>
      <w:r w:rsidRPr="003478AF">
        <w:rPr>
          <w:rFonts w:eastAsia="Arial" w:cs="Arial"/>
          <w:szCs w:val="20"/>
        </w:rPr>
        <w:t xml:space="preserve"> </w:t>
      </w:r>
    </w:p>
    <w:p w14:paraId="0DCEA38C" w14:textId="220C14E7" w:rsidR="00006E72" w:rsidRPr="003478AF" w:rsidRDefault="00086AE9" w:rsidP="00006E72">
      <w:pPr>
        <w:rPr>
          <w:rFonts w:eastAsia="Arial" w:cs="Arial"/>
          <w:szCs w:val="20"/>
        </w:rPr>
      </w:pPr>
      <w:r w:rsidRPr="003478AF">
        <w:t xml:space="preserve">Wielkopolska </w:t>
      </w:r>
      <w:r w:rsidR="00BC2DB7" w:rsidRPr="003478AF">
        <w:t>za</w:t>
      </w:r>
      <w:r w:rsidR="00A17890" w:rsidRPr="003478AF">
        <w:t>jmowała</w:t>
      </w:r>
      <w:r w:rsidRPr="003478AF">
        <w:t xml:space="preserve"> </w:t>
      </w:r>
      <w:r w:rsidR="00B6082B" w:rsidRPr="003478AF">
        <w:t xml:space="preserve">w 2020 roku </w:t>
      </w:r>
      <w:r w:rsidR="008D60AD" w:rsidRPr="003478AF">
        <w:t>trzecie</w:t>
      </w:r>
      <w:r w:rsidRPr="003478AF">
        <w:t xml:space="preserve"> miejsce w Polsce pod względem ilości </w:t>
      </w:r>
      <w:r w:rsidR="00257438" w:rsidRPr="003478AF">
        <w:t xml:space="preserve">zebranych </w:t>
      </w:r>
      <w:r w:rsidR="00B642DE" w:rsidRPr="003478AF">
        <w:t xml:space="preserve">selektywnie </w:t>
      </w:r>
      <w:r w:rsidRPr="003478AF">
        <w:t xml:space="preserve">odpadów biodegradowalnych </w:t>
      </w:r>
      <w:r w:rsidR="00BC2DB7" w:rsidRPr="003478AF">
        <w:t>(</w:t>
      </w:r>
      <w:r w:rsidR="008D60AD" w:rsidRPr="003478AF">
        <w:t>172,6</w:t>
      </w:r>
      <w:r w:rsidR="00BC2DB7" w:rsidRPr="003478AF">
        <w:t xml:space="preserve"> tys. </w:t>
      </w:r>
      <w:r w:rsidR="008D60AD" w:rsidRPr="003478AF">
        <w:t>ton</w:t>
      </w:r>
      <w:r w:rsidR="003D4527" w:rsidRPr="003478AF">
        <w:t xml:space="preserve">; 10% </w:t>
      </w:r>
      <w:r w:rsidR="00B642DE" w:rsidRPr="003478AF">
        <w:t xml:space="preserve">ogółu </w:t>
      </w:r>
      <w:r w:rsidR="00566BB9" w:rsidRPr="003478AF">
        <w:t>tego typu</w:t>
      </w:r>
      <w:r w:rsidR="00B642DE" w:rsidRPr="003478AF">
        <w:t xml:space="preserve"> odpadów w Polsce</w:t>
      </w:r>
      <w:r w:rsidR="00BC2DB7" w:rsidRPr="003478AF">
        <w:t>)</w:t>
      </w:r>
      <w:r w:rsidR="00B642DE" w:rsidRPr="003478AF">
        <w:t>,</w:t>
      </w:r>
      <w:r w:rsidR="00257438" w:rsidRPr="003478AF">
        <w:t xml:space="preserve"> </w:t>
      </w:r>
      <w:r w:rsidRPr="003478AF">
        <w:t>zaraz po województw</w:t>
      </w:r>
      <w:r w:rsidR="00257438" w:rsidRPr="003478AF">
        <w:t>ie</w:t>
      </w:r>
      <w:r w:rsidRPr="003478AF">
        <w:t xml:space="preserve"> śląskim</w:t>
      </w:r>
      <w:r w:rsidR="00257438" w:rsidRPr="003478AF">
        <w:t xml:space="preserve"> (</w:t>
      </w:r>
      <w:r w:rsidR="00DB59CA" w:rsidRPr="003478AF">
        <w:t>237,8</w:t>
      </w:r>
      <w:r w:rsidR="00257438" w:rsidRPr="003478AF">
        <w:t xml:space="preserve"> tys. </w:t>
      </w:r>
      <w:r w:rsidR="00DB59CA" w:rsidRPr="003478AF">
        <w:t>ton</w:t>
      </w:r>
      <w:r w:rsidR="00BC2DB7" w:rsidRPr="003478AF">
        <w:t>)</w:t>
      </w:r>
      <w:r w:rsidR="00BC2DB7" w:rsidRPr="003478AF">
        <w:rPr>
          <w:rStyle w:val="Odwoanieprzypisudolnego"/>
        </w:rPr>
        <w:footnoteReference w:id="145"/>
      </w:r>
      <w:r w:rsidR="00DB59CA" w:rsidRPr="003478AF">
        <w:t xml:space="preserve"> i mazowieckim (219,3 tys. ton)</w:t>
      </w:r>
      <w:r w:rsidRPr="003478AF">
        <w:t>.</w:t>
      </w:r>
      <w:r w:rsidR="00BC2DB7" w:rsidRPr="003478AF">
        <w:t xml:space="preserve"> </w:t>
      </w:r>
      <w:r w:rsidR="00B642DE" w:rsidRPr="003478AF">
        <w:t xml:space="preserve">Pod względem </w:t>
      </w:r>
      <w:r w:rsidR="00566BB9" w:rsidRPr="003478AF">
        <w:t xml:space="preserve">ilości </w:t>
      </w:r>
      <w:r w:rsidR="00B642DE" w:rsidRPr="003478AF">
        <w:t xml:space="preserve">odpadów zebranych selektywnie </w:t>
      </w:r>
      <w:r w:rsidR="00566BB9" w:rsidRPr="003478AF">
        <w:t xml:space="preserve">ogółem </w:t>
      </w:r>
      <w:r w:rsidR="00B642DE" w:rsidRPr="003478AF">
        <w:t>region zajmował n</w:t>
      </w:r>
      <w:r w:rsidR="00306FF6" w:rsidRPr="003478AF">
        <w:t xml:space="preserve">atomiast </w:t>
      </w:r>
      <w:r w:rsidR="00FE54E5" w:rsidRPr="003478AF">
        <w:t>ósme</w:t>
      </w:r>
      <w:r w:rsidR="00306FF6" w:rsidRPr="003478AF">
        <w:t xml:space="preserve"> miejsce</w:t>
      </w:r>
      <w:r w:rsidR="00306FF6" w:rsidRPr="003478AF">
        <w:rPr>
          <w:rFonts w:eastAsia="Arial" w:cs="Arial"/>
          <w:szCs w:val="20"/>
        </w:rPr>
        <w:t>.</w:t>
      </w:r>
      <w:r w:rsidR="00566BB9" w:rsidRPr="003478AF">
        <w:rPr>
          <w:rFonts w:eastAsia="Arial" w:cs="Arial"/>
          <w:szCs w:val="20"/>
        </w:rPr>
        <w:t xml:space="preserve"> </w:t>
      </w:r>
      <w:r w:rsidR="00306FF6" w:rsidRPr="003478AF">
        <w:rPr>
          <w:rFonts w:eastAsia="Arial" w:cs="Arial"/>
          <w:szCs w:val="20"/>
        </w:rPr>
        <w:t xml:space="preserve">W </w:t>
      </w:r>
      <w:r w:rsidR="00B52C14" w:rsidRPr="003478AF">
        <w:rPr>
          <w:rFonts w:eastAsia="Arial" w:cs="Arial"/>
          <w:szCs w:val="20"/>
        </w:rPr>
        <w:t>latach 2010-</w:t>
      </w:r>
      <w:r w:rsidR="00306FF6" w:rsidRPr="003478AF">
        <w:rPr>
          <w:rFonts w:eastAsia="Arial" w:cs="Arial"/>
          <w:szCs w:val="20"/>
        </w:rPr>
        <w:t>20</w:t>
      </w:r>
      <w:r w:rsidR="00FF3DF8" w:rsidRPr="003478AF">
        <w:rPr>
          <w:rFonts w:eastAsia="Arial" w:cs="Arial"/>
          <w:szCs w:val="20"/>
        </w:rPr>
        <w:t>20</w:t>
      </w:r>
      <w:r w:rsidR="00306FF6" w:rsidRPr="003478AF">
        <w:rPr>
          <w:rFonts w:eastAsia="Arial" w:cs="Arial"/>
          <w:szCs w:val="20"/>
        </w:rPr>
        <w:t xml:space="preserve"> </w:t>
      </w:r>
      <w:r w:rsidR="00566BB9" w:rsidRPr="003478AF">
        <w:rPr>
          <w:rFonts w:eastAsia="Arial" w:cs="Arial"/>
          <w:szCs w:val="20"/>
        </w:rPr>
        <w:t xml:space="preserve">ich </w:t>
      </w:r>
      <w:r w:rsidR="00A17890" w:rsidRPr="003478AF">
        <w:rPr>
          <w:rFonts w:eastAsia="Arial" w:cs="Arial"/>
          <w:szCs w:val="20"/>
        </w:rPr>
        <w:t xml:space="preserve">odsetek </w:t>
      </w:r>
      <w:r w:rsidR="00306FF6" w:rsidRPr="003478AF">
        <w:rPr>
          <w:rFonts w:eastAsia="Arial" w:cs="Arial"/>
          <w:szCs w:val="20"/>
        </w:rPr>
        <w:t>wzr</w:t>
      </w:r>
      <w:r w:rsidR="00A17890" w:rsidRPr="003478AF">
        <w:rPr>
          <w:rFonts w:eastAsia="Arial" w:cs="Arial"/>
          <w:szCs w:val="20"/>
        </w:rPr>
        <w:t>ósł</w:t>
      </w:r>
      <w:r w:rsidR="00006E72" w:rsidRPr="003478AF">
        <w:rPr>
          <w:rFonts w:eastAsia="Arial" w:cs="Arial"/>
          <w:szCs w:val="20"/>
        </w:rPr>
        <w:t xml:space="preserve"> </w:t>
      </w:r>
      <w:r w:rsidR="00B52C14" w:rsidRPr="003478AF">
        <w:rPr>
          <w:rFonts w:eastAsia="Arial" w:cs="Arial"/>
          <w:szCs w:val="20"/>
        </w:rPr>
        <w:t xml:space="preserve">w Wielkopolsce </w:t>
      </w:r>
      <w:r w:rsidR="00006E72" w:rsidRPr="003478AF">
        <w:rPr>
          <w:rFonts w:eastAsia="Arial" w:cs="Arial"/>
          <w:szCs w:val="20"/>
        </w:rPr>
        <w:t xml:space="preserve">o prawie </w:t>
      </w:r>
      <w:r w:rsidR="00FF3DF8" w:rsidRPr="003478AF">
        <w:rPr>
          <w:rFonts w:eastAsia="Arial" w:cs="Arial"/>
          <w:szCs w:val="20"/>
        </w:rPr>
        <w:t>24,6</w:t>
      </w:r>
      <w:r w:rsidR="00006E72" w:rsidRPr="003478AF">
        <w:rPr>
          <w:rFonts w:eastAsia="Arial" w:cs="Arial"/>
          <w:szCs w:val="20"/>
        </w:rPr>
        <w:t xml:space="preserve"> p.p.</w:t>
      </w:r>
      <w:r w:rsidR="00AE2260" w:rsidRPr="003478AF">
        <w:rPr>
          <w:rFonts w:eastAsia="Arial" w:cs="Arial"/>
          <w:szCs w:val="20"/>
        </w:rPr>
        <w:t>, zaś ilość zebranych odpadów</w:t>
      </w:r>
      <w:r w:rsidR="00006E72" w:rsidRPr="003478AF">
        <w:rPr>
          <w:rFonts w:eastAsia="Arial" w:cs="Arial"/>
          <w:szCs w:val="20"/>
        </w:rPr>
        <w:t xml:space="preserve"> biodegradowalnych </w:t>
      </w:r>
      <w:r w:rsidR="00AE2260" w:rsidRPr="003478AF">
        <w:rPr>
          <w:rFonts w:eastAsia="Arial" w:cs="Arial"/>
          <w:szCs w:val="20"/>
        </w:rPr>
        <w:t xml:space="preserve">zwiększyła się </w:t>
      </w:r>
      <w:r w:rsidR="00006E72" w:rsidRPr="003478AF">
        <w:rPr>
          <w:rFonts w:eastAsia="Arial" w:cs="Arial"/>
          <w:szCs w:val="20"/>
        </w:rPr>
        <w:t xml:space="preserve">o </w:t>
      </w:r>
      <w:r w:rsidR="00B81BE7" w:rsidRPr="003478AF">
        <w:rPr>
          <w:rFonts w:eastAsia="Arial" w:cs="Arial"/>
          <w:szCs w:val="20"/>
        </w:rPr>
        <w:t>158</w:t>
      </w:r>
      <w:r w:rsidR="00006E72" w:rsidRPr="003478AF">
        <w:rPr>
          <w:rFonts w:eastAsia="Arial" w:cs="Arial"/>
          <w:szCs w:val="20"/>
        </w:rPr>
        <w:t xml:space="preserve"> </w:t>
      </w:r>
      <w:r w:rsidR="00FE54E5" w:rsidRPr="003478AF">
        <w:rPr>
          <w:rFonts w:eastAsia="Arial" w:cs="Arial"/>
          <w:szCs w:val="20"/>
        </w:rPr>
        <w:t>tys. ton</w:t>
      </w:r>
      <w:r w:rsidR="00006E72" w:rsidRPr="003478AF">
        <w:rPr>
          <w:rFonts w:eastAsia="Arial" w:cs="Arial"/>
          <w:szCs w:val="20"/>
        </w:rPr>
        <w:t xml:space="preserve"> (</w:t>
      </w:r>
      <w:r w:rsidR="00381971" w:rsidRPr="003478AF">
        <w:rPr>
          <w:rFonts w:eastAsia="Arial" w:cs="Arial"/>
          <w:szCs w:val="20"/>
        </w:rPr>
        <w:t>ryc.</w:t>
      </w:r>
      <w:r w:rsidR="00006E72" w:rsidRPr="003478AF">
        <w:rPr>
          <w:rFonts w:eastAsia="Arial" w:cs="Arial"/>
          <w:szCs w:val="20"/>
        </w:rPr>
        <w:t xml:space="preserve"> </w:t>
      </w:r>
      <w:r w:rsidR="003F5D1A" w:rsidRPr="003478AF">
        <w:rPr>
          <w:rFonts w:eastAsia="Arial" w:cs="Arial"/>
          <w:szCs w:val="20"/>
        </w:rPr>
        <w:t>8.3</w:t>
      </w:r>
      <w:r w:rsidR="007F24E8" w:rsidRPr="003478AF">
        <w:rPr>
          <w:rFonts w:eastAsia="Arial" w:cs="Arial"/>
          <w:szCs w:val="20"/>
        </w:rPr>
        <w:t>8</w:t>
      </w:r>
      <w:r w:rsidR="00AE2260" w:rsidRPr="003478AF">
        <w:rPr>
          <w:rFonts w:eastAsia="Arial" w:cs="Arial"/>
          <w:szCs w:val="20"/>
        </w:rPr>
        <w:t xml:space="preserve"> i </w:t>
      </w:r>
      <w:r w:rsidR="003F5D1A" w:rsidRPr="003478AF">
        <w:rPr>
          <w:rFonts w:eastAsia="Arial" w:cs="Arial"/>
          <w:szCs w:val="20"/>
        </w:rPr>
        <w:t>8.</w:t>
      </w:r>
      <w:r w:rsidR="00F91F56" w:rsidRPr="003478AF">
        <w:rPr>
          <w:rFonts w:eastAsia="Arial" w:cs="Arial"/>
          <w:szCs w:val="20"/>
        </w:rPr>
        <w:t>41</w:t>
      </w:r>
      <w:r w:rsidR="00006E72" w:rsidRPr="003478AF">
        <w:rPr>
          <w:rFonts w:eastAsia="Arial" w:cs="Arial"/>
          <w:szCs w:val="20"/>
        </w:rPr>
        <w:t>).</w:t>
      </w:r>
      <w:r w:rsidR="00306FF6" w:rsidRPr="003478AF">
        <w:rPr>
          <w:rFonts w:eastAsia="Arial" w:cs="Arial"/>
          <w:szCs w:val="20"/>
        </w:rPr>
        <w:t xml:space="preserve"> Dla Polski </w:t>
      </w:r>
      <w:r w:rsidR="0026578D" w:rsidRPr="003478AF">
        <w:rPr>
          <w:rFonts w:eastAsia="Arial" w:cs="Arial"/>
          <w:szCs w:val="20"/>
        </w:rPr>
        <w:t xml:space="preserve">wartości tych </w:t>
      </w:r>
      <w:r w:rsidR="00306FF6" w:rsidRPr="003478AF">
        <w:rPr>
          <w:rFonts w:eastAsia="Arial" w:cs="Arial"/>
          <w:szCs w:val="20"/>
        </w:rPr>
        <w:t>wskaźnik</w:t>
      </w:r>
      <w:r w:rsidR="0026578D" w:rsidRPr="003478AF">
        <w:rPr>
          <w:rFonts w:eastAsia="Arial" w:cs="Arial"/>
          <w:szCs w:val="20"/>
        </w:rPr>
        <w:t>ów</w:t>
      </w:r>
      <w:r w:rsidR="00306FF6" w:rsidRPr="003478AF">
        <w:rPr>
          <w:rFonts w:eastAsia="Arial" w:cs="Arial"/>
          <w:szCs w:val="20"/>
        </w:rPr>
        <w:t xml:space="preserve"> </w:t>
      </w:r>
      <w:r w:rsidR="007F24E8" w:rsidRPr="003478AF">
        <w:rPr>
          <w:rFonts w:eastAsia="Arial" w:cs="Arial"/>
          <w:szCs w:val="20"/>
        </w:rPr>
        <w:t xml:space="preserve">wzrosły </w:t>
      </w:r>
      <w:r w:rsidR="00EB3525" w:rsidRPr="003478AF">
        <w:rPr>
          <w:rFonts w:eastAsia="Arial" w:cs="Arial"/>
          <w:szCs w:val="20"/>
        </w:rPr>
        <w:t xml:space="preserve">odpowiednio </w:t>
      </w:r>
      <w:r w:rsidR="007F24E8" w:rsidRPr="003478AF">
        <w:rPr>
          <w:rFonts w:eastAsia="Arial" w:cs="Arial"/>
          <w:szCs w:val="20"/>
        </w:rPr>
        <w:t>o</w:t>
      </w:r>
      <w:r w:rsidR="003D660E" w:rsidRPr="003478AF">
        <w:rPr>
          <w:rFonts w:eastAsia="Arial" w:cs="Arial"/>
          <w:szCs w:val="20"/>
        </w:rPr>
        <w:t xml:space="preserve"> 2</w:t>
      </w:r>
      <w:r w:rsidR="000927D6" w:rsidRPr="003478AF">
        <w:rPr>
          <w:rFonts w:eastAsia="Arial" w:cs="Arial"/>
          <w:szCs w:val="20"/>
        </w:rPr>
        <w:t>9,3</w:t>
      </w:r>
      <w:r w:rsidR="003D660E" w:rsidRPr="003478AF">
        <w:rPr>
          <w:rFonts w:eastAsia="Arial" w:cs="Arial"/>
          <w:szCs w:val="20"/>
        </w:rPr>
        <w:t xml:space="preserve"> p</w:t>
      </w:r>
      <w:r w:rsidR="003D4527" w:rsidRPr="003478AF">
        <w:rPr>
          <w:rFonts w:eastAsia="Arial" w:cs="Arial"/>
          <w:szCs w:val="20"/>
        </w:rPr>
        <w:t>.</w:t>
      </w:r>
      <w:r w:rsidR="003D660E" w:rsidRPr="003478AF">
        <w:rPr>
          <w:rFonts w:eastAsia="Arial" w:cs="Arial"/>
          <w:szCs w:val="20"/>
        </w:rPr>
        <w:t>p.</w:t>
      </w:r>
      <w:r w:rsidR="003D4527" w:rsidRPr="003478AF">
        <w:rPr>
          <w:rFonts w:eastAsia="Arial" w:cs="Arial"/>
          <w:szCs w:val="20"/>
        </w:rPr>
        <w:t xml:space="preserve"> i </w:t>
      </w:r>
      <w:r w:rsidR="003D660E" w:rsidRPr="003478AF">
        <w:rPr>
          <w:rFonts w:eastAsia="Arial" w:cs="Arial"/>
          <w:szCs w:val="20"/>
        </w:rPr>
        <w:t xml:space="preserve">prawie </w:t>
      </w:r>
      <w:r w:rsidR="0026578D" w:rsidRPr="003478AF">
        <w:rPr>
          <w:rFonts w:eastAsia="Arial" w:cs="Arial"/>
          <w:szCs w:val="20"/>
        </w:rPr>
        <w:t>1 </w:t>
      </w:r>
      <w:r w:rsidR="000927D6" w:rsidRPr="003478AF">
        <w:rPr>
          <w:rFonts w:eastAsia="Arial" w:cs="Arial"/>
          <w:szCs w:val="20"/>
        </w:rPr>
        <w:t>429</w:t>
      </w:r>
      <w:r w:rsidR="00B81BE7" w:rsidRPr="003478AF">
        <w:rPr>
          <w:rFonts w:eastAsia="Arial" w:cs="Arial"/>
          <w:szCs w:val="20"/>
        </w:rPr>
        <w:t xml:space="preserve"> tys. ton</w:t>
      </w:r>
      <w:r w:rsidR="00F12B71" w:rsidRPr="003478AF">
        <w:rPr>
          <w:rFonts w:eastAsia="Arial" w:cs="Arial"/>
          <w:szCs w:val="20"/>
        </w:rPr>
        <w:t xml:space="preserve"> </w:t>
      </w:r>
      <w:r w:rsidR="003D4527" w:rsidRPr="003478AF">
        <w:rPr>
          <w:rFonts w:eastAsia="Arial" w:cs="Arial"/>
          <w:szCs w:val="20"/>
        </w:rPr>
        <w:t>(</w:t>
      </w:r>
      <w:r w:rsidR="00381971" w:rsidRPr="003478AF">
        <w:rPr>
          <w:rFonts w:eastAsia="Arial" w:cs="Arial"/>
          <w:szCs w:val="20"/>
        </w:rPr>
        <w:t>ryc.</w:t>
      </w:r>
      <w:r w:rsidR="003F5D1A" w:rsidRPr="003478AF">
        <w:rPr>
          <w:rFonts w:eastAsia="Arial" w:cs="Arial"/>
          <w:szCs w:val="20"/>
        </w:rPr>
        <w:t xml:space="preserve"> 8.3</w:t>
      </w:r>
      <w:r w:rsidR="007F24E8" w:rsidRPr="003478AF">
        <w:rPr>
          <w:rFonts w:eastAsia="Arial" w:cs="Arial"/>
          <w:szCs w:val="20"/>
        </w:rPr>
        <w:t>7</w:t>
      </w:r>
      <w:r w:rsidR="0026578D" w:rsidRPr="003478AF">
        <w:rPr>
          <w:rFonts w:eastAsia="Arial" w:cs="Arial"/>
          <w:szCs w:val="20"/>
        </w:rPr>
        <w:t xml:space="preserve"> i </w:t>
      </w:r>
      <w:r w:rsidR="00E43B3E" w:rsidRPr="003478AF">
        <w:rPr>
          <w:rFonts w:eastAsia="Arial" w:cs="Arial"/>
          <w:szCs w:val="20"/>
        </w:rPr>
        <w:t>8.</w:t>
      </w:r>
      <w:r w:rsidR="00F91F56" w:rsidRPr="003478AF">
        <w:rPr>
          <w:rFonts w:eastAsia="Arial" w:cs="Arial"/>
          <w:szCs w:val="20"/>
        </w:rPr>
        <w:t>40</w:t>
      </w:r>
      <w:r w:rsidR="003F5D1A" w:rsidRPr="003478AF">
        <w:rPr>
          <w:rFonts w:eastAsia="Arial" w:cs="Arial"/>
          <w:szCs w:val="20"/>
        </w:rPr>
        <w:t>)</w:t>
      </w:r>
      <w:r w:rsidR="000927D6" w:rsidRPr="003478AF">
        <w:rPr>
          <w:rFonts w:eastAsia="Arial" w:cs="Arial"/>
          <w:szCs w:val="20"/>
        </w:rPr>
        <w:t xml:space="preserve">. </w:t>
      </w:r>
    </w:p>
    <w:p w14:paraId="27E1D130" w14:textId="77777777" w:rsidR="007D5B90" w:rsidRPr="003478AF" w:rsidRDefault="007D5B90" w:rsidP="00006E72">
      <w:pPr>
        <w:rPr>
          <w:rFonts w:eastAsia="Arial" w:cs="Arial"/>
          <w:szCs w:val="20"/>
        </w:rPr>
      </w:pPr>
    </w:p>
    <w:p w14:paraId="0A2DF963" w14:textId="77777777" w:rsidR="00007A3A" w:rsidRPr="003478AF" w:rsidRDefault="00007A3A">
      <w:pPr>
        <w:spacing w:line="240" w:lineRule="auto"/>
        <w:ind w:firstLine="0"/>
        <w:jc w:val="left"/>
        <w:rPr>
          <w:rFonts w:eastAsia="Arial" w:cs="Arial"/>
          <w:b/>
          <w:bCs/>
          <w:sz w:val="16"/>
          <w:szCs w:val="16"/>
        </w:rPr>
      </w:pPr>
      <w:bookmarkStart w:id="84" w:name="_Hlk76628370"/>
      <w:r w:rsidRPr="003478AF">
        <w:br w:type="page"/>
      </w:r>
    </w:p>
    <w:p w14:paraId="521EBB32" w14:textId="605A7B03" w:rsidR="00A945CE" w:rsidRPr="003478AF" w:rsidRDefault="000714C1" w:rsidP="00986D40">
      <w:pPr>
        <w:pStyle w:val="ARYCINA"/>
      </w:pPr>
      <w:r w:rsidRPr="003478AF">
        <w:lastRenderedPageBreak/>
        <w:t xml:space="preserve">Ryc. </w:t>
      </w:r>
      <w:r w:rsidR="003F5D1A" w:rsidRPr="003478AF">
        <w:rPr>
          <w:noProof/>
        </w:rPr>
        <w:t>8</w:t>
      </w:r>
      <w:r w:rsidR="003F5D1A" w:rsidRPr="003478AF">
        <w:t>.3</w:t>
      </w:r>
      <w:r w:rsidR="007F24E8" w:rsidRPr="003478AF">
        <w:t>7</w:t>
      </w:r>
      <w:r w:rsidRPr="003478AF">
        <w:rPr>
          <w:rFonts w:asciiTheme="minorHAnsi" w:eastAsiaTheme="minorEastAsia" w:hAnsi="Times New Roman" w:cstheme="minorBidi"/>
          <w:color w:val="939393"/>
          <w:kern w:val="24"/>
          <w:sz w:val="28"/>
          <w:szCs w:val="28"/>
          <w:lang w:eastAsia="pl-PL"/>
        </w:rPr>
        <w:t xml:space="preserve"> </w:t>
      </w:r>
      <w:r w:rsidRPr="003478AF">
        <w:t xml:space="preserve">Udział zebranych selektywnie odpadów </w:t>
      </w:r>
      <w:r w:rsidR="00DF3BB1" w:rsidRPr="003478AF">
        <w:t xml:space="preserve">w ilości </w:t>
      </w:r>
      <w:r w:rsidRPr="003478AF">
        <w:t>ogółem (%)</w:t>
      </w:r>
      <w:r w:rsidR="000A2F97" w:rsidRPr="003478AF">
        <w:t xml:space="preserve"> w Polsce w latach 2010</w:t>
      </w:r>
      <w:bookmarkEnd w:id="84"/>
      <w:r w:rsidR="000A2F97" w:rsidRPr="003478AF">
        <w:t>-20</w:t>
      </w:r>
      <w:r w:rsidR="00DE4EAA" w:rsidRPr="003478AF">
        <w:t>20</w:t>
      </w:r>
    </w:p>
    <w:p w14:paraId="35E196C6" w14:textId="40DC693B" w:rsidR="00DF3BB1" w:rsidRPr="003478AF" w:rsidRDefault="002D62EF" w:rsidP="00986D40">
      <w:pPr>
        <w:pStyle w:val="ARYCINA"/>
      </w:pPr>
      <w:r w:rsidRPr="003478AF">
        <w:rPr>
          <w:noProof/>
          <w:lang w:eastAsia="pl-PL"/>
        </w:rPr>
        <w:drawing>
          <wp:inline distT="0" distB="0" distL="0" distR="0" wp14:anchorId="74330110" wp14:editId="76F4D816">
            <wp:extent cx="4896000" cy="2749808"/>
            <wp:effectExtent l="0" t="0" r="0" b="0"/>
            <wp:docPr id="116" name="Obraz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4896000" cy="2749808"/>
                    </a:xfrm>
                    <a:prstGeom prst="rect">
                      <a:avLst/>
                    </a:prstGeom>
                    <a:noFill/>
                  </pic:spPr>
                </pic:pic>
              </a:graphicData>
            </a:graphic>
          </wp:inline>
        </w:drawing>
      </w:r>
    </w:p>
    <w:p w14:paraId="09014375" w14:textId="15002456" w:rsidR="00FF0262" w:rsidRPr="003478AF" w:rsidRDefault="00FF0262" w:rsidP="00986D40">
      <w:pPr>
        <w:pStyle w:val="AZRODLO"/>
      </w:pPr>
      <w:r w:rsidRPr="003478AF">
        <w:t>Źródło: Opracowanie własne na podstawie danych BDL</w:t>
      </w:r>
    </w:p>
    <w:p w14:paraId="0E17A427" w14:textId="2043D3D6" w:rsidR="00DF3BB1" w:rsidRPr="003478AF" w:rsidRDefault="00DF3BB1" w:rsidP="00007A3A"/>
    <w:p w14:paraId="15A8A644" w14:textId="1E10ACB2" w:rsidR="00DF3BB1" w:rsidRPr="003478AF" w:rsidRDefault="000A2F97" w:rsidP="00986D40">
      <w:pPr>
        <w:pStyle w:val="ARYCINA"/>
      </w:pPr>
      <w:r w:rsidRPr="003478AF">
        <w:t xml:space="preserve">Ryc. </w:t>
      </w:r>
      <w:r w:rsidR="003F5D1A" w:rsidRPr="003478AF">
        <w:t>8.3</w:t>
      </w:r>
      <w:r w:rsidR="007F24E8" w:rsidRPr="003478AF">
        <w:t>8</w:t>
      </w:r>
      <w:r w:rsidR="003F5D1A" w:rsidRPr="003478AF">
        <w:t xml:space="preserve"> </w:t>
      </w:r>
      <w:r w:rsidRPr="003478AF">
        <w:t xml:space="preserve">Udział zebranych selektywnie odpadów w ilości ogółem (%) </w:t>
      </w:r>
      <w:r w:rsidR="00007A3A" w:rsidRPr="003478AF">
        <w:br/>
      </w:r>
      <w:r w:rsidR="00092276" w:rsidRPr="003478AF">
        <w:t xml:space="preserve">w województwie wielkopolskim </w:t>
      </w:r>
      <w:r w:rsidRPr="003478AF">
        <w:t>w latach 2010-20</w:t>
      </w:r>
      <w:r w:rsidR="00DE4EAA" w:rsidRPr="003478AF">
        <w:t>20</w:t>
      </w:r>
    </w:p>
    <w:p w14:paraId="38EC8116" w14:textId="2F105628" w:rsidR="00DF3BB1" w:rsidRPr="003478AF" w:rsidRDefault="006E481B" w:rsidP="006021D5">
      <w:pPr>
        <w:ind w:firstLine="0"/>
        <w:jc w:val="center"/>
      </w:pPr>
      <w:r w:rsidRPr="003478AF">
        <w:rPr>
          <w:noProof/>
          <w:lang w:eastAsia="pl-PL"/>
        </w:rPr>
        <w:drawing>
          <wp:inline distT="0" distB="0" distL="0" distR="0" wp14:anchorId="0F000C0B" wp14:editId="397B3B89">
            <wp:extent cx="4896000" cy="2717555"/>
            <wp:effectExtent l="0" t="0" r="0" b="6985"/>
            <wp:docPr id="117" name="Obraz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4896000" cy="2717555"/>
                    </a:xfrm>
                    <a:prstGeom prst="rect">
                      <a:avLst/>
                    </a:prstGeom>
                    <a:noFill/>
                  </pic:spPr>
                </pic:pic>
              </a:graphicData>
            </a:graphic>
          </wp:inline>
        </w:drawing>
      </w:r>
    </w:p>
    <w:p w14:paraId="76B1406B" w14:textId="4EDCB13F" w:rsidR="00FF0262" w:rsidRPr="003478AF" w:rsidRDefault="00FF0262" w:rsidP="00986D40">
      <w:pPr>
        <w:pStyle w:val="AZRODLO"/>
      </w:pPr>
      <w:r w:rsidRPr="003478AF">
        <w:t>Źródło: Opracowanie własne na podstawie danych BDL</w:t>
      </w:r>
    </w:p>
    <w:p w14:paraId="4AF7B045" w14:textId="77777777" w:rsidR="007D5B90" w:rsidRPr="003478AF" w:rsidRDefault="007D5B90" w:rsidP="00986D40">
      <w:pPr>
        <w:pStyle w:val="ARYCINA"/>
      </w:pPr>
    </w:p>
    <w:p w14:paraId="188AAED3" w14:textId="77777777" w:rsidR="00007A3A" w:rsidRPr="003478AF" w:rsidRDefault="00007A3A">
      <w:pPr>
        <w:spacing w:line="240" w:lineRule="auto"/>
        <w:ind w:firstLine="0"/>
        <w:jc w:val="left"/>
        <w:rPr>
          <w:rFonts w:eastAsia="Arial" w:cs="Arial"/>
          <w:b/>
          <w:bCs/>
          <w:sz w:val="16"/>
          <w:szCs w:val="16"/>
        </w:rPr>
      </w:pPr>
      <w:r w:rsidRPr="003478AF">
        <w:br w:type="page"/>
      </w:r>
    </w:p>
    <w:p w14:paraId="23AA7A3B" w14:textId="3EC7F83A" w:rsidR="007F24E8" w:rsidRPr="003478AF" w:rsidRDefault="007F24E8" w:rsidP="00986D40">
      <w:pPr>
        <w:pStyle w:val="ARYCINA"/>
      </w:pPr>
      <w:r w:rsidRPr="003478AF">
        <w:lastRenderedPageBreak/>
        <w:t xml:space="preserve">Ryc. 8.39 Udział zebranych selektywnie odpadów w ilości ogółem (%) </w:t>
      </w:r>
      <w:r w:rsidR="00007A3A" w:rsidRPr="003478AF">
        <w:br/>
      </w:r>
      <w:r w:rsidR="0038370F" w:rsidRPr="003478AF">
        <w:t xml:space="preserve">w województwie wielkopolskim według powiatów </w:t>
      </w:r>
      <w:r w:rsidRPr="003478AF">
        <w:t>w 2020 roku</w:t>
      </w:r>
    </w:p>
    <w:p w14:paraId="6225BCFD" w14:textId="066E8DD3" w:rsidR="001A1B9C" w:rsidRPr="003478AF" w:rsidRDefault="001A1B9C" w:rsidP="00986D40">
      <w:pPr>
        <w:pStyle w:val="AZRODLO"/>
      </w:pPr>
      <w:r w:rsidRPr="003478AF">
        <w:rPr>
          <w:noProof/>
          <w:lang w:eastAsia="pl-PL"/>
        </w:rPr>
        <w:drawing>
          <wp:inline distT="0" distB="0" distL="0" distR="0" wp14:anchorId="168A2045" wp14:editId="30E74751">
            <wp:extent cx="3240000" cy="3993158"/>
            <wp:effectExtent l="0" t="0" r="0" b="7620"/>
            <wp:docPr id="68" name="Obraz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3240000" cy="3993158"/>
                    </a:xfrm>
                    <a:prstGeom prst="rect">
                      <a:avLst/>
                    </a:prstGeom>
                    <a:noFill/>
                    <a:ln>
                      <a:noFill/>
                    </a:ln>
                  </pic:spPr>
                </pic:pic>
              </a:graphicData>
            </a:graphic>
          </wp:inline>
        </w:drawing>
      </w:r>
    </w:p>
    <w:p w14:paraId="6D00B9DD" w14:textId="37A788F0" w:rsidR="007F24E8" w:rsidRPr="003478AF" w:rsidRDefault="007F24E8" w:rsidP="00986D40">
      <w:pPr>
        <w:pStyle w:val="AZRODLO"/>
      </w:pPr>
      <w:r w:rsidRPr="003478AF">
        <w:t>Źródło: Opracowanie własne na podstawie danych BDL</w:t>
      </w:r>
    </w:p>
    <w:p w14:paraId="5A439039" w14:textId="77777777" w:rsidR="007F24E8" w:rsidRPr="003478AF" w:rsidRDefault="007F24E8" w:rsidP="00007A3A"/>
    <w:p w14:paraId="33180BDA" w14:textId="313D35A8" w:rsidR="00313FF9" w:rsidRPr="003478AF" w:rsidRDefault="000A2F97" w:rsidP="00986D40">
      <w:pPr>
        <w:pStyle w:val="ARYCINA"/>
      </w:pPr>
      <w:r w:rsidRPr="003478AF">
        <w:t>Ryc.</w:t>
      </w:r>
      <w:r w:rsidR="003F5D1A" w:rsidRPr="003478AF">
        <w:t xml:space="preserve"> 8.</w:t>
      </w:r>
      <w:r w:rsidR="001B4CF8" w:rsidRPr="003478AF">
        <w:t>40</w:t>
      </w:r>
      <w:r w:rsidRPr="003478AF">
        <w:t xml:space="preserve"> </w:t>
      </w:r>
      <w:r w:rsidR="00C8323F" w:rsidRPr="003478AF">
        <w:t xml:space="preserve">Odpady biodegradowalne zebrane selektywnie w ciągu roku </w:t>
      </w:r>
      <w:r w:rsidR="006E481B" w:rsidRPr="003478AF">
        <w:t xml:space="preserve">(tys. t) </w:t>
      </w:r>
      <w:r w:rsidRPr="003478AF">
        <w:t>w Polsce w latach 2010-20</w:t>
      </w:r>
      <w:r w:rsidR="006E481B" w:rsidRPr="003478AF">
        <w:t>20</w:t>
      </w:r>
    </w:p>
    <w:p w14:paraId="399250E1" w14:textId="22D56D14" w:rsidR="00A945CE" w:rsidRPr="003478AF" w:rsidRDefault="006E481B" w:rsidP="00986D40">
      <w:pPr>
        <w:pStyle w:val="ARYCINA"/>
      </w:pPr>
      <w:r w:rsidRPr="003478AF">
        <w:rPr>
          <w:noProof/>
          <w:lang w:eastAsia="pl-PL"/>
        </w:rPr>
        <w:drawing>
          <wp:inline distT="0" distB="0" distL="0" distR="0" wp14:anchorId="3C941243" wp14:editId="79B158D8">
            <wp:extent cx="4824000" cy="2759972"/>
            <wp:effectExtent l="0" t="0" r="0" b="2540"/>
            <wp:docPr id="118" name="Obraz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4824000" cy="2759972"/>
                    </a:xfrm>
                    <a:prstGeom prst="rect">
                      <a:avLst/>
                    </a:prstGeom>
                    <a:noFill/>
                  </pic:spPr>
                </pic:pic>
              </a:graphicData>
            </a:graphic>
          </wp:inline>
        </w:drawing>
      </w:r>
    </w:p>
    <w:p w14:paraId="390C6417" w14:textId="708D44A0" w:rsidR="00107715" w:rsidRPr="003478AF" w:rsidRDefault="00FF0262" w:rsidP="00986D40">
      <w:pPr>
        <w:pStyle w:val="AZRODLO"/>
      </w:pPr>
      <w:r w:rsidRPr="003478AF">
        <w:t>Źródło: Opracowanie własne na podstawie danych BDL</w:t>
      </w:r>
    </w:p>
    <w:p w14:paraId="3B5CA41C" w14:textId="0C5B69A9" w:rsidR="000A2F97" w:rsidRPr="003478AF" w:rsidRDefault="000A2F97" w:rsidP="00986D40">
      <w:pPr>
        <w:pStyle w:val="ARYCINA"/>
      </w:pPr>
      <w:r w:rsidRPr="003478AF">
        <w:lastRenderedPageBreak/>
        <w:t>Ryc.</w:t>
      </w:r>
      <w:r w:rsidR="003F5D1A" w:rsidRPr="003478AF">
        <w:t xml:space="preserve"> 8.</w:t>
      </w:r>
      <w:r w:rsidR="001B4CF8" w:rsidRPr="003478AF">
        <w:t>41</w:t>
      </w:r>
      <w:r w:rsidRPr="003478AF">
        <w:t xml:space="preserve"> </w:t>
      </w:r>
      <w:bookmarkStart w:id="85" w:name="_Hlk76628384"/>
      <w:r w:rsidR="00C8323F" w:rsidRPr="003478AF">
        <w:t xml:space="preserve">Odpady biodegradowalne zebrane selektywnie w ciągu roku (tys. t) </w:t>
      </w:r>
      <w:r w:rsidR="00007A3A" w:rsidRPr="003478AF">
        <w:br/>
      </w:r>
      <w:r w:rsidR="00092276" w:rsidRPr="003478AF">
        <w:t xml:space="preserve">w województwie wielkopolskim </w:t>
      </w:r>
      <w:r w:rsidR="006E481B" w:rsidRPr="003478AF">
        <w:t>w latach 2010-2020</w:t>
      </w:r>
      <w:bookmarkEnd w:id="85"/>
    </w:p>
    <w:p w14:paraId="671FEEB7" w14:textId="6AEF984B" w:rsidR="00DF3BB1" w:rsidRPr="003478AF" w:rsidRDefault="006E481B" w:rsidP="006021D5">
      <w:pPr>
        <w:ind w:firstLine="0"/>
        <w:jc w:val="center"/>
        <w:rPr>
          <w:rFonts w:eastAsia="Arial" w:cs="Arial"/>
          <w:szCs w:val="20"/>
        </w:rPr>
      </w:pPr>
      <w:r w:rsidRPr="003478AF">
        <w:rPr>
          <w:rFonts w:eastAsia="Arial" w:cs="Arial"/>
          <w:noProof/>
          <w:szCs w:val="20"/>
          <w:lang w:eastAsia="pl-PL"/>
        </w:rPr>
        <w:drawing>
          <wp:inline distT="0" distB="0" distL="0" distR="0" wp14:anchorId="44373964" wp14:editId="3AC25D73">
            <wp:extent cx="4608000" cy="2613372"/>
            <wp:effectExtent l="0" t="0" r="2540" b="0"/>
            <wp:docPr id="125" name="Obraz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4608000" cy="2613372"/>
                    </a:xfrm>
                    <a:prstGeom prst="rect">
                      <a:avLst/>
                    </a:prstGeom>
                    <a:noFill/>
                  </pic:spPr>
                </pic:pic>
              </a:graphicData>
            </a:graphic>
          </wp:inline>
        </w:drawing>
      </w:r>
    </w:p>
    <w:p w14:paraId="2D2A221F" w14:textId="7ED8E149" w:rsidR="00FF0262" w:rsidRPr="003478AF" w:rsidRDefault="00FF0262" w:rsidP="00986D40">
      <w:pPr>
        <w:pStyle w:val="AZRODLO"/>
      </w:pPr>
      <w:r w:rsidRPr="003478AF">
        <w:t>Źródło: Opracowanie własne na podstawie danych BDL</w:t>
      </w:r>
    </w:p>
    <w:p w14:paraId="0A263911" w14:textId="49A6C9F3" w:rsidR="00090107" w:rsidRPr="003478AF" w:rsidRDefault="00090107" w:rsidP="000A2F97">
      <w:pPr>
        <w:ind w:firstLine="0"/>
        <w:rPr>
          <w:rFonts w:eastAsia="Arial" w:cs="Arial"/>
          <w:b/>
          <w:bCs/>
          <w:szCs w:val="20"/>
        </w:rPr>
      </w:pPr>
    </w:p>
    <w:p w14:paraId="3C2AF5C2" w14:textId="4DA3D053" w:rsidR="001B4CF8" w:rsidRPr="003478AF" w:rsidRDefault="001B4CF8" w:rsidP="00986D40">
      <w:pPr>
        <w:pStyle w:val="ARYCINA"/>
      </w:pPr>
      <w:r w:rsidRPr="003478AF">
        <w:t xml:space="preserve">Ryc. 8.42 Odpady biodegradowalne zebrane selektywnie w ciągu roku (tys. t) </w:t>
      </w:r>
      <w:r w:rsidR="00007A3A" w:rsidRPr="003478AF">
        <w:br/>
      </w:r>
      <w:r w:rsidR="0038370F" w:rsidRPr="003478AF">
        <w:t xml:space="preserve">w województwie wielkopolskim według powiatów </w:t>
      </w:r>
      <w:r w:rsidRPr="003478AF">
        <w:t>w 2020 roku</w:t>
      </w:r>
    </w:p>
    <w:p w14:paraId="1C95EF28" w14:textId="329F65AC" w:rsidR="001A1B9C" w:rsidRPr="003478AF" w:rsidRDefault="001A1B9C" w:rsidP="00E6136F">
      <w:pPr>
        <w:ind w:firstLine="0"/>
        <w:jc w:val="center"/>
        <w:rPr>
          <w:rFonts w:eastAsia="Arial" w:cs="Arial"/>
          <w:b/>
          <w:bCs/>
          <w:szCs w:val="20"/>
        </w:rPr>
      </w:pPr>
      <w:r w:rsidRPr="003478AF">
        <w:rPr>
          <w:noProof/>
          <w:lang w:eastAsia="pl-PL"/>
        </w:rPr>
        <w:drawing>
          <wp:inline distT="0" distB="0" distL="0" distR="0" wp14:anchorId="78FFD7B2" wp14:editId="6EA31012">
            <wp:extent cx="3239770" cy="4008475"/>
            <wp:effectExtent l="0" t="0" r="0" b="0"/>
            <wp:docPr id="69" name="Obraz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3242087" cy="4011341"/>
                    </a:xfrm>
                    <a:prstGeom prst="rect">
                      <a:avLst/>
                    </a:prstGeom>
                    <a:noFill/>
                    <a:ln>
                      <a:noFill/>
                    </a:ln>
                  </pic:spPr>
                </pic:pic>
              </a:graphicData>
            </a:graphic>
          </wp:inline>
        </w:drawing>
      </w:r>
    </w:p>
    <w:p w14:paraId="707D5A41" w14:textId="21AD93D0" w:rsidR="001B4CF8" w:rsidRPr="003478AF" w:rsidRDefault="001B4CF8" w:rsidP="00986D40">
      <w:pPr>
        <w:pStyle w:val="AZRODLO"/>
      </w:pPr>
      <w:r w:rsidRPr="003478AF">
        <w:t>Źródło: Opracowanie własne na podstawie danych BDL</w:t>
      </w:r>
    </w:p>
    <w:p w14:paraId="503903CA" w14:textId="7184AE79" w:rsidR="005F43F3" w:rsidRPr="003478AF" w:rsidRDefault="005F43F3" w:rsidP="000A2F97">
      <w:pPr>
        <w:ind w:firstLine="0"/>
        <w:rPr>
          <w:rFonts w:eastAsia="Arial" w:cs="Arial"/>
          <w:b/>
          <w:bCs/>
          <w:szCs w:val="20"/>
        </w:rPr>
      </w:pPr>
      <w:r w:rsidRPr="003478AF">
        <w:rPr>
          <w:rFonts w:eastAsia="Arial" w:cs="Arial"/>
          <w:b/>
          <w:bCs/>
          <w:szCs w:val="20"/>
        </w:rPr>
        <w:lastRenderedPageBreak/>
        <w:t>Energia</w:t>
      </w:r>
    </w:p>
    <w:p w14:paraId="18BFE1CB" w14:textId="3CAEB878" w:rsidR="00E365EC" w:rsidRPr="003478AF" w:rsidRDefault="00E365EC" w:rsidP="00E365EC">
      <w:pPr>
        <w:rPr>
          <w:rFonts w:eastAsia="Arial" w:cs="Arial"/>
          <w:szCs w:val="20"/>
        </w:rPr>
      </w:pPr>
      <w:r w:rsidRPr="003478AF">
        <w:rPr>
          <w:rFonts w:eastAsia="Arial" w:cs="Arial"/>
          <w:szCs w:val="20"/>
        </w:rPr>
        <w:t xml:space="preserve">W obszarze energii </w:t>
      </w:r>
      <w:r w:rsidR="00A47BA4" w:rsidRPr="003478AF">
        <w:rPr>
          <w:rFonts w:eastAsia="Arial" w:cs="Arial"/>
          <w:szCs w:val="20"/>
        </w:rPr>
        <w:t xml:space="preserve">do analizy </w:t>
      </w:r>
      <w:r w:rsidRPr="003478AF">
        <w:rPr>
          <w:rFonts w:eastAsia="Arial" w:cs="Arial"/>
          <w:szCs w:val="20"/>
        </w:rPr>
        <w:t>wybrano dwa wskaźniki (</w:t>
      </w:r>
      <w:r w:rsidR="00381971" w:rsidRPr="003478AF">
        <w:rPr>
          <w:rFonts w:eastAsia="Arial" w:cs="Arial"/>
          <w:szCs w:val="20"/>
        </w:rPr>
        <w:t>r</w:t>
      </w:r>
      <w:r w:rsidRPr="003478AF">
        <w:rPr>
          <w:rFonts w:eastAsia="Arial" w:cs="Arial"/>
          <w:szCs w:val="20"/>
        </w:rPr>
        <w:t>yc. 8.</w:t>
      </w:r>
      <w:r w:rsidR="00F91F56" w:rsidRPr="003478AF">
        <w:rPr>
          <w:rFonts w:eastAsia="Arial" w:cs="Arial"/>
          <w:szCs w:val="20"/>
        </w:rPr>
        <w:t>43</w:t>
      </w:r>
      <w:r w:rsidR="00566BB9" w:rsidRPr="003478AF">
        <w:rPr>
          <w:rFonts w:eastAsia="Arial" w:cs="Arial"/>
          <w:szCs w:val="20"/>
        </w:rPr>
        <w:t xml:space="preserve"> – </w:t>
      </w:r>
      <w:r w:rsidRPr="003478AF">
        <w:rPr>
          <w:rFonts w:eastAsia="Arial" w:cs="Arial"/>
          <w:szCs w:val="20"/>
        </w:rPr>
        <w:t>8.4</w:t>
      </w:r>
      <w:r w:rsidR="00F91F56" w:rsidRPr="003478AF">
        <w:rPr>
          <w:rFonts w:eastAsia="Arial" w:cs="Arial"/>
          <w:szCs w:val="20"/>
        </w:rPr>
        <w:t>6</w:t>
      </w:r>
      <w:r w:rsidRPr="003478AF">
        <w:rPr>
          <w:rFonts w:eastAsia="Arial" w:cs="Arial"/>
          <w:szCs w:val="20"/>
        </w:rPr>
        <w:t xml:space="preserve">). </w:t>
      </w:r>
      <w:r w:rsidR="00A47BA4" w:rsidRPr="003478AF">
        <w:rPr>
          <w:rFonts w:eastAsia="Arial" w:cs="Arial"/>
          <w:szCs w:val="20"/>
        </w:rPr>
        <w:t>Wartości p</w:t>
      </w:r>
      <w:r w:rsidRPr="003478AF">
        <w:rPr>
          <w:rFonts w:eastAsia="Arial" w:cs="Arial"/>
          <w:szCs w:val="20"/>
        </w:rPr>
        <w:t>ierwsz</w:t>
      </w:r>
      <w:r w:rsidR="00A47BA4" w:rsidRPr="003478AF">
        <w:rPr>
          <w:rFonts w:eastAsia="Arial" w:cs="Arial"/>
          <w:szCs w:val="20"/>
        </w:rPr>
        <w:t>ego</w:t>
      </w:r>
      <w:r w:rsidRPr="003478AF">
        <w:rPr>
          <w:rFonts w:eastAsia="Arial" w:cs="Arial"/>
          <w:szCs w:val="20"/>
        </w:rPr>
        <w:t xml:space="preserve"> z nich</w:t>
      </w:r>
      <w:r w:rsidR="0026578D" w:rsidRPr="003478AF">
        <w:rPr>
          <w:rFonts w:eastAsia="Arial" w:cs="Arial"/>
          <w:szCs w:val="20"/>
        </w:rPr>
        <w:t>,</w:t>
      </w:r>
      <w:r w:rsidRPr="003478AF">
        <w:rPr>
          <w:rFonts w:eastAsia="Arial" w:cs="Arial"/>
          <w:szCs w:val="20"/>
        </w:rPr>
        <w:t xml:space="preserve"> tj. zużyci</w:t>
      </w:r>
      <w:r w:rsidR="00A47BA4" w:rsidRPr="003478AF">
        <w:rPr>
          <w:rFonts w:eastAsia="Arial" w:cs="Arial"/>
          <w:szCs w:val="20"/>
        </w:rPr>
        <w:t>a</w:t>
      </w:r>
      <w:r w:rsidRPr="003478AF">
        <w:rPr>
          <w:rFonts w:eastAsia="Arial" w:cs="Arial"/>
          <w:szCs w:val="20"/>
        </w:rPr>
        <w:t xml:space="preserve"> energii elektrycznej ogółem</w:t>
      </w:r>
      <w:r w:rsidR="00EB235F" w:rsidRPr="003478AF">
        <w:rPr>
          <w:rFonts w:eastAsia="Arial" w:cs="Arial"/>
          <w:szCs w:val="20"/>
        </w:rPr>
        <w:t>,</w:t>
      </w:r>
      <w:r w:rsidRPr="003478AF">
        <w:rPr>
          <w:rFonts w:eastAsia="Arial" w:cs="Arial"/>
          <w:szCs w:val="20"/>
        </w:rPr>
        <w:t xml:space="preserve"> </w:t>
      </w:r>
      <w:r w:rsidR="00A47BA4" w:rsidRPr="003478AF">
        <w:rPr>
          <w:rFonts w:eastAsia="Arial" w:cs="Arial"/>
          <w:szCs w:val="20"/>
        </w:rPr>
        <w:t xml:space="preserve">w Wielkopolsce w latach 2010-2019 kształtowały się </w:t>
      </w:r>
      <w:r w:rsidRPr="003478AF">
        <w:rPr>
          <w:rFonts w:eastAsia="Arial" w:cs="Arial"/>
          <w:szCs w:val="20"/>
        </w:rPr>
        <w:t>na poziomie 11,1-12,9 tys. GWh</w:t>
      </w:r>
      <w:r w:rsidR="00A47BA4" w:rsidRPr="003478AF">
        <w:rPr>
          <w:rFonts w:eastAsia="Arial" w:cs="Arial"/>
          <w:szCs w:val="20"/>
        </w:rPr>
        <w:t>.</w:t>
      </w:r>
      <w:r w:rsidRPr="003478AF">
        <w:rPr>
          <w:rFonts w:eastAsia="Arial" w:cs="Arial"/>
          <w:szCs w:val="20"/>
        </w:rPr>
        <w:t xml:space="preserve"> W </w:t>
      </w:r>
      <w:r w:rsidR="00E42E3E" w:rsidRPr="003478AF">
        <w:rPr>
          <w:rFonts w:eastAsia="Arial" w:cs="Arial"/>
          <w:szCs w:val="20"/>
        </w:rPr>
        <w:t xml:space="preserve">przypadku drugiego </w:t>
      </w:r>
      <w:r w:rsidRPr="003478AF">
        <w:rPr>
          <w:rFonts w:eastAsia="Arial" w:cs="Arial"/>
          <w:szCs w:val="20"/>
        </w:rPr>
        <w:t>wskaźnik</w:t>
      </w:r>
      <w:r w:rsidR="00E42E3E" w:rsidRPr="003478AF">
        <w:rPr>
          <w:rFonts w:eastAsia="Arial" w:cs="Arial"/>
          <w:szCs w:val="20"/>
        </w:rPr>
        <w:t>a</w:t>
      </w:r>
      <w:r w:rsidRPr="003478AF">
        <w:rPr>
          <w:rFonts w:eastAsia="Arial" w:cs="Arial"/>
          <w:szCs w:val="20"/>
        </w:rPr>
        <w:t xml:space="preserve"> widoczny jest </w:t>
      </w:r>
      <w:r w:rsidR="00EB235F" w:rsidRPr="003478AF">
        <w:rPr>
          <w:rFonts w:eastAsia="Arial" w:cs="Arial"/>
          <w:szCs w:val="20"/>
        </w:rPr>
        <w:t>znaczny wzrost</w:t>
      </w:r>
      <w:r w:rsidRPr="003478AF">
        <w:rPr>
          <w:rFonts w:eastAsia="Arial" w:cs="Arial"/>
          <w:szCs w:val="20"/>
        </w:rPr>
        <w:t xml:space="preserve"> udziału OZE w</w:t>
      </w:r>
      <w:r w:rsidR="00341E5D" w:rsidRPr="003478AF">
        <w:rPr>
          <w:rFonts w:eastAsia="Arial" w:cs="Arial"/>
          <w:szCs w:val="20"/>
        </w:rPr>
        <w:t xml:space="preserve"> </w:t>
      </w:r>
      <w:r w:rsidRPr="003478AF">
        <w:rPr>
          <w:rFonts w:eastAsia="Arial" w:cs="Arial"/>
          <w:szCs w:val="20"/>
        </w:rPr>
        <w:t xml:space="preserve">produkcji energii elektrycznej o </w:t>
      </w:r>
      <w:r w:rsidR="00EB235F" w:rsidRPr="003478AF">
        <w:rPr>
          <w:rFonts w:eastAsia="Arial" w:cs="Arial"/>
          <w:szCs w:val="20"/>
        </w:rPr>
        <w:t>18% w tym samym okresie</w:t>
      </w:r>
      <w:r w:rsidR="00A47BA4" w:rsidRPr="003478AF">
        <w:rPr>
          <w:rFonts w:eastAsia="Arial" w:cs="Arial"/>
          <w:szCs w:val="20"/>
        </w:rPr>
        <w:t xml:space="preserve"> </w:t>
      </w:r>
      <w:r w:rsidRPr="003478AF">
        <w:rPr>
          <w:rFonts w:eastAsia="Arial" w:cs="Arial"/>
          <w:szCs w:val="20"/>
        </w:rPr>
        <w:t>(</w:t>
      </w:r>
      <w:r w:rsidR="00381971" w:rsidRPr="003478AF">
        <w:rPr>
          <w:rFonts w:eastAsia="Arial" w:cs="Arial"/>
          <w:szCs w:val="20"/>
        </w:rPr>
        <w:t>ryc.</w:t>
      </w:r>
      <w:r w:rsidRPr="003478AF">
        <w:rPr>
          <w:rFonts w:eastAsia="Arial" w:cs="Arial"/>
          <w:szCs w:val="20"/>
        </w:rPr>
        <w:t xml:space="preserve"> 8.4</w:t>
      </w:r>
      <w:r w:rsidR="00F91F56" w:rsidRPr="003478AF">
        <w:rPr>
          <w:rFonts w:eastAsia="Arial" w:cs="Arial"/>
          <w:szCs w:val="20"/>
        </w:rPr>
        <w:t>6</w:t>
      </w:r>
      <w:r w:rsidRPr="003478AF">
        <w:rPr>
          <w:rFonts w:eastAsia="Arial" w:cs="Arial"/>
          <w:szCs w:val="20"/>
        </w:rPr>
        <w:t xml:space="preserve">). Natomiast w Polsce </w:t>
      </w:r>
      <w:r w:rsidR="00AD02AA" w:rsidRPr="003478AF">
        <w:rPr>
          <w:rFonts w:eastAsia="Arial" w:cs="Arial"/>
          <w:szCs w:val="20"/>
        </w:rPr>
        <w:t xml:space="preserve">wartość </w:t>
      </w:r>
      <w:r w:rsidRPr="003478AF">
        <w:rPr>
          <w:rFonts w:eastAsia="Arial" w:cs="Arial"/>
          <w:szCs w:val="20"/>
        </w:rPr>
        <w:t>wskaźnik</w:t>
      </w:r>
      <w:r w:rsidR="00AD02AA" w:rsidRPr="003478AF">
        <w:rPr>
          <w:rFonts w:eastAsia="Arial" w:cs="Arial"/>
          <w:szCs w:val="20"/>
        </w:rPr>
        <w:t>a</w:t>
      </w:r>
      <w:r w:rsidRPr="003478AF">
        <w:rPr>
          <w:rFonts w:eastAsia="Arial" w:cs="Arial"/>
          <w:szCs w:val="20"/>
        </w:rPr>
        <w:t xml:space="preserve"> wzr</w:t>
      </w:r>
      <w:r w:rsidR="00AD02AA" w:rsidRPr="003478AF">
        <w:rPr>
          <w:rFonts w:eastAsia="Arial" w:cs="Arial"/>
          <w:szCs w:val="20"/>
        </w:rPr>
        <w:t>osła</w:t>
      </w:r>
      <w:r w:rsidRPr="003478AF">
        <w:rPr>
          <w:rFonts w:eastAsia="Arial" w:cs="Arial"/>
          <w:szCs w:val="20"/>
        </w:rPr>
        <w:t xml:space="preserve"> o </w:t>
      </w:r>
      <w:r w:rsidR="00AD02AA" w:rsidRPr="003478AF">
        <w:rPr>
          <w:rFonts w:eastAsia="Arial" w:cs="Arial"/>
          <w:szCs w:val="20"/>
        </w:rPr>
        <w:t>8,6% w analizowanym okresie, przy czym zużycie energii elektrycznej ogółem wynosiło 144,5 tys. GWh w 2010 i 165,7 tys. GWh w 2019 roku</w:t>
      </w:r>
      <w:r w:rsidRPr="003478AF">
        <w:rPr>
          <w:rFonts w:eastAsia="Arial" w:cs="Arial"/>
          <w:szCs w:val="20"/>
        </w:rPr>
        <w:t xml:space="preserve"> (</w:t>
      </w:r>
      <w:r w:rsidR="00381971" w:rsidRPr="003478AF">
        <w:rPr>
          <w:rFonts w:eastAsia="Arial" w:cs="Arial"/>
          <w:szCs w:val="20"/>
        </w:rPr>
        <w:t>ryc.</w:t>
      </w:r>
      <w:r w:rsidRPr="003478AF">
        <w:rPr>
          <w:rFonts w:eastAsia="Arial" w:cs="Arial"/>
          <w:szCs w:val="20"/>
        </w:rPr>
        <w:t xml:space="preserve"> 8.4</w:t>
      </w:r>
      <w:r w:rsidR="00F91F56" w:rsidRPr="003478AF">
        <w:rPr>
          <w:rFonts w:eastAsia="Arial" w:cs="Arial"/>
          <w:szCs w:val="20"/>
        </w:rPr>
        <w:t>5</w:t>
      </w:r>
      <w:r w:rsidRPr="003478AF">
        <w:rPr>
          <w:rFonts w:eastAsia="Arial" w:cs="Arial"/>
          <w:szCs w:val="20"/>
        </w:rPr>
        <w:t>).</w:t>
      </w:r>
    </w:p>
    <w:p w14:paraId="66BAE3E1" w14:textId="77777777" w:rsidR="00413ECF" w:rsidRPr="003478AF" w:rsidRDefault="00413ECF" w:rsidP="00413ECF">
      <w:pPr>
        <w:ind w:firstLine="0"/>
        <w:rPr>
          <w:rFonts w:eastAsia="Arial" w:cs="Arial"/>
          <w:szCs w:val="20"/>
        </w:rPr>
      </w:pPr>
    </w:p>
    <w:p w14:paraId="6E6E37FA" w14:textId="2E73B91C" w:rsidR="00221B82" w:rsidRPr="003478AF" w:rsidRDefault="003F5D1A" w:rsidP="00986D40">
      <w:pPr>
        <w:pStyle w:val="ARYCINA"/>
      </w:pPr>
      <w:r w:rsidRPr="003478AF">
        <w:t>Ryc. 8.</w:t>
      </w:r>
      <w:r w:rsidR="00F91F56" w:rsidRPr="003478AF">
        <w:t>43</w:t>
      </w:r>
      <w:r w:rsidRPr="003478AF">
        <w:t xml:space="preserve"> </w:t>
      </w:r>
      <w:bookmarkStart w:id="86" w:name="_Hlk76628393"/>
      <w:r w:rsidR="00666656" w:rsidRPr="003478AF">
        <w:t xml:space="preserve">Zużycie energii elektrycznej ogółem (tys. GWh) </w:t>
      </w:r>
      <w:r w:rsidR="001668AF" w:rsidRPr="003478AF">
        <w:t>w</w:t>
      </w:r>
      <w:r w:rsidR="00666656" w:rsidRPr="003478AF">
        <w:t xml:space="preserve"> Polsce</w:t>
      </w:r>
      <w:r w:rsidR="001668AF" w:rsidRPr="003478AF">
        <w:t xml:space="preserve"> latach 2010-201</w:t>
      </w:r>
      <w:r w:rsidR="00666656" w:rsidRPr="003478AF">
        <w:t>9</w:t>
      </w:r>
      <w:bookmarkEnd w:id="86"/>
    </w:p>
    <w:p w14:paraId="156662BD" w14:textId="3C941BA2" w:rsidR="00221B82" w:rsidRPr="003478AF" w:rsidRDefault="00666656" w:rsidP="00FD636A">
      <w:pPr>
        <w:spacing w:line="240" w:lineRule="auto"/>
        <w:ind w:firstLine="0"/>
        <w:jc w:val="center"/>
        <w:rPr>
          <w:rFonts w:eastAsia="Arial" w:cs="Arial"/>
          <w:b/>
          <w:bCs/>
          <w:szCs w:val="20"/>
        </w:rPr>
      </w:pPr>
      <w:r w:rsidRPr="003478AF">
        <w:rPr>
          <w:rFonts w:eastAsia="Arial" w:cs="Arial"/>
          <w:b/>
          <w:bCs/>
          <w:noProof/>
          <w:szCs w:val="20"/>
          <w:lang w:eastAsia="pl-PL"/>
        </w:rPr>
        <w:drawing>
          <wp:inline distT="0" distB="0" distL="0" distR="0" wp14:anchorId="014FC7DF" wp14:editId="6630FA56">
            <wp:extent cx="4536000" cy="2808692"/>
            <wp:effectExtent l="0" t="0" r="0" b="0"/>
            <wp:docPr id="133" name="Obraz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4536000" cy="2808692"/>
                    </a:xfrm>
                    <a:prstGeom prst="rect">
                      <a:avLst/>
                    </a:prstGeom>
                    <a:noFill/>
                  </pic:spPr>
                </pic:pic>
              </a:graphicData>
            </a:graphic>
          </wp:inline>
        </w:drawing>
      </w:r>
    </w:p>
    <w:p w14:paraId="65F4EAAE" w14:textId="22362858" w:rsidR="001668AF" w:rsidRPr="003478AF" w:rsidRDefault="001668AF" w:rsidP="00986D40">
      <w:pPr>
        <w:pStyle w:val="AZRODLO"/>
      </w:pPr>
      <w:r w:rsidRPr="003478AF">
        <w:t>Źródło: Opracowanie własne na podstawie danych BDL</w:t>
      </w:r>
    </w:p>
    <w:p w14:paraId="0946215E" w14:textId="77777777" w:rsidR="00666656" w:rsidRPr="003478AF" w:rsidRDefault="00666656" w:rsidP="00986D40">
      <w:pPr>
        <w:pStyle w:val="AZRODLO"/>
      </w:pPr>
    </w:p>
    <w:p w14:paraId="4EBB2AB8" w14:textId="62DD56C9" w:rsidR="00666656" w:rsidRPr="003478AF" w:rsidRDefault="00666656" w:rsidP="00986D40">
      <w:pPr>
        <w:pStyle w:val="ARYCINA"/>
      </w:pPr>
      <w:r w:rsidRPr="003478AF">
        <w:t>Ryc. 8.</w:t>
      </w:r>
      <w:r w:rsidR="00E43B3E" w:rsidRPr="003478AF">
        <w:t>4</w:t>
      </w:r>
      <w:r w:rsidR="00F91F56" w:rsidRPr="003478AF">
        <w:t>4</w:t>
      </w:r>
      <w:r w:rsidRPr="003478AF">
        <w:t xml:space="preserve"> Zużycie energii elektrycznej ogółem (tys. GWh) </w:t>
      </w:r>
      <w:r w:rsidR="00092276" w:rsidRPr="003478AF">
        <w:t xml:space="preserve">w województwie wielkopolskim </w:t>
      </w:r>
      <w:r w:rsidRPr="003478AF">
        <w:t>w latach 2010-2019</w:t>
      </w:r>
    </w:p>
    <w:p w14:paraId="7D62AA8F" w14:textId="70D41953" w:rsidR="00666656" w:rsidRPr="003478AF" w:rsidRDefault="00666656" w:rsidP="00666656">
      <w:pPr>
        <w:spacing w:line="240" w:lineRule="auto"/>
        <w:ind w:firstLine="0"/>
        <w:jc w:val="center"/>
        <w:rPr>
          <w:rFonts w:eastAsia="Arial" w:cs="Arial"/>
          <w:b/>
          <w:bCs/>
          <w:szCs w:val="20"/>
        </w:rPr>
      </w:pPr>
      <w:r w:rsidRPr="003478AF">
        <w:rPr>
          <w:rFonts w:eastAsia="Arial" w:cs="Arial"/>
          <w:b/>
          <w:bCs/>
          <w:noProof/>
          <w:szCs w:val="20"/>
          <w:lang w:eastAsia="pl-PL"/>
        </w:rPr>
        <w:drawing>
          <wp:inline distT="0" distB="0" distL="0" distR="0" wp14:anchorId="64469B9B" wp14:editId="6E619B26">
            <wp:extent cx="4536000" cy="2588927"/>
            <wp:effectExtent l="0" t="0" r="0" b="1905"/>
            <wp:docPr id="134" name="Obraz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4536000" cy="2588927"/>
                    </a:xfrm>
                    <a:prstGeom prst="rect">
                      <a:avLst/>
                    </a:prstGeom>
                    <a:noFill/>
                  </pic:spPr>
                </pic:pic>
              </a:graphicData>
            </a:graphic>
          </wp:inline>
        </w:drawing>
      </w:r>
    </w:p>
    <w:p w14:paraId="4F86C4B4" w14:textId="12B67869" w:rsidR="00B518C8" w:rsidRPr="003478AF" w:rsidRDefault="00666656" w:rsidP="00986D40">
      <w:pPr>
        <w:pStyle w:val="AZRODLO"/>
      </w:pPr>
      <w:r w:rsidRPr="003478AF">
        <w:t>Źródło: Opracowanie własne na podstawie danych BDL</w:t>
      </w:r>
      <w:r w:rsidR="00B518C8" w:rsidRPr="003478AF">
        <w:br w:type="page"/>
      </w:r>
    </w:p>
    <w:p w14:paraId="748A2F65" w14:textId="6057380E" w:rsidR="00A945CE" w:rsidRPr="003478AF" w:rsidRDefault="000A2F97" w:rsidP="00986D40">
      <w:pPr>
        <w:pStyle w:val="ARYCINA"/>
      </w:pPr>
      <w:r w:rsidRPr="003478AF">
        <w:lastRenderedPageBreak/>
        <w:t>Ryc.</w:t>
      </w:r>
      <w:r w:rsidR="003F5D1A" w:rsidRPr="003478AF">
        <w:t xml:space="preserve"> 8.</w:t>
      </w:r>
      <w:r w:rsidR="00997BA4" w:rsidRPr="003478AF">
        <w:t>4</w:t>
      </w:r>
      <w:r w:rsidR="00F91F56" w:rsidRPr="003478AF">
        <w:t>5</w:t>
      </w:r>
      <w:r w:rsidRPr="003478AF">
        <w:t xml:space="preserve"> </w:t>
      </w:r>
      <w:r w:rsidR="00666656" w:rsidRPr="003478AF">
        <w:t>Udział energii odnawialnej w produkcji energii elektrycznej ogółem (</w:t>
      </w:r>
      <w:r w:rsidR="00AD02AA" w:rsidRPr="003478AF">
        <w:t>%</w:t>
      </w:r>
      <w:r w:rsidR="00666656" w:rsidRPr="003478AF">
        <w:t xml:space="preserve">) </w:t>
      </w:r>
      <w:r w:rsidR="00007A3A" w:rsidRPr="003478AF">
        <w:br/>
      </w:r>
      <w:r w:rsidRPr="003478AF">
        <w:t xml:space="preserve">w Polsce </w:t>
      </w:r>
      <w:r w:rsidR="002F276C" w:rsidRPr="003478AF">
        <w:t>w </w:t>
      </w:r>
      <w:r w:rsidRPr="003478AF">
        <w:t>latach 2010-2019</w:t>
      </w:r>
    </w:p>
    <w:p w14:paraId="20711A48" w14:textId="53699AA7" w:rsidR="00AD02AA" w:rsidRPr="003478AF" w:rsidRDefault="00AD02AA" w:rsidP="00986D40">
      <w:pPr>
        <w:pStyle w:val="ARYCINA"/>
      </w:pPr>
      <w:r w:rsidRPr="003478AF">
        <w:rPr>
          <w:noProof/>
          <w:lang w:eastAsia="pl-PL"/>
        </w:rPr>
        <w:drawing>
          <wp:inline distT="0" distB="0" distL="0" distR="0" wp14:anchorId="155ECF5D" wp14:editId="305D9BE1">
            <wp:extent cx="4896000" cy="3060000"/>
            <wp:effectExtent l="0" t="0" r="0" b="7620"/>
            <wp:docPr id="136" name="Wykres 136">
              <a:extLst xmlns:a="http://schemas.openxmlformats.org/drawingml/2006/main">
                <a:ext uri="{FF2B5EF4-FFF2-40B4-BE49-F238E27FC236}">
                  <a16:creationId xmlns:a16="http://schemas.microsoft.com/office/drawing/2014/main" id="{197F1283-2A53-4152-8790-A43AC6527C9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3"/>
              </a:graphicData>
            </a:graphic>
          </wp:inline>
        </w:drawing>
      </w:r>
    </w:p>
    <w:p w14:paraId="64D72819" w14:textId="7D360FB6" w:rsidR="00FF0262" w:rsidRPr="003478AF" w:rsidRDefault="00FF0262" w:rsidP="00986D40">
      <w:pPr>
        <w:pStyle w:val="AZRODLO"/>
      </w:pPr>
      <w:r w:rsidRPr="003478AF">
        <w:t>Źródło: Opracowanie własne na podstawie danych BDL</w:t>
      </w:r>
    </w:p>
    <w:p w14:paraId="6E517EB2" w14:textId="42F4D318" w:rsidR="000A2F97" w:rsidRPr="003478AF" w:rsidRDefault="000A2F97" w:rsidP="00007A3A"/>
    <w:p w14:paraId="6FFD1842" w14:textId="0D0E6587" w:rsidR="00666656" w:rsidRPr="003478AF" w:rsidRDefault="00666656" w:rsidP="00986D40">
      <w:pPr>
        <w:pStyle w:val="ARYCINA"/>
      </w:pPr>
      <w:bookmarkStart w:id="87" w:name="_Hlk76628409"/>
      <w:r w:rsidRPr="003478AF">
        <w:t>Ryc. 8.4</w:t>
      </w:r>
      <w:r w:rsidR="00F91F56" w:rsidRPr="003478AF">
        <w:t>6</w:t>
      </w:r>
      <w:r w:rsidRPr="003478AF">
        <w:t xml:space="preserve"> Udział energii odnawialnej w produkcji energii elektrycznej ogółem (</w:t>
      </w:r>
      <w:r w:rsidR="00AD02AA" w:rsidRPr="003478AF">
        <w:t>%</w:t>
      </w:r>
      <w:r w:rsidRPr="003478AF">
        <w:t xml:space="preserve">) </w:t>
      </w:r>
      <w:r w:rsidR="00007A3A" w:rsidRPr="003478AF">
        <w:br/>
      </w:r>
      <w:r w:rsidR="00092276" w:rsidRPr="003478AF">
        <w:t xml:space="preserve">w województwie wielkopolskim </w:t>
      </w:r>
      <w:r w:rsidRPr="003478AF">
        <w:t>w latach 2010-2019</w:t>
      </w:r>
    </w:p>
    <w:p w14:paraId="659B9BBD" w14:textId="1E961C39" w:rsidR="00AD02AA" w:rsidRPr="003478AF" w:rsidRDefault="00AD02AA" w:rsidP="00986D40">
      <w:pPr>
        <w:pStyle w:val="ARYCINA"/>
      </w:pPr>
      <w:r w:rsidRPr="003478AF">
        <w:rPr>
          <w:noProof/>
          <w:lang w:eastAsia="pl-PL"/>
        </w:rPr>
        <w:drawing>
          <wp:inline distT="0" distB="0" distL="0" distR="0" wp14:anchorId="7FC56E3A" wp14:editId="6267B014">
            <wp:extent cx="4896000" cy="3060000"/>
            <wp:effectExtent l="0" t="0" r="0" b="7620"/>
            <wp:docPr id="115" name="Wykres 115">
              <a:extLst xmlns:a="http://schemas.openxmlformats.org/drawingml/2006/main">
                <a:ext uri="{FF2B5EF4-FFF2-40B4-BE49-F238E27FC236}">
                  <a16:creationId xmlns:a16="http://schemas.microsoft.com/office/drawing/2014/main" id="{5580EFE3-AABF-451C-AB9C-64646A17A39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4"/>
              </a:graphicData>
            </a:graphic>
          </wp:inline>
        </w:drawing>
      </w:r>
    </w:p>
    <w:p w14:paraId="09251D08" w14:textId="1E05A278" w:rsidR="00666656" w:rsidRPr="003478AF" w:rsidRDefault="00666656" w:rsidP="00986D40">
      <w:pPr>
        <w:pStyle w:val="AZRODLO"/>
      </w:pPr>
      <w:r w:rsidRPr="003478AF">
        <w:t>Źródło: Opracowanie własne na podstawie danych BDL</w:t>
      </w:r>
    </w:p>
    <w:bookmarkEnd w:id="87"/>
    <w:p w14:paraId="45EF3AA8" w14:textId="77777777" w:rsidR="000E4201" w:rsidRPr="003478AF" w:rsidRDefault="000E4201" w:rsidP="00E7414E"/>
    <w:p w14:paraId="5B989A90" w14:textId="77777777" w:rsidR="009316AA" w:rsidRPr="003478AF" w:rsidRDefault="009316AA">
      <w:pPr>
        <w:spacing w:line="240" w:lineRule="auto"/>
        <w:ind w:firstLine="0"/>
        <w:jc w:val="left"/>
        <w:rPr>
          <w:b/>
          <w:bCs/>
        </w:rPr>
      </w:pPr>
      <w:r w:rsidRPr="003478AF">
        <w:rPr>
          <w:b/>
          <w:bCs/>
        </w:rPr>
        <w:br w:type="page"/>
      </w:r>
    </w:p>
    <w:p w14:paraId="0B137E5D" w14:textId="34BD41F8" w:rsidR="00413ECF" w:rsidRPr="003478AF" w:rsidRDefault="00413ECF" w:rsidP="00DE355D">
      <w:pPr>
        <w:ind w:firstLine="0"/>
      </w:pPr>
      <w:r w:rsidRPr="003478AF">
        <w:rPr>
          <w:b/>
          <w:bCs/>
        </w:rPr>
        <w:lastRenderedPageBreak/>
        <w:t xml:space="preserve">Nakłady na ochronę środowiska </w:t>
      </w:r>
    </w:p>
    <w:p w14:paraId="3F08C041" w14:textId="16D63125" w:rsidR="00E365EC" w:rsidRPr="003478AF" w:rsidRDefault="00875D21" w:rsidP="00632391">
      <w:pPr>
        <w:rPr>
          <w:rFonts w:eastAsia="Arial" w:cs="Arial"/>
          <w:szCs w:val="20"/>
        </w:rPr>
      </w:pPr>
      <w:r w:rsidRPr="003478AF">
        <w:rPr>
          <w:rFonts w:eastAsiaTheme="minorEastAsia"/>
          <w:kern w:val="24"/>
          <w:lang w:eastAsia="pl-PL"/>
        </w:rPr>
        <w:t xml:space="preserve">Nakłady na środki trwałe służące ochronie środowiska wzrosły na poziomie województwa </w:t>
      </w:r>
      <w:r w:rsidR="00EB4A54" w:rsidRPr="003478AF">
        <w:rPr>
          <w:rFonts w:eastAsiaTheme="minorEastAsia"/>
          <w:kern w:val="24"/>
          <w:lang w:eastAsia="pl-PL"/>
        </w:rPr>
        <w:t>z 863,7 mln zł w 2010 roku do 1 150,7 mln zł</w:t>
      </w:r>
      <w:r w:rsidR="00C519F2" w:rsidRPr="003478AF">
        <w:rPr>
          <w:rFonts w:eastAsiaTheme="minorEastAsia"/>
          <w:kern w:val="24"/>
          <w:lang w:eastAsia="pl-PL"/>
        </w:rPr>
        <w:t xml:space="preserve"> w 2019 roku</w:t>
      </w:r>
      <w:r w:rsidR="00EB4A54" w:rsidRPr="003478AF">
        <w:rPr>
          <w:rFonts w:eastAsiaTheme="minorEastAsia"/>
          <w:kern w:val="24"/>
          <w:lang w:eastAsia="pl-PL"/>
        </w:rPr>
        <w:t xml:space="preserve">, natomiast w </w:t>
      </w:r>
      <w:r w:rsidRPr="003478AF">
        <w:rPr>
          <w:rFonts w:eastAsiaTheme="minorEastAsia"/>
          <w:kern w:val="24"/>
          <w:lang w:eastAsia="pl-PL"/>
        </w:rPr>
        <w:t>Pol</w:t>
      </w:r>
      <w:r w:rsidR="00EB4A54" w:rsidRPr="003478AF">
        <w:rPr>
          <w:rFonts w:eastAsiaTheme="minorEastAsia"/>
          <w:kern w:val="24"/>
          <w:lang w:eastAsia="pl-PL"/>
        </w:rPr>
        <w:t>sce zmieniał</w:t>
      </w:r>
      <w:r w:rsidR="002C3065" w:rsidRPr="003478AF">
        <w:rPr>
          <w:rFonts w:eastAsiaTheme="minorEastAsia"/>
          <w:kern w:val="24"/>
          <w:lang w:eastAsia="pl-PL"/>
        </w:rPr>
        <w:t>y</w:t>
      </w:r>
      <w:r w:rsidR="00EB4A54" w:rsidRPr="003478AF">
        <w:rPr>
          <w:rFonts w:eastAsiaTheme="minorEastAsia"/>
          <w:kern w:val="24"/>
          <w:lang w:eastAsia="pl-PL"/>
        </w:rPr>
        <w:t xml:space="preserve"> się on</w:t>
      </w:r>
      <w:r w:rsidR="002C3065" w:rsidRPr="003478AF">
        <w:rPr>
          <w:rFonts w:eastAsiaTheme="minorEastAsia"/>
          <w:kern w:val="24"/>
          <w:lang w:eastAsia="pl-PL"/>
        </w:rPr>
        <w:t>e</w:t>
      </w:r>
      <w:r w:rsidR="00EB4A54" w:rsidRPr="003478AF">
        <w:rPr>
          <w:rFonts w:eastAsiaTheme="minorEastAsia"/>
          <w:kern w:val="24"/>
          <w:lang w:eastAsia="pl-PL"/>
        </w:rPr>
        <w:t xml:space="preserve"> równie dynamicznie osiągając w 2010 roku 10,9 mld zł</w:t>
      </w:r>
      <w:r w:rsidR="002C3065" w:rsidRPr="003478AF">
        <w:rPr>
          <w:rFonts w:eastAsiaTheme="minorEastAsia"/>
          <w:kern w:val="24"/>
          <w:lang w:eastAsia="pl-PL"/>
        </w:rPr>
        <w:t xml:space="preserve">, </w:t>
      </w:r>
      <w:r w:rsidR="004152C8" w:rsidRPr="003478AF">
        <w:rPr>
          <w:rFonts w:eastAsiaTheme="minorEastAsia"/>
          <w:kern w:val="24"/>
          <w:lang w:eastAsia="pl-PL"/>
        </w:rPr>
        <w:t>a</w:t>
      </w:r>
      <w:r w:rsidR="002C3065" w:rsidRPr="003478AF">
        <w:rPr>
          <w:rFonts w:eastAsiaTheme="minorEastAsia"/>
          <w:kern w:val="24"/>
          <w:lang w:eastAsia="pl-PL"/>
        </w:rPr>
        <w:t xml:space="preserve"> w 2019 roku </w:t>
      </w:r>
      <w:r w:rsidR="00EB4A54" w:rsidRPr="003478AF">
        <w:rPr>
          <w:rFonts w:eastAsiaTheme="minorEastAsia"/>
          <w:kern w:val="24"/>
          <w:lang w:eastAsia="pl-PL"/>
        </w:rPr>
        <w:t>12,5 mld zł. Zarówno w województwie</w:t>
      </w:r>
      <w:r w:rsidR="004152C8" w:rsidRPr="003478AF">
        <w:rPr>
          <w:rFonts w:eastAsiaTheme="minorEastAsia"/>
          <w:kern w:val="24"/>
          <w:lang w:eastAsia="pl-PL"/>
        </w:rPr>
        <w:t>, jak</w:t>
      </w:r>
      <w:r w:rsidR="00EB4A54" w:rsidRPr="003478AF">
        <w:rPr>
          <w:rFonts w:eastAsiaTheme="minorEastAsia"/>
          <w:kern w:val="24"/>
          <w:lang w:eastAsia="pl-PL"/>
        </w:rPr>
        <w:t xml:space="preserve"> i kraju największe kwoty na ochronę środowiska przeznaczano w 2015 roku</w:t>
      </w:r>
      <w:r w:rsidR="00EB4A54" w:rsidRPr="003478AF">
        <w:rPr>
          <w:rFonts w:eastAsia="Arial" w:cs="Arial"/>
          <w:szCs w:val="20"/>
        </w:rPr>
        <w:t xml:space="preserve"> (</w:t>
      </w:r>
      <w:r w:rsidR="00381971" w:rsidRPr="003478AF">
        <w:rPr>
          <w:rFonts w:eastAsia="Arial" w:cs="Arial"/>
          <w:szCs w:val="20"/>
        </w:rPr>
        <w:t>ryc</w:t>
      </w:r>
      <w:r w:rsidR="00E43B3E" w:rsidRPr="003478AF">
        <w:rPr>
          <w:rFonts w:eastAsia="Arial" w:cs="Arial"/>
          <w:szCs w:val="20"/>
        </w:rPr>
        <w:t>. 8.4</w:t>
      </w:r>
      <w:r w:rsidR="00F91F56" w:rsidRPr="003478AF">
        <w:rPr>
          <w:rFonts w:eastAsia="Arial" w:cs="Arial"/>
          <w:szCs w:val="20"/>
        </w:rPr>
        <w:t>7</w:t>
      </w:r>
      <w:r w:rsidR="004152C8" w:rsidRPr="003478AF">
        <w:rPr>
          <w:rFonts w:eastAsia="Arial" w:cs="Arial"/>
          <w:szCs w:val="20"/>
        </w:rPr>
        <w:t xml:space="preserve"> i</w:t>
      </w:r>
      <w:r w:rsidR="00E43B3E" w:rsidRPr="003478AF">
        <w:rPr>
          <w:rFonts w:eastAsia="Arial" w:cs="Arial"/>
          <w:szCs w:val="20"/>
        </w:rPr>
        <w:t xml:space="preserve"> 8.4</w:t>
      </w:r>
      <w:r w:rsidR="00F91F56" w:rsidRPr="003478AF">
        <w:rPr>
          <w:rFonts w:eastAsia="Arial" w:cs="Arial"/>
          <w:szCs w:val="20"/>
        </w:rPr>
        <w:t>8</w:t>
      </w:r>
      <w:r w:rsidR="00E43B3E" w:rsidRPr="003478AF">
        <w:rPr>
          <w:rFonts w:eastAsia="Arial" w:cs="Arial"/>
          <w:szCs w:val="20"/>
        </w:rPr>
        <w:t>).</w:t>
      </w:r>
      <w:r w:rsidRPr="003478AF">
        <w:rPr>
          <w:rFonts w:eastAsiaTheme="minorEastAsia"/>
          <w:kern w:val="24"/>
          <w:lang w:eastAsia="pl-PL"/>
        </w:rPr>
        <w:t xml:space="preserve"> </w:t>
      </w:r>
      <w:r w:rsidR="005F43F3" w:rsidRPr="003478AF">
        <w:rPr>
          <w:rFonts w:eastAsia="Arial" w:cs="Arial"/>
          <w:szCs w:val="20"/>
        </w:rPr>
        <w:t xml:space="preserve">Podobnie jak w latach poprzednich, głównym inwestorem w nakładach na środki trwałe służące ochronie środowiska są przedsiębiorstwa, kolejnym gminy, </w:t>
      </w:r>
      <w:r w:rsidR="004152C8" w:rsidRPr="003478AF">
        <w:rPr>
          <w:rFonts w:eastAsia="Arial" w:cs="Arial"/>
          <w:szCs w:val="20"/>
        </w:rPr>
        <w:t xml:space="preserve">a </w:t>
      </w:r>
      <w:r w:rsidR="005F43F3" w:rsidRPr="003478AF">
        <w:rPr>
          <w:rFonts w:eastAsia="Arial" w:cs="Arial"/>
          <w:szCs w:val="20"/>
        </w:rPr>
        <w:t>następnie jednostki budżetowe</w:t>
      </w:r>
      <w:r w:rsidR="00E365EC" w:rsidRPr="003478AF">
        <w:rPr>
          <w:rFonts w:eastAsia="Arial" w:cs="Arial"/>
          <w:szCs w:val="20"/>
        </w:rPr>
        <w:t>.</w:t>
      </w:r>
    </w:p>
    <w:p w14:paraId="6ECAA6AA" w14:textId="544A5FF6" w:rsidR="005F43F3" w:rsidRPr="003478AF" w:rsidRDefault="005F43F3" w:rsidP="00632391">
      <w:pPr>
        <w:rPr>
          <w:rFonts w:eastAsia="Arial" w:cs="Arial"/>
          <w:szCs w:val="20"/>
        </w:rPr>
      </w:pPr>
    </w:p>
    <w:p w14:paraId="6F68C70F" w14:textId="045EAADC" w:rsidR="005F43F3" w:rsidRPr="003478AF" w:rsidRDefault="000714C1" w:rsidP="00986D40">
      <w:pPr>
        <w:pStyle w:val="ARYCINA"/>
      </w:pPr>
      <w:bookmarkStart w:id="88" w:name="_Hlk76628419"/>
      <w:r w:rsidRPr="003478AF">
        <w:t xml:space="preserve">Ryc. </w:t>
      </w:r>
      <w:r w:rsidR="003F5D1A" w:rsidRPr="003478AF">
        <w:t>8.4</w:t>
      </w:r>
      <w:r w:rsidR="00F91F56" w:rsidRPr="003478AF">
        <w:t>7</w:t>
      </w:r>
      <w:r w:rsidRPr="003478AF">
        <w:rPr>
          <w:lang w:eastAsia="pl-PL"/>
        </w:rPr>
        <w:t xml:space="preserve"> </w:t>
      </w:r>
      <w:r w:rsidR="00875D21" w:rsidRPr="003478AF">
        <w:rPr>
          <w:lang w:eastAsia="pl-PL"/>
        </w:rPr>
        <w:t xml:space="preserve">Nakłady na środki trwałe służące ochronie środowiska (mln zł) </w:t>
      </w:r>
      <w:r w:rsidR="000A2F97" w:rsidRPr="003478AF">
        <w:t>w Polsce w latach 2010-2019</w:t>
      </w:r>
    </w:p>
    <w:bookmarkEnd w:id="88"/>
    <w:p w14:paraId="76125744" w14:textId="14971D4E" w:rsidR="00413ECF" w:rsidRPr="003478AF" w:rsidRDefault="00BB34FF" w:rsidP="00986D40">
      <w:pPr>
        <w:pStyle w:val="AZRODLO"/>
      </w:pPr>
      <w:r w:rsidRPr="003478AF">
        <w:rPr>
          <w:noProof/>
          <w:lang w:eastAsia="pl-PL"/>
        </w:rPr>
        <w:drawing>
          <wp:inline distT="0" distB="0" distL="0" distR="0" wp14:anchorId="7D715FED" wp14:editId="1663F569">
            <wp:extent cx="4680000" cy="2697371"/>
            <wp:effectExtent l="0" t="0" r="6350" b="8255"/>
            <wp:docPr id="92" name="Obraz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4680000" cy="2697371"/>
                    </a:xfrm>
                    <a:prstGeom prst="rect">
                      <a:avLst/>
                    </a:prstGeom>
                    <a:noFill/>
                  </pic:spPr>
                </pic:pic>
              </a:graphicData>
            </a:graphic>
          </wp:inline>
        </w:drawing>
      </w:r>
    </w:p>
    <w:p w14:paraId="1DA883DB" w14:textId="6FE8B631" w:rsidR="00FF0262" w:rsidRPr="003478AF" w:rsidRDefault="00FF0262" w:rsidP="00986D40">
      <w:pPr>
        <w:pStyle w:val="AZRODLO"/>
      </w:pPr>
      <w:r w:rsidRPr="003478AF">
        <w:t>Źródło: Opracowanie własne na podstawie danych BDL</w:t>
      </w:r>
    </w:p>
    <w:p w14:paraId="02D4775E" w14:textId="2BF3F32B" w:rsidR="00902A4D" w:rsidRPr="003478AF" w:rsidRDefault="00902A4D" w:rsidP="00007A3A"/>
    <w:p w14:paraId="6E1D957E" w14:textId="6F66294D" w:rsidR="00875D21" w:rsidRPr="003478AF" w:rsidRDefault="00875D21" w:rsidP="00986D40">
      <w:pPr>
        <w:pStyle w:val="ARYCINA"/>
      </w:pPr>
      <w:r w:rsidRPr="003478AF">
        <w:t>Ryc. 8.4</w:t>
      </w:r>
      <w:r w:rsidR="00F91F56" w:rsidRPr="003478AF">
        <w:t>8</w:t>
      </w:r>
      <w:r w:rsidRPr="003478AF">
        <w:rPr>
          <w:lang w:eastAsia="pl-PL"/>
        </w:rPr>
        <w:t xml:space="preserve"> Nakłady na środki trwałe służące ochronie środowiska (mln zł) </w:t>
      </w:r>
      <w:r w:rsidR="00092276" w:rsidRPr="003478AF">
        <w:t xml:space="preserve">w województwie wielkopolskim </w:t>
      </w:r>
      <w:r w:rsidR="00007A3A" w:rsidRPr="003478AF">
        <w:br/>
      </w:r>
      <w:r w:rsidRPr="003478AF">
        <w:t>w latach 2010-2019</w:t>
      </w:r>
    </w:p>
    <w:p w14:paraId="7FFCFA5B" w14:textId="044BF761" w:rsidR="00875D21" w:rsidRPr="003478AF" w:rsidRDefault="00BB34FF" w:rsidP="00986D40">
      <w:pPr>
        <w:pStyle w:val="AZRODLO"/>
      </w:pPr>
      <w:r w:rsidRPr="003478AF">
        <w:rPr>
          <w:noProof/>
          <w:lang w:eastAsia="pl-PL"/>
        </w:rPr>
        <w:drawing>
          <wp:inline distT="0" distB="0" distL="0" distR="0" wp14:anchorId="0C243B79" wp14:editId="08B1A700">
            <wp:extent cx="4680000" cy="2550369"/>
            <wp:effectExtent l="0" t="0" r="6350" b="2540"/>
            <wp:docPr id="95" name="Obraz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4680000" cy="2550369"/>
                    </a:xfrm>
                    <a:prstGeom prst="rect">
                      <a:avLst/>
                    </a:prstGeom>
                    <a:noFill/>
                  </pic:spPr>
                </pic:pic>
              </a:graphicData>
            </a:graphic>
          </wp:inline>
        </w:drawing>
      </w:r>
    </w:p>
    <w:p w14:paraId="33EF0DB2" w14:textId="4FE9195C" w:rsidR="00107715" w:rsidRPr="003478AF" w:rsidRDefault="00875D21" w:rsidP="00986D40">
      <w:pPr>
        <w:pStyle w:val="AZRODLO"/>
      </w:pPr>
      <w:r w:rsidRPr="003478AF">
        <w:t>Źródło: Opracowanie własne na podstawie danych BDL</w:t>
      </w:r>
    </w:p>
    <w:p w14:paraId="7DFA1447" w14:textId="172BC1A1" w:rsidR="005F43F3" w:rsidRPr="003478AF" w:rsidRDefault="005F43F3" w:rsidP="00902A4D">
      <w:pPr>
        <w:ind w:firstLine="0"/>
        <w:rPr>
          <w:rFonts w:eastAsia="Arial" w:cs="Arial"/>
          <w:b/>
          <w:bCs/>
          <w:szCs w:val="20"/>
        </w:rPr>
      </w:pPr>
      <w:r w:rsidRPr="003478AF">
        <w:rPr>
          <w:rFonts w:eastAsia="Arial" w:cs="Arial"/>
          <w:b/>
          <w:bCs/>
          <w:szCs w:val="20"/>
        </w:rPr>
        <w:lastRenderedPageBreak/>
        <w:t>Powierzchnia o szczególnych walorach przyrodniczych</w:t>
      </w:r>
    </w:p>
    <w:p w14:paraId="7DE8DABB" w14:textId="1E49CE9D" w:rsidR="005F43F3" w:rsidRPr="003478AF" w:rsidRDefault="006D3472" w:rsidP="005F43F3">
      <w:pPr>
        <w:rPr>
          <w:rFonts w:eastAsia="Arial" w:cs="Arial"/>
          <w:szCs w:val="20"/>
        </w:rPr>
      </w:pPr>
      <w:r w:rsidRPr="003478AF">
        <w:rPr>
          <w:rFonts w:eastAsia="Arial" w:cs="Arial"/>
          <w:szCs w:val="20"/>
        </w:rPr>
        <w:t>O</w:t>
      </w:r>
      <w:r w:rsidR="005F43F3" w:rsidRPr="003478AF">
        <w:rPr>
          <w:rFonts w:eastAsia="Arial" w:cs="Arial"/>
          <w:szCs w:val="20"/>
        </w:rPr>
        <w:t>bsza</w:t>
      </w:r>
      <w:r w:rsidRPr="003478AF">
        <w:rPr>
          <w:rFonts w:eastAsia="Arial" w:cs="Arial"/>
          <w:szCs w:val="20"/>
        </w:rPr>
        <w:t>ry</w:t>
      </w:r>
      <w:r w:rsidR="005F43F3" w:rsidRPr="003478AF">
        <w:rPr>
          <w:rFonts w:eastAsia="Arial" w:cs="Arial"/>
          <w:szCs w:val="20"/>
        </w:rPr>
        <w:t xml:space="preserve"> o szczególnych walorach przyrodniczych prawnie chronionych określa istniejący zasób przyrodniczy, zróżnicowanie jego walorów przyrodniczo-krajobrazowych </w:t>
      </w:r>
      <w:r w:rsidR="00006E72" w:rsidRPr="003478AF">
        <w:rPr>
          <w:rFonts w:eastAsia="Arial" w:cs="Arial"/>
          <w:szCs w:val="20"/>
        </w:rPr>
        <w:br/>
      </w:r>
      <w:r w:rsidR="005F43F3" w:rsidRPr="003478AF">
        <w:rPr>
          <w:rFonts w:eastAsia="Arial" w:cs="Arial"/>
          <w:szCs w:val="20"/>
        </w:rPr>
        <w:t xml:space="preserve">i bioróżnorodność województwa. Jednocześnie obszary te, generalnie o wyższym stanie jakościowym środowiska, cechują się podwyższonym potencjałem rozwojowym, </w:t>
      </w:r>
      <w:r w:rsidR="00006E72" w:rsidRPr="003478AF">
        <w:rPr>
          <w:rFonts w:eastAsia="Arial" w:cs="Arial"/>
          <w:szCs w:val="20"/>
        </w:rPr>
        <w:br/>
      </w:r>
      <w:r w:rsidR="005F43F3" w:rsidRPr="003478AF">
        <w:rPr>
          <w:rFonts w:eastAsia="Arial" w:cs="Arial"/>
          <w:szCs w:val="20"/>
        </w:rPr>
        <w:t>w szczególności dla przemysłu czasu wolnego i gospodarki rolnej.</w:t>
      </w:r>
    </w:p>
    <w:p w14:paraId="2ED3ED59" w14:textId="72822633" w:rsidR="00FE121B" w:rsidRPr="003478AF" w:rsidRDefault="005F43F3">
      <w:pPr>
        <w:rPr>
          <w:rFonts w:eastAsia="Arial" w:cs="Arial"/>
          <w:szCs w:val="20"/>
        </w:rPr>
      </w:pPr>
      <w:r w:rsidRPr="003478AF">
        <w:rPr>
          <w:rFonts w:eastAsia="Arial" w:cs="Arial"/>
          <w:szCs w:val="20"/>
        </w:rPr>
        <w:t>W</w:t>
      </w:r>
      <w:r w:rsidR="00F32D62" w:rsidRPr="003478AF">
        <w:rPr>
          <w:rFonts w:eastAsia="Arial" w:cs="Arial"/>
          <w:szCs w:val="20"/>
        </w:rPr>
        <w:t xml:space="preserve"> latach 2010-2018</w:t>
      </w:r>
      <w:r w:rsidRPr="003478AF">
        <w:rPr>
          <w:rFonts w:eastAsia="Arial" w:cs="Arial"/>
          <w:szCs w:val="20"/>
        </w:rPr>
        <w:t xml:space="preserve"> </w:t>
      </w:r>
      <w:r w:rsidR="006D3472" w:rsidRPr="003478AF">
        <w:rPr>
          <w:rFonts w:eastAsia="Arial" w:cs="Arial"/>
          <w:szCs w:val="20"/>
        </w:rPr>
        <w:t xml:space="preserve">powierzchnia </w:t>
      </w:r>
      <w:r w:rsidRPr="003478AF">
        <w:rPr>
          <w:rFonts w:eastAsia="Arial" w:cs="Arial"/>
          <w:szCs w:val="20"/>
        </w:rPr>
        <w:t xml:space="preserve">obszarów prawnie chronionych </w:t>
      </w:r>
      <w:r w:rsidR="00F32D62" w:rsidRPr="003478AF">
        <w:rPr>
          <w:rFonts w:eastAsia="Arial" w:cs="Arial"/>
          <w:szCs w:val="20"/>
        </w:rPr>
        <w:t xml:space="preserve">w </w:t>
      </w:r>
      <w:r w:rsidR="00D347CB" w:rsidRPr="003478AF">
        <w:rPr>
          <w:rFonts w:eastAsia="Arial" w:cs="Arial"/>
          <w:szCs w:val="20"/>
        </w:rPr>
        <w:t xml:space="preserve">Polsce </w:t>
      </w:r>
      <w:r w:rsidR="00F32D62" w:rsidRPr="003478AF">
        <w:rPr>
          <w:rFonts w:eastAsia="Arial" w:cs="Arial"/>
          <w:szCs w:val="20"/>
        </w:rPr>
        <w:t xml:space="preserve">zwiększała się systematycznie z 10 141 ha do 10 182 ha, natomiast w 2019 roku odnotowano jej spadek do 10 107 ha </w:t>
      </w:r>
      <w:r w:rsidR="00E43B3E" w:rsidRPr="003478AF">
        <w:rPr>
          <w:rFonts w:eastAsia="Arial" w:cs="Arial"/>
          <w:szCs w:val="20"/>
        </w:rPr>
        <w:t>(</w:t>
      </w:r>
      <w:r w:rsidR="00381971" w:rsidRPr="003478AF">
        <w:rPr>
          <w:rFonts w:eastAsia="Arial" w:cs="Arial"/>
          <w:szCs w:val="20"/>
        </w:rPr>
        <w:t>ryc.</w:t>
      </w:r>
      <w:r w:rsidR="00E43B3E" w:rsidRPr="003478AF">
        <w:rPr>
          <w:rFonts w:eastAsia="Arial" w:cs="Arial"/>
          <w:szCs w:val="20"/>
        </w:rPr>
        <w:t xml:space="preserve"> 8.4</w:t>
      </w:r>
      <w:r w:rsidR="00F91F56" w:rsidRPr="003478AF">
        <w:rPr>
          <w:rFonts w:eastAsia="Arial" w:cs="Arial"/>
          <w:szCs w:val="20"/>
        </w:rPr>
        <w:t>9</w:t>
      </w:r>
      <w:r w:rsidR="00E43B3E" w:rsidRPr="003478AF">
        <w:rPr>
          <w:rFonts w:eastAsia="Arial" w:cs="Arial"/>
          <w:szCs w:val="20"/>
        </w:rPr>
        <w:t>)</w:t>
      </w:r>
      <w:r w:rsidR="003A7E45" w:rsidRPr="003478AF">
        <w:rPr>
          <w:rFonts w:eastAsia="Arial" w:cs="Arial"/>
          <w:szCs w:val="20"/>
        </w:rPr>
        <w:t xml:space="preserve">. </w:t>
      </w:r>
      <w:r w:rsidR="00411221" w:rsidRPr="003478AF">
        <w:rPr>
          <w:rFonts w:eastAsia="Arial" w:cs="Arial"/>
          <w:szCs w:val="20"/>
        </w:rPr>
        <w:t xml:space="preserve">W województwie wielkopolskim powierzchnia takich terenów również uległa zmniejszeniu w latach 2018-2019 – </w:t>
      </w:r>
      <w:r w:rsidR="00B30F86" w:rsidRPr="003478AF">
        <w:rPr>
          <w:rFonts w:eastAsia="Arial" w:cs="Arial"/>
          <w:szCs w:val="20"/>
        </w:rPr>
        <w:t>o</w:t>
      </w:r>
      <w:r w:rsidR="006D3472" w:rsidRPr="003478AF">
        <w:rPr>
          <w:rFonts w:eastAsia="Arial" w:cs="Arial"/>
          <w:szCs w:val="20"/>
        </w:rPr>
        <w:t xml:space="preserve"> </w:t>
      </w:r>
      <w:r w:rsidR="00A30229" w:rsidRPr="003478AF">
        <w:rPr>
          <w:rFonts w:eastAsia="Arial" w:cs="Arial"/>
          <w:szCs w:val="20"/>
        </w:rPr>
        <w:t xml:space="preserve">60 </w:t>
      </w:r>
      <w:r w:rsidR="00FE121B" w:rsidRPr="003478AF">
        <w:rPr>
          <w:rFonts w:eastAsia="Arial" w:cs="Arial"/>
          <w:szCs w:val="20"/>
        </w:rPr>
        <w:t>tys. ha</w:t>
      </w:r>
      <w:r w:rsidR="00E43B3E" w:rsidRPr="003478AF">
        <w:rPr>
          <w:rFonts w:eastAsia="Arial" w:cs="Arial"/>
          <w:szCs w:val="20"/>
        </w:rPr>
        <w:t xml:space="preserve"> (</w:t>
      </w:r>
      <w:r w:rsidR="00381971" w:rsidRPr="003478AF">
        <w:rPr>
          <w:rFonts w:eastAsia="Arial" w:cs="Arial"/>
          <w:szCs w:val="20"/>
        </w:rPr>
        <w:t>ryc.</w:t>
      </w:r>
      <w:r w:rsidR="00E43B3E" w:rsidRPr="003478AF">
        <w:rPr>
          <w:rFonts w:eastAsia="Arial" w:cs="Arial"/>
          <w:szCs w:val="20"/>
        </w:rPr>
        <w:t xml:space="preserve"> 8.</w:t>
      </w:r>
      <w:r w:rsidR="00F91F56" w:rsidRPr="003478AF">
        <w:rPr>
          <w:rFonts w:eastAsia="Arial" w:cs="Arial"/>
          <w:szCs w:val="20"/>
        </w:rPr>
        <w:t>50</w:t>
      </w:r>
      <w:r w:rsidR="00E43B3E" w:rsidRPr="003478AF">
        <w:rPr>
          <w:rFonts w:eastAsia="Arial" w:cs="Arial"/>
          <w:szCs w:val="20"/>
        </w:rPr>
        <w:t>)</w:t>
      </w:r>
      <w:r w:rsidRPr="003478AF">
        <w:rPr>
          <w:rFonts w:eastAsia="Arial" w:cs="Arial"/>
          <w:szCs w:val="20"/>
        </w:rPr>
        <w:t xml:space="preserve">. </w:t>
      </w:r>
      <w:r w:rsidR="00411221" w:rsidRPr="003478AF">
        <w:rPr>
          <w:rFonts w:eastAsia="Arial" w:cs="Arial"/>
          <w:szCs w:val="20"/>
        </w:rPr>
        <w:t>Najwięcej tego typu obszarów w województwie zlokalizowanych jest w powiecie: czarnkowsko-trzcianeckim (81,4 tys. ha), konińskim (64,3 tys. ha) i złotowskim (52,7 tys. ha) (</w:t>
      </w:r>
      <w:r w:rsidR="00381971" w:rsidRPr="003478AF">
        <w:rPr>
          <w:rFonts w:eastAsia="Arial" w:cs="Arial"/>
          <w:szCs w:val="20"/>
        </w:rPr>
        <w:t>ryc.</w:t>
      </w:r>
      <w:r w:rsidR="00411221" w:rsidRPr="003478AF">
        <w:rPr>
          <w:rFonts w:eastAsia="Arial" w:cs="Arial"/>
          <w:szCs w:val="20"/>
        </w:rPr>
        <w:t xml:space="preserve"> 8.51).</w:t>
      </w:r>
      <w:r w:rsidR="0097481B" w:rsidRPr="003478AF">
        <w:rPr>
          <w:rFonts w:eastAsia="Arial" w:cs="Arial"/>
          <w:szCs w:val="20"/>
        </w:rPr>
        <w:t xml:space="preserve"> </w:t>
      </w:r>
      <w:r w:rsidR="00411221" w:rsidRPr="003478AF">
        <w:rPr>
          <w:rFonts w:eastAsia="Arial" w:cs="Arial"/>
          <w:szCs w:val="20"/>
        </w:rPr>
        <w:t xml:space="preserve">Największym odsetkiem powierzchni </w:t>
      </w:r>
      <w:r w:rsidRPr="003478AF">
        <w:rPr>
          <w:rFonts w:eastAsia="Arial" w:cs="Arial"/>
          <w:szCs w:val="20"/>
        </w:rPr>
        <w:t xml:space="preserve">obszarów </w:t>
      </w:r>
      <w:r w:rsidR="00411221" w:rsidRPr="003478AF">
        <w:rPr>
          <w:rFonts w:eastAsia="Arial" w:cs="Arial"/>
          <w:szCs w:val="20"/>
        </w:rPr>
        <w:t xml:space="preserve">prawnie chronionych charakteryzują się </w:t>
      </w:r>
      <w:r w:rsidR="00D5663F" w:rsidRPr="003478AF">
        <w:rPr>
          <w:rFonts w:eastAsia="Arial" w:cs="Arial"/>
          <w:szCs w:val="20"/>
        </w:rPr>
        <w:t>natomiast</w:t>
      </w:r>
      <w:r w:rsidRPr="003478AF">
        <w:rPr>
          <w:rFonts w:eastAsia="Arial" w:cs="Arial"/>
          <w:szCs w:val="20"/>
        </w:rPr>
        <w:t xml:space="preserve"> </w:t>
      </w:r>
      <w:r w:rsidR="00411221" w:rsidRPr="003478AF">
        <w:rPr>
          <w:rFonts w:eastAsia="Arial" w:cs="Arial"/>
          <w:szCs w:val="20"/>
        </w:rPr>
        <w:t xml:space="preserve">cztery </w:t>
      </w:r>
      <w:r w:rsidRPr="003478AF">
        <w:rPr>
          <w:rFonts w:eastAsia="Arial" w:cs="Arial"/>
          <w:szCs w:val="20"/>
        </w:rPr>
        <w:t>powiat</w:t>
      </w:r>
      <w:r w:rsidR="00411221" w:rsidRPr="003478AF">
        <w:rPr>
          <w:rFonts w:eastAsia="Arial" w:cs="Arial"/>
          <w:szCs w:val="20"/>
        </w:rPr>
        <w:t>y</w:t>
      </w:r>
      <w:r w:rsidRPr="003478AF">
        <w:rPr>
          <w:rFonts w:eastAsia="Arial" w:cs="Arial"/>
          <w:szCs w:val="20"/>
        </w:rPr>
        <w:t xml:space="preserve">: </w:t>
      </w:r>
      <w:r w:rsidR="00D34635" w:rsidRPr="003478AF">
        <w:rPr>
          <w:rFonts w:eastAsia="Calibri" w:cs="Arial"/>
          <w:szCs w:val="20"/>
        </w:rPr>
        <w:t>międzychodzki</w:t>
      </w:r>
      <w:r w:rsidR="00D34635" w:rsidRPr="003478AF">
        <w:rPr>
          <w:rFonts w:eastAsia="Arial" w:cs="Arial"/>
          <w:szCs w:val="20"/>
        </w:rPr>
        <w:t xml:space="preserve"> (68%), wolsztyński (63,8%), ostrowski (58,9%) i </w:t>
      </w:r>
      <w:r w:rsidRPr="003478AF">
        <w:rPr>
          <w:rFonts w:eastAsia="Arial" w:cs="Arial"/>
          <w:szCs w:val="20"/>
        </w:rPr>
        <w:t>ostrzeszowski (55,1%)</w:t>
      </w:r>
      <w:r w:rsidR="00D34635" w:rsidRPr="003478AF">
        <w:rPr>
          <w:rFonts w:eastAsia="Arial" w:cs="Arial"/>
          <w:szCs w:val="20"/>
        </w:rPr>
        <w:t>.</w:t>
      </w:r>
      <w:r w:rsidRPr="003478AF">
        <w:rPr>
          <w:rFonts w:eastAsia="Arial" w:cs="Arial"/>
          <w:szCs w:val="20"/>
        </w:rPr>
        <w:t xml:space="preserve"> </w:t>
      </w:r>
    </w:p>
    <w:p w14:paraId="033417BE" w14:textId="77777777" w:rsidR="00006E72" w:rsidRPr="003478AF" w:rsidRDefault="00006E72" w:rsidP="005F43F3">
      <w:pPr>
        <w:rPr>
          <w:rFonts w:eastAsia="Arial" w:cs="Arial"/>
          <w:sz w:val="18"/>
          <w:szCs w:val="18"/>
        </w:rPr>
      </w:pPr>
    </w:p>
    <w:p w14:paraId="394B3758" w14:textId="02FEB4F1" w:rsidR="00FB0A00" w:rsidRPr="003478AF" w:rsidRDefault="000714C1" w:rsidP="00986D40">
      <w:pPr>
        <w:pStyle w:val="ARYCINA"/>
      </w:pPr>
      <w:bookmarkStart w:id="89" w:name="_Hlk76628437"/>
      <w:r w:rsidRPr="003478AF">
        <w:t>Ryc.</w:t>
      </w:r>
      <w:r w:rsidR="003F5D1A" w:rsidRPr="003478AF">
        <w:t xml:space="preserve"> 8.4</w:t>
      </w:r>
      <w:r w:rsidR="00F91F56" w:rsidRPr="003478AF">
        <w:t>9</w:t>
      </w:r>
      <w:r w:rsidRPr="003478AF">
        <w:rPr>
          <w:rFonts w:eastAsiaTheme="minorEastAsia"/>
          <w:kern w:val="24"/>
          <w:lang w:eastAsia="pl-PL"/>
        </w:rPr>
        <w:t xml:space="preserve"> </w:t>
      </w:r>
      <w:r w:rsidR="006D3472" w:rsidRPr="003478AF">
        <w:rPr>
          <w:rFonts w:eastAsiaTheme="minorEastAsia"/>
          <w:kern w:val="24"/>
          <w:lang w:eastAsia="pl-PL"/>
        </w:rPr>
        <w:t>Obszary prawnie chronione (tys. ha)</w:t>
      </w:r>
      <w:r w:rsidR="006D3472" w:rsidRPr="003478AF" w:rsidDel="006D3472">
        <w:rPr>
          <w:rFonts w:eastAsiaTheme="minorEastAsia"/>
          <w:kern w:val="24"/>
          <w:lang w:eastAsia="pl-PL"/>
        </w:rPr>
        <w:t xml:space="preserve"> </w:t>
      </w:r>
      <w:r w:rsidR="000A2F97" w:rsidRPr="003478AF">
        <w:t xml:space="preserve">w Polsce w latach </w:t>
      </w:r>
      <w:bookmarkEnd w:id="89"/>
      <w:r w:rsidR="000A2F97" w:rsidRPr="003478AF">
        <w:t>2010-2019</w:t>
      </w:r>
    </w:p>
    <w:p w14:paraId="67DB7103" w14:textId="473DC2F4" w:rsidR="005F43F3" w:rsidRPr="003478AF" w:rsidRDefault="00FE121B" w:rsidP="00986D40">
      <w:pPr>
        <w:pStyle w:val="ARYCINA"/>
      </w:pPr>
      <w:r w:rsidRPr="003478AF">
        <w:rPr>
          <w:noProof/>
          <w:lang w:eastAsia="pl-PL"/>
        </w:rPr>
        <w:drawing>
          <wp:inline distT="0" distB="0" distL="0" distR="0" wp14:anchorId="394C3B02" wp14:editId="310AC19B">
            <wp:extent cx="4896000" cy="2736000"/>
            <wp:effectExtent l="0" t="0" r="0" b="7620"/>
            <wp:docPr id="145" name="Obraz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4896000" cy="2736000"/>
                    </a:xfrm>
                    <a:prstGeom prst="rect">
                      <a:avLst/>
                    </a:prstGeom>
                    <a:noFill/>
                  </pic:spPr>
                </pic:pic>
              </a:graphicData>
            </a:graphic>
          </wp:inline>
        </w:drawing>
      </w:r>
    </w:p>
    <w:p w14:paraId="652F327B" w14:textId="2E9B7C4C" w:rsidR="00107715" w:rsidRPr="003478AF" w:rsidRDefault="000A2F97" w:rsidP="00986D40">
      <w:pPr>
        <w:pStyle w:val="AZRODLO"/>
      </w:pPr>
      <w:r w:rsidRPr="003478AF">
        <w:t>Źródło: Opracowanie własne na podstawie danych BDL</w:t>
      </w:r>
    </w:p>
    <w:p w14:paraId="2A287BE7" w14:textId="77777777" w:rsidR="007D5B90" w:rsidRPr="003478AF" w:rsidRDefault="007D5B90" w:rsidP="00986D40">
      <w:pPr>
        <w:pStyle w:val="ARYCINA"/>
      </w:pPr>
    </w:p>
    <w:p w14:paraId="0607FC1D" w14:textId="77777777" w:rsidR="00007A3A" w:rsidRPr="003478AF" w:rsidRDefault="00007A3A">
      <w:pPr>
        <w:spacing w:line="240" w:lineRule="auto"/>
        <w:ind w:firstLine="0"/>
        <w:jc w:val="left"/>
        <w:rPr>
          <w:rFonts w:eastAsia="Arial" w:cs="Arial"/>
          <w:b/>
          <w:bCs/>
          <w:sz w:val="16"/>
          <w:szCs w:val="16"/>
        </w:rPr>
      </w:pPr>
      <w:r w:rsidRPr="003478AF">
        <w:br w:type="page"/>
      </w:r>
    </w:p>
    <w:p w14:paraId="7C9DFB26" w14:textId="48692D9F" w:rsidR="006D3472" w:rsidRPr="003478AF" w:rsidRDefault="006D3472" w:rsidP="00986D40">
      <w:pPr>
        <w:pStyle w:val="ARYCINA"/>
      </w:pPr>
      <w:r w:rsidRPr="003478AF">
        <w:lastRenderedPageBreak/>
        <w:t>Ryc. 8.</w:t>
      </w:r>
      <w:r w:rsidR="00F91F56" w:rsidRPr="003478AF">
        <w:t>50</w:t>
      </w:r>
      <w:r w:rsidRPr="003478AF">
        <w:rPr>
          <w:rFonts w:eastAsiaTheme="minorEastAsia"/>
          <w:kern w:val="24"/>
          <w:lang w:eastAsia="pl-PL"/>
        </w:rPr>
        <w:t xml:space="preserve"> Obszary prawnie chronione (tys. ha)</w:t>
      </w:r>
      <w:r w:rsidRPr="003478AF" w:rsidDel="006D3472">
        <w:rPr>
          <w:rFonts w:eastAsiaTheme="minorEastAsia"/>
          <w:kern w:val="24"/>
          <w:lang w:eastAsia="pl-PL"/>
        </w:rPr>
        <w:t xml:space="preserve"> </w:t>
      </w:r>
      <w:r w:rsidR="00092276" w:rsidRPr="003478AF">
        <w:t xml:space="preserve">w województwie wielkopolskim </w:t>
      </w:r>
      <w:r w:rsidRPr="003478AF">
        <w:t>w latach 2010-2019</w:t>
      </w:r>
    </w:p>
    <w:p w14:paraId="5033D50D" w14:textId="2A9A03C6" w:rsidR="00FE121B" w:rsidRPr="003478AF" w:rsidRDefault="006A0A81" w:rsidP="00986D40">
      <w:pPr>
        <w:pStyle w:val="AZRODLO"/>
      </w:pPr>
      <w:r w:rsidRPr="003478AF">
        <w:rPr>
          <w:noProof/>
          <w:lang w:eastAsia="pl-PL"/>
        </w:rPr>
        <w:drawing>
          <wp:inline distT="0" distB="0" distL="0" distR="0" wp14:anchorId="1F10D47F" wp14:editId="66581928">
            <wp:extent cx="4896000" cy="2831704"/>
            <wp:effectExtent l="0" t="0" r="0" b="6985"/>
            <wp:docPr id="147" name="Obraz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4896000" cy="2831704"/>
                    </a:xfrm>
                    <a:prstGeom prst="rect">
                      <a:avLst/>
                    </a:prstGeom>
                    <a:noFill/>
                  </pic:spPr>
                </pic:pic>
              </a:graphicData>
            </a:graphic>
          </wp:inline>
        </w:drawing>
      </w:r>
    </w:p>
    <w:p w14:paraId="58A4926D" w14:textId="056CCBF7" w:rsidR="00FE121B" w:rsidRPr="003478AF" w:rsidRDefault="00FE121B" w:rsidP="00986D40">
      <w:pPr>
        <w:pStyle w:val="AZRODLO"/>
      </w:pPr>
      <w:r w:rsidRPr="003478AF">
        <w:t>Źródło: Opracowanie własne na podstawie danych BDL</w:t>
      </w:r>
    </w:p>
    <w:p w14:paraId="63EFEC4F" w14:textId="380F3727" w:rsidR="00B518C8" w:rsidRPr="003478AF" w:rsidRDefault="00B518C8" w:rsidP="00007A3A"/>
    <w:p w14:paraId="12475586" w14:textId="028806CD" w:rsidR="006A0A81" w:rsidRPr="003478AF" w:rsidRDefault="006A0A81" w:rsidP="00986D40">
      <w:pPr>
        <w:pStyle w:val="ARYCINA"/>
      </w:pPr>
      <w:r w:rsidRPr="003478AF">
        <w:t>Ryc. 8.</w:t>
      </w:r>
      <w:r w:rsidR="00F91F56" w:rsidRPr="003478AF">
        <w:t>51</w:t>
      </w:r>
      <w:r w:rsidRPr="003478AF">
        <w:rPr>
          <w:rFonts w:eastAsiaTheme="minorEastAsia"/>
          <w:kern w:val="24"/>
          <w:lang w:eastAsia="pl-PL"/>
        </w:rPr>
        <w:t xml:space="preserve"> Obszary prawnie chronione (tys. ha)</w:t>
      </w:r>
      <w:r w:rsidRPr="003478AF" w:rsidDel="006D3472">
        <w:rPr>
          <w:rFonts w:eastAsiaTheme="minorEastAsia"/>
          <w:kern w:val="24"/>
          <w:lang w:eastAsia="pl-PL"/>
        </w:rPr>
        <w:t xml:space="preserve"> </w:t>
      </w:r>
      <w:r w:rsidR="0038370F" w:rsidRPr="003478AF">
        <w:t xml:space="preserve">w województwie wielkopolskim według powiatów </w:t>
      </w:r>
      <w:r w:rsidRPr="003478AF">
        <w:t>w 2019 roku</w:t>
      </w:r>
    </w:p>
    <w:p w14:paraId="55A8BFA2" w14:textId="3FB18053" w:rsidR="006A0A81" w:rsidRPr="003478AF" w:rsidRDefault="001A1B9C" w:rsidP="00986D40">
      <w:pPr>
        <w:pStyle w:val="AZRODLO"/>
      </w:pPr>
      <w:r w:rsidRPr="003478AF">
        <w:rPr>
          <w:noProof/>
          <w:lang w:eastAsia="pl-PL"/>
        </w:rPr>
        <w:drawing>
          <wp:inline distT="0" distB="0" distL="0" distR="0" wp14:anchorId="6486E693" wp14:editId="3F00A42F">
            <wp:extent cx="3240000" cy="4064464"/>
            <wp:effectExtent l="0" t="0" r="0" b="0"/>
            <wp:docPr id="70" name="Obraz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3240000" cy="4064464"/>
                    </a:xfrm>
                    <a:prstGeom prst="rect">
                      <a:avLst/>
                    </a:prstGeom>
                    <a:noFill/>
                    <a:ln>
                      <a:noFill/>
                    </a:ln>
                  </pic:spPr>
                </pic:pic>
              </a:graphicData>
            </a:graphic>
          </wp:inline>
        </w:drawing>
      </w:r>
    </w:p>
    <w:p w14:paraId="45CC8E68" w14:textId="37799B86" w:rsidR="006A0A81" w:rsidRPr="003478AF" w:rsidRDefault="006A0A81" w:rsidP="00986D40">
      <w:pPr>
        <w:pStyle w:val="AZRODLO"/>
      </w:pPr>
      <w:r w:rsidRPr="003478AF">
        <w:t>Źródło: Opracowanie własne na podstawie danych BDL</w:t>
      </w:r>
    </w:p>
    <w:p w14:paraId="039FFD45" w14:textId="07AEDB10" w:rsidR="00413ECF" w:rsidRPr="003478AF" w:rsidRDefault="00BB34FF" w:rsidP="00DE2CE9">
      <w:pPr>
        <w:ind w:firstLine="0"/>
        <w:rPr>
          <w:rFonts w:eastAsia="Arial" w:cs="Arial"/>
          <w:b/>
          <w:bCs/>
          <w:szCs w:val="20"/>
        </w:rPr>
      </w:pPr>
      <w:r w:rsidRPr="003478AF">
        <w:rPr>
          <w:rFonts w:eastAsia="Arial" w:cs="Arial"/>
          <w:b/>
          <w:bCs/>
          <w:szCs w:val="20"/>
        </w:rPr>
        <w:lastRenderedPageBreak/>
        <w:t>Ekologiczne</w:t>
      </w:r>
      <w:r w:rsidR="00413ECF" w:rsidRPr="003478AF">
        <w:rPr>
          <w:rFonts w:eastAsia="Arial" w:cs="Arial"/>
          <w:b/>
          <w:bCs/>
          <w:szCs w:val="20"/>
        </w:rPr>
        <w:t xml:space="preserve"> gospodarstw</w:t>
      </w:r>
      <w:r w:rsidRPr="003478AF">
        <w:rPr>
          <w:rFonts w:eastAsia="Arial" w:cs="Arial"/>
          <w:b/>
          <w:bCs/>
          <w:szCs w:val="20"/>
        </w:rPr>
        <w:t>a</w:t>
      </w:r>
      <w:r w:rsidR="00413ECF" w:rsidRPr="003478AF">
        <w:rPr>
          <w:rFonts w:eastAsia="Arial" w:cs="Arial"/>
          <w:b/>
          <w:bCs/>
          <w:szCs w:val="20"/>
        </w:rPr>
        <w:t xml:space="preserve"> </w:t>
      </w:r>
      <w:r w:rsidRPr="003478AF">
        <w:rPr>
          <w:rFonts w:eastAsia="Arial" w:cs="Arial"/>
          <w:b/>
          <w:bCs/>
          <w:szCs w:val="20"/>
        </w:rPr>
        <w:t>rolne</w:t>
      </w:r>
    </w:p>
    <w:p w14:paraId="4A2D413C" w14:textId="5EF13C8C" w:rsidR="005F43F3" w:rsidRPr="003478AF" w:rsidRDefault="00190AF7" w:rsidP="005F43F3">
      <w:pPr>
        <w:rPr>
          <w:rFonts w:eastAsia="Arial" w:cs="Arial"/>
          <w:szCs w:val="20"/>
        </w:rPr>
      </w:pPr>
      <w:r w:rsidRPr="003478AF">
        <w:rPr>
          <w:rFonts w:eastAsia="Arial" w:cs="Arial"/>
          <w:szCs w:val="20"/>
        </w:rPr>
        <w:t xml:space="preserve">Analizowane w tym </w:t>
      </w:r>
      <w:r w:rsidR="00282A4C" w:rsidRPr="003478AF">
        <w:rPr>
          <w:rFonts w:eastAsia="Arial" w:cs="Arial"/>
          <w:szCs w:val="20"/>
        </w:rPr>
        <w:t xml:space="preserve">obszarze wskaźniki odnoszą się do </w:t>
      </w:r>
      <w:r w:rsidR="005F43F3" w:rsidRPr="003478AF">
        <w:rPr>
          <w:rFonts w:eastAsia="Arial" w:cs="Arial"/>
          <w:szCs w:val="20"/>
        </w:rPr>
        <w:t>gospodarstw</w:t>
      </w:r>
      <w:r w:rsidR="00282A4C" w:rsidRPr="003478AF">
        <w:rPr>
          <w:rFonts w:eastAsia="Arial" w:cs="Arial"/>
          <w:szCs w:val="20"/>
        </w:rPr>
        <w:t xml:space="preserve"> </w:t>
      </w:r>
      <w:r w:rsidR="005F43F3" w:rsidRPr="003478AF">
        <w:rPr>
          <w:rFonts w:eastAsia="Arial" w:cs="Arial"/>
          <w:szCs w:val="20"/>
        </w:rPr>
        <w:t xml:space="preserve">ekologicznych, czyli gospodarstw stosujących ekologiczne metody produkcji rolniczej, które posiadają certyfikat nadany przez jednostkę certyfikującą, a także </w:t>
      </w:r>
      <w:r w:rsidR="00282A4C" w:rsidRPr="003478AF">
        <w:rPr>
          <w:rFonts w:eastAsia="Arial" w:cs="Arial"/>
          <w:szCs w:val="20"/>
        </w:rPr>
        <w:t xml:space="preserve">do </w:t>
      </w:r>
      <w:r w:rsidR="005F43F3" w:rsidRPr="003478AF">
        <w:rPr>
          <w:rFonts w:eastAsia="Arial" w:cs="Arial"/>
          <w:szCs w:val="20"/>
        </w:rPr>
        <w:t xml:space="preserve">ekologicznych </w:t>
      </w:r>
      <w:r w:rsidR="00F54F9B" w:rsidRPr="003478AF">
        <w:rPr>
          <w:rFonts w:eastAsia="Arial" w:cs="Arial"/>
          <w:szCs w:val="20"/>
        </w:rPr>
        <w:t xml:space="preserve">użytków </w:t>
      </w:r>
      <w:r w:rsidR="005F43F3" w:rsidRPr="003478AF">
        <w:rPr>
          <w:rFonts w:eastAsia="Arial" w:cs="Arial"/>
          <w:szCs w:val="20"/>
        </w:rPr>
        <w:t>rolnych</w:t>
      </w:r>
      <w:r w:rsidRPr="003478AF">
        <w:rPr>
          <w:rFonts w:eastAsia="Arial" w:cs="Arial"/>
          <w:szCs w:val="20"/>
        </w:rPr>
        <w:t>, tj.</w:t>
      </w:r>
      <w:r w:rsidR="005F43F3" w:rsidRPr="003478AF">
        <w:rPr>
          <w:rFonts w:eastAsia="Arial" w:cs="Arial"/>
          <w:b/>
          <w:bCs/>
          <w:szCs w:val="20"/>
        </w:rPr>
        <w:t xml:space="preserve"> </w:t>
      </w:r>
      <w:r w:rsidRPr="003478AF">
        <w:rPr>
          <w:rFonts w:eastAsia="Arial" w:cs="Arial"/>
          <w:szCs w:val="20"/>
        </w:rPr>
        <w:t>użytk</w:t>
      </w:r>
      <w:r w:rsidR="00F54F9B" w:rsidRPr="003478AF">
        <w:rPr>
          <w:rFonts w:eastAsia="Arial" w:cs="Arial"/>
          <w:szCs w:val="20"/>
        </w:rPr>
        <w:t>ów</w:t>
      </w:r>
      <w:r w:rsidR="005F43F3" w:rsidRPr="003478AF">
        <w:rPr>
          <w:rFonts w:eastAsia="Arial" w:cs="Arial"/>
          <w:szCs w:val="20"/>
        </w:rPr>
        <w:t>, na których stosowane są ekologiczne metody produkcji.</w:t>
      </w:r>
    </w:p>
    <w:p w14:paraId="799C1263" w14:textId="5778418C" w:rsidR="001D3CAF" w:rsidRPr="003478AF" w:rsidRDefault="00BB34FF" w:rsidP="000B0CC2">
      <w:pPr>
        <w:pStyle w:val="NormalnyWeb"/>
        <w:rPr>
          <w:rFonts w:ascii="Arial" w:hAnsi="Arial" w:cs="Arial"/>
          <w:sz w:val="20"/>
          <w:szCs w:val="20"/>
        </w:rPr>
      </w:pPr>
      <w:r w:rsidRPr="003478AF">
        <w:rPr>
          <w:rFonts w:ascii="Arial" w:hAnsi="Arial" w:cs="Arial"/>
          <w:sz w:val="20"/>
          <w:szCs w:val="20"/>
        </w:rPr>
        <w:t xml:space="preserve">Zarówno w Polsce, jak i Wielkopolsce </w:t>
      </w:r>
      <w:r w:rsidR="00F54F9B" w:rsidRPr="003478AF">
        <w:rPr>
          <w:rFonts w:ascii="Arial" w:hAnsi="Arial" w:cs="Arial"/>
          <w:sz w:val="20"/>
          <w:szCs w:val="20"/>
        </w:rPr>
        <w:t xml:space="preserve">w latach 2010-2019 </w:t>
      </w:r>
      <w:r w:rsidRPr="003478AF">
        <w:rPr>
          <w:rFonts w:ascii="Arial" w:hAnsi="Arial" w:cs="Arial"/>
          <w:sz w:val="20"/>
          <w:szCs w:val="20"/>
        </w:rPr>
        <w:t>obserwowany był spadek powierzchni ekologicznych gospodarstw rolnych (</w:t>
      </w:r>
      <w:r w:rsidR="00381971" w:rsidRPr="003478AF">
        <w:rPr>
          <w:rFonts w:ascii="Arial" w:hAnsi="Arial" w:cs="Arial"/>
          <w:sz w:val="20"/>
          <w:szCs w:val="20"/>
        </w:rPr>
        <w:t>ryc.</w:t>
      </w:r>
      <w:r w:rsidRPr="003478AF">
        <w:rPr>
          <w:rFonts w:ascii="Arial" w:hAnsi="Arial" w:cs="Arial"/>
          <w:sz w:val="20"/>
          <w:szCs w:val="20"/>
        </w:rPr>
        <w:t xml:space="preserve"> 8.</w:t>
      </w:r>
      <w:r w:rsidR="00F91F56" w:rsidRPr="003478AF">
        <w:rPr>
          <w:rFonts w:ascii="Arial" w:hAnsi="Arial" w:cs="Arial"/>
          <w:sz w:val="20"/>
          <w:szCs w:val="20"/>
        </w:rPr>
        <w:t>52</w:t>
      </w:r>
      <w:r w:rsidR="00CA6A3E" w:rsidRPr="003478AF">
        <w:rPr>
          <w:rFonts w:ascii="Arial" w:hAnsi="Arial" w:cs="Arial"/>
          <w:sz w:val="20"/>
          <w:szCs w:val="20"/>
        </w:rPr>
        <w:t xml:space="preserve"> i</w:t>
      </w:r>
      <w:r w:rsidRPr="003478AF">
        <w:rPr>
          <w:rFonts w:ascii="Arial" w:hAnsi="Arial" w:cs="Arial"/>
          <w:sz w:val="20"/>
          <w:szCs w:val="20"/>
        </w:rPr>
        <w:t xml:space="preserve"> 8.</w:t>
      </w:r>
      <w:r w:rsidR="00F91F56" w:rsidRPr="003478AF">
        <w:rPr>
          <w:rFonts w:ascii="Arial" w:hAnsi="Arial" w:cs="Arial"/>
          <w:sz w:val="20"/>
          <w:szCs w:val="20"/>
        </w:rPr>
        <w:t>53</w:t>
      </w:r>
      <w:r w:rsidRPr="003478AF">
        <w:rPr>
          <w:rFonts w:ascii="Arial" w:hAnsi="Arial" w:cs="Arial"/>
          <w:sz w:val="20"/>
          <w:szCs w:val="20"/>
        </w:rPr>
        <w:t>). Natomiast u</w:t>
      </w:r>
      <w:r w:rsidR="00A24FFD" w:rsidRPr="003478AF">
        <w:rPr>
          <w:rFonts w:ascii="Arial" w:hAnsi="Arial" w:cs="Arial"/>
          <w:sz w:val="20"/>
          <w:szCs w:val="20"/>
        </w:rPr>
        <w:t>dział</w:t>
      </w:r>
      <w:r w:rsidR="000B0CC2" w:rsidRPr="003478AF">
        <w:rPr>
          <w:rFonts w:ascii="Arial" w:hAnsi="Arial" w:cs="Arial"/>
          <w:sz w:val="20"/>
          <w:szCs w:val="20"/>
        </w:rPr>
        <w:t xml:space="preserve"> </w:t>
      </w:r>
      <w:r w:rsidR="00031463" w:rsidRPr="003478AF">
        <w:rPr>
          <w:rFonts w:ascii="Arial" w:hAnsi="Arial" w:cs="Arial"/>
          <w:sz w:val="20"/>
          <w:szCs w:val="20"/>
        </w:rPr>
        <w:t xml:space="preserve">powierzchni użytków rolnych </w:t>
      </w:r>
      <w:r w:rsidR="009D7A0E" w:rsidRPr="003478AF">
        <w:rPr>
          <w:rFonts w:ascii="Arial" w:hAnsi="Arial" w:cs="Arial"/>
          <w:sz w:val="20"/>
          <w:szCs w:val="20"/>
        </w:rPr>
        <w:t xml:space="preserve">ekologicznych gospodarstw rolnych </w:t>
      </w:r>
      <w:r w:rsidR="00031463" w:rsidRPr="003478AF">
        <w:rPr>
          <w:rFonts w:ascii="Arial" w:hAnsi="Arial" w:cs="Arial"/>
          <w:sz w:val="20"/>
          <w:szCs w:val="20"/>
        </w:rPr>
        <w:t xml:space="preserve">w użytkach rolnych ogółem </w:t>
      </w:r>
      <w:r w:rsidR="0003334E" w:rsidRPr="003478AF">
        <w:rPr>
          <w:rFonts w:ascii="Arial" w:hAnsi="Arial" w:cs="Arial"/>
          <w:sz w:val="20"/>
          <w:szCs w:val="20"/>
        </w:rPr>
        <w:t>zwiększył się w Polsce</w:t>
      </w:r>
      <w:r w:rsidR="00197F82" w:rsidRPr="003478AF">
        <w:rPr>
          <w:rFonts w:ascii="Arial" w:hAnsi="Arial" w:cs="Arial"/>
          <w:sz w:val="20"/>
          <w:szCs w:val="20"/>
        </w:rPr>
        <w:t xml:space="preserve"> (z 2,1% do 2,7%)</w:t>
      </w:r>
      <w:r w:rsidR="0003334E" w:rsidRPr="003478AF">
        <w:rPr>
          <w:rFonts w:ascii="Arial" w:hAnsi="Arial" w:cs="Arial"/>
          <w:sz w:val="20"/>
          <w:szCs w:val="20"/>
        </w:rPr>
        <w:t xml:space="preserve">, </w:t>
      </w:r>
      <w:r w:rsidR="00973846" w:rsidRPr="003478AF">
        <w:rPr>
          <w:rFonts w:ascii="Arial" w:hAnsi="Arial" w:cs="Arial"/>
          <w:sz w:val="20"/>
          <w:szCs w:val="20"/>
        </w:rPr>
        <w:t xml:space="preserve">podczas gdy </w:t>
      </w:r>
      <w:r w:rsidR="0003334E" w:rsidRPr="003478AF">
        <w:rPr>
          <w:rFonts w:ascii="Arial" w:hAnsi="Arial" w:cs="Arial"/>
          <w:sz w:val="20"/>
          <w:szCs w:val="20"/>
        </w:rPr>
        <w:t xml:space="preserve">w </w:t>
      </w:r>
      <w:r w:rsidR="008A739F" w:rsidRPr="003478AF">
        <w:rPr>
          <w:rFonts w:ascii="Arial" w:hAnsi="Arial" w:cs="Arial"/>
          <w:sz w:val="20"/>
          <w:szCs w:val="20"/>
        </w:rPr>
        <w:t>Wielkopol</w:t>
      </w:r>
      <w:r w:rsidR="0003334E" w:rsidRPr="003478AF">
        <w:rPr>
          <w:rFonts w:ascii="Arial" w:hAnsi="Arial" w:cs="Arial"/>
          <w:sz w:val="20"/>
          <w:szCs w:val="20"/>
        </w:rPr>
        <w:t xml:space="preserve">sce </w:t>
      </w:r>
      <w:r w:rsidR="00527F30" w:rsidRPr="003478AF">
        <w:rPr>
          <w:rFonts w:ascii="Arial" w:hAnsi="Arial" w:cs="Arial"/>
          <w:sz w:val="20"/>
          <w:szCs w:val="20"/>
        </w:rPr>
        <w:t xml:space="preserve">kształtował się </w:t>
      </w:r>
      <w:r w:rsidR="00F77440" w:rsidRPr="003478AF">
        <w:rPr>
          <w:rFonts w:ascii="Arial" w:hAnsi="Arial" w:cs="Arial"/>
          <w:sz w:val="20"/>
          <w:szCs w:val="20"/>
        </w:rPr>
        <w:t>w 2019 roku</w:t>
      </w:r>
      <w:r w:rsidR="00031463" w:rsidRPr="003478AF">
        <w:rPr>
          <w:rFonts w:ascii="Arial" w:hAnsi="Arial" w:cs="Arial"/>
          <w:sz w:val="20"/>
          <w:szCs w:val="20"/>
        </w:rPr>
        <w:t xml:space="preserve"> </w:t>
      </w:r>
      <w:r w:rsidR="0003334E" w:rsidRPr="003478AF">
        <w:rPr>
          <w:rFonts w:ascii="Arial" w:hAnsi="Arial" w:cs="Arial"/>
          <w:sz w:val="20"/>
          <w:szCs w:val="20"/>
        </w:rPr>
        <w:t xml:space="preserve">na </w:t>
      </w:r>
      <w:r w:rsidR="005461F4" w:rsidRPr="003478AF">
        <w:rPr>
          <w:rFonts w:ascii="Arial" w:hAnsi="Arial" w:cs="Arial"/>
          <w:sz w:val="20"/>
          <w:szCs w:val="20"/>
        </w:rPr>
        <w:t xml:space="preserve">takim </w:t>
      </w:r>
      <w:r w:rsidR="0003334E" w:rsidRPr="003478AF">
        <w:rPr>
          <w:rFonts w:ascii="Arial" w:hAnsi="Arial" w:cs="Arial"/>
          <w:sz w:val="20"/>
          <w:szCs w:val="20"/>
        </w:rPr>
        <w:t>samym poziomie</w:t>
      </w:r>
      <w:r w:rsidR="00F77440" w:rsidRPr="003478AF">
        <w:rPr>
          <w:rFonts w:ascii="Arial" w:hAnsi="Arial" w:cs="Arial"/>
          <w:sz w:val="20"/>
          <w:szCs w:val="20"/>
        </w:rPr>
        <w:t xml:space="preserve"> </w:t>
      </w:r>
      <w:r w:rsidR="005461F4" w:rsidRPr="003478AF">
        <w:rPr>
          <w:rFonts w:ascii="Arial" w:hAnsi="Arial" w:cs="Arial"/>
          <w:sz w:val="20"/>
          <w:szCs w:val="20"/>
        </w:rPr>
        <w:t>jak w</w:t>
      </w:r>
      <w:r w:rsidR="00F77440" w:rsidRPr="003478AF">
        <w:rPr>
          <w:rFonts w:ascii="Arial" w:hAnsi="Arial" w:cs="Arial"/>
          <w:sz w:val="20"/>
          <w:szCs w:val="20"/>
        </w:rPr>
        <w:t xml:space="preserve"> 2010 roku</w:t>
      </w:r>
      <w:r w:rsidR="00197F82" w:rsidRPr="003478AF">
        <w:rPr>
          <w:rFonts w:ascii="Arial" w:hAnsi="Arial" w:cs="Arial"/>
          <w:sz w:val="20"/>
          <w:szCs w:val="20"/>
        </w:rPr>
        <w:t xml:space="preserve"> –1,2%</w:t>
      </w:r>
      <w:r w:rsidR="0003334E" w:rsidRPr="003478AF">
        <w:rPr>
          <w:rFonts w:ascii="Arial" w:hAnsi="Arial" w:cs="Arial"/>
          <w:sz w:val="20"/>
          <w:szCs w:val="20"/>
        </w:rPr>
        <w:t xml:space="preserve"> </w:t>
      </w:r>
      <w:r w:rsidRPr="003478AF">
        <w:rPr>
          <w:rFonts w:ascii="Arial" w:hAnsi="Arial" w:cs="Arial"/>
          <w:sz w:val="20"/>
          <w:szCs w:val="20"/>
        </w:rPr>
        <w:t>(</w:t>
      </w:r>
      <w:r w:rsidR="00381971" w:rsidRPr="003478AF">
        <w:rPr>
          <w:rFonts w:ascii="Arial" w:hAnsi="Arial" w:cs="Arial"/>
          <w:sz w:val="20"/>
          <w:szCs w:val="20"/>
        </w:rPr>
        <w:t>ryc.</w:t>
      </w:r>
      <w:r w:rsidRPr="003478AF">
        <w:rPr>
          <w:rFonts w:ascii="Arial" w:hAnsi="Arial" w:cs="Arial"/>
          <w:sz w:val="20"/>
          <w:szCs w:val="20"/>
        </w:rPr>
        <w:t xml:space="preserve"> 8.</w:t>
      </w:r>
      <w:r w:rsidR="00F91F56" w:rsidRPr="003478AF">
        <w:rPr>
          <w:rFonts w:ascii="Arial" w:hAnsi="Arial" w:cs="Arial"/>
          <w:sz w:val="20"/>
          <w:szCs w:val="20"/>
        </w:rPr>
        <w:t>54</w:t>
      </w:r>
      <w:r w:rsidRPr="003478AF">
        <w:rPr>
          <w:rFonts w:ascii="Arial" w:hAnsi="Arial" w:cs="Arial"/>
          <w:sz w:val="20"/>
          <w:szCs w:val="20"/>
        </w:rPr>
        <w:t>)</w:t>
      </w:r>
      <w:r w:rsidR="0003334E" w:rsidRPr="003478AF">
        <w:rPr>
          <w:rFonts w:ascii="Arial" w:hAnsi="Arial" w:cs="Arial"/>
          <w:sz w:val="20"/>
          <w:szCs w:val="20"/>
        </w:rPr>
        <w:t>.</w:t>
      </w:r>
      <w:r w:rsidRPr="003478AF">
        <w:rPr>
          <w:rFonts w:ascii="Arial" w:hAnsi="Arial" w:cs="Arial"/>
          <w:sz w:val="20"/>
          <w:szCs w:val="20"/>
        </w:rPr>
        <w:t xml:space="preserve"> </w:t>
      </w:r>
    </w:p>
    <w:p w14:paraId="31D2B068" w14:textId="7AC66636" w:rsidR="00BB34FF" w:rsidRPr="003478AF" w:rsidRDefault="00BB34FF" w:rsidP="000B0CC2">
      <w:pPr>
        <w:pStyle w:val="NormalnyWeb"/>
        <w:rPr>
          <w:rFonts w:ascii="Arial" w:hAnsi="Arial" w:cs="Arial"/>
          <w:sz w:val="20"/>
          <w:szCs w:val="20"/>
        </w:rPr>
      </w:pPr>
    </w:p>
    <w:p w14:paraId="6DC59289" w14:textId="7959E93E" w:rsidR="00BB34FF" w:rsidRPr="003478AF" w:rsidRDefault="00BB34FF" w:rsidP="00E6136F">
      <w:pPr>
        <w:pStyle w:val="NormalnyWeb"/>
        <w:ind w:firstLine="0"/>
        <w:jc w:val="left"/>
        <w:rPr>
          <w:rFonts w:ascii="Arial" w:hAnsi="Arial" w:cs="Arial"/>
          <w:b/>
          <w:bCs/>
          <w:sz w:val="16"/>
          <w:szCs w:val="16"/>
        </w:rPr>
      </w:pPr>
      <w:r w:rsidRPr="003478AF">
        <w:rPr>
          <w:rFonts w:ascii="Arial" w:hAnsi="Arial" w:cs="Arial"/>
          <w:b/>
          <w:bCs/>
          <w:sz w:val="16"/>
          <w:szCs w:val="16"/>
        </w:rPr>
        <w:t>Ryc. 8.</w:t>
      </w:r>
      <w:r w:rsidR="00F91F56" w:rsidRPr="003478AF">
        <w:rPr>
          <w:rFonts w:ascii="Arial" w:hAnsi="Arial" w:cs="Arial"/>
          <w:b/>
          <w:bCs/>
          <w:sz w:val="16"/>
          <w:szCs w:val="16"/>
        </w:rPr>
        <w:t>52</w:t>
      </w:r>
      <w:r w:rsidRPr="003478AF">
        <w:rPr>
          <w:rFonts w:ascii="Arial" w:hAnsi="Arial" w:cs="Arial"/>
          <w:b/>
          <w:bCs/>
          <w:sz w:val="16"/>
          <w:szCs w:val="16"/>
        </w:rPr>
        <w:t xml:space="preserve"> P</w:t>
      </w:r>
      <w:r w:rsidRPr="003478AF">
        <w:rPr>
          <w:rFonts w:ascii="Arial" w:eastAsia="Times New Roman" w:hAnsi="Arial" w:cs="Arial"/>
          <w:b/>
          <w:bCs/>
          <w:sz w:val="16"/>
          <w:szCs w:val="16"/>
          <w:lang w:eastAsia="pl-PL"/>
        </w:rPr>
        <w:t>owierzchni</w:t>
      </w:r>
      <w:r w:rsidRPr="003478AF">
        <w:rPr>
          <w:rFonts w:ascii="Arial" w:hAnsi="Arial" w:cs="Arial"/>
          <w:b/>
          <w:bCs/>
          <w:sz w:val="16"/>
          <w:szCs w:val="16"/>
        </w:rPr>
        <w:t>a ekologicznych gospodarstw rolnych w Polsce w latach 2010-2019 (tys. ha)</w:t>
      </w:r>
    </w:p>
    <w:p w14:paraId="2A03F499" w14:textId="77777777" w:rsidR="00B273FC" w:rsidRPr="003478AF" w:rsidRDefault="00B273FC" w:rsidP="00E6136F">
      <w:pPr>
        <w:pStyle w:val="NormalnyWeb"/>
        <w:ind w:firstLine="0"/>
        <w:jc w:val="center"/>
        <w:rPr>
          <w:rFonts w:ascii="Arial" w:hAnsi="Arial" w:cs="Arial"/>
          <w:b/>
          <w:bCs/>
          <w:sz w:val="16"/>
          <w:szCs w:val="16"/>
        </w:rPr>
      </w:pPr>
      <w:r w:rsidRPr="003478AF">
        <w:rPr>
          <w:rFonts w:ascii="Arial" w:hAnsi="Arial" w:cs="Arial"/>
          <w:b/>
          <w:bCs/>
          <w:noProof/>
          <w:sz w:val="16"/>
          <w:szCs w:val="16"/>
          <w:lang w:eastAsia="pl-PL"/>
        </w:rPr>
        <w:drawing>
          <wp:inline distT="0" distB="0" distL="0" distR="0" wp14:anchorId="7127C387" wp14:editId="6A0F7F6B">
            <wp:extent cx="4284000" cy="2403075"/>
            <wp:effectExtent l="0" t="0" r="2540" b="0"/>
            <wp:docPr id="99" name="Obraz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4284000" cy="2403075"/>
                    </a:xfrm>
                    <a:prstGeom prst="rect">
                      <a:avLst/>
                    </a:prstGeom>
                    <a:noFill/>
                  </pic:spPr>
                </pic:pic>
              </a:graphicData>
            </a:graphic>
          </wp:inline>
        </w:drawing>
      </w:r>
    </w:p>
    <w:p w14:paraId="3669F382" w14:textId="072A595C" w:rsidR="00B273FC" w:rsidRPr="003478AF" w:rsidRDefault="00B273FC" w:rsidP="00986D40">
      <w:pPr>
        <w:pStyle w:val="AZRODLO"/>
      </w:pPr>
      <w:r w:rsidRPr="003478AF">
        <w:t>Źródło: Opracowanie własne na podstawie danych BDL</w:t>
      </w:r>
    </w:p>
    <w:p w14:paraId="002893AE" w14:textId="77777777" w:rsidR="00B273FC" w:rsidRPr="003478AF" w:rsidRDefault="00B273FC" w:rsidP="000B0CC2">
      <w:pPr>
        <w:pStyle w:val="NormalnyWeb"/>
        <w:rPr>
          <w:rFonts w:ascii="Arial" w:hAnsi="Arial" w:cs="Arial"/>
          <w:b/>
          <w:bCs/>
          <w:sz w:val="16"/>
          <w:szCs w:val="16"/>
        </w:rPr>
      </w:pPr>
    </w:p>
    <w:p w14:paraId="4B9BAEBF" w14:textId="59A54319" w:rsidR="00A72DDE" w:rsidRPr="003478AF" w:rsidRDefault="00BB34FF" w:rsidP="00986D40">
      <w:pPr>
        <w:pStyle w:val="ARYCINA"/>
        <w:rPr>
          <w:lang w:eastAsia="pl-PL"/>
        </w:rPr>
      </w:pPr>
      <w:r w:rsidRPr="003478AF">
        <w:t>Ryc. 8.</w:t>
      </w:r>
      <w:r w:rsidR="00F91F56" w:rsidRPr="003478AF">
        <w:t>53</w:t>
      </w:r>
      <w:r w:rsidRPr="003478AF">
        <w:t xml:space="preserve"> </w:t>
      </w:r>
      <w:r w:rsidRPr="003478AF">
        <w:rPr>
          <w:lang w:eastAsia="pl-PL"/>
        </w:rPr>
        <w:t xml:space="preserve">Powierzchnia ekologicznych gospodarstw rolnych </w:t>
      </w:r>
      <w:r w:rsidR="0023610D" w:rsidRPr="003478AF">
        <w:t>w województwie wielkopolskim</w:t>
      </w:r>
      <w:r w:rsidR="0023610D" w:rsidRPr="003478AF">
        <w:rPr>
          <w:lang w:eastAsia="pl-PL"/>
        </w:rPr>
        <w:t xml:space="preserve"> </w:t>
      </w:r>
      <w:r w:rsidR="00A72DDE" w:rsidRPr="003478AF">
        <w:rPr>
          <w:lang w:eastAsia="pl-PL"/>
        </w:rPr>
        <w:br/>
      </w:r>
      <w:r w:rsidRPr="003478AF">
        <w:rPr>
          <w:lang w:eastAsia="pl-PL"/>
        </w:rPr>
        <w:t>w latach 2010-2019 (tys. ha)</w:t>
      </w:r>
    </w:p>
    <w:p w14:paraId="3FB3376D" w14:textId="50C85571" w:rsidR="00B273FC" w:rsidRPr="003478AF" w:rsidRDefault="00B273FC" w:rsidP="00986D40">
      <w:pPr>
        <w:pStyle w:val="ARYCINA"/>
      </w:pPr>
      <w:r w:rsidRPr="003478AF">
        <w:rPr>
          <w:noProof/>
          <w:lang w:eastAsia="pl-PL"/>
        </w:rPr>
        <w:drawing>
          <wp:inline distT="0" distB="0" distL="0" distR="0" wp14:anchorId="42D5D8E5" wp14:editId="7098B4A7">
            <wp:extent cx="4284000" cy="2545479"/>
            <wp:effectExtent l="0" t="0" r="2540" b="7620"/>
            <wp:docPr id="107" name="Obraz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4284000" cy="2545479"/>
                    </a:xfrm>
                    <a:prstGeom prst="rect">
                      <a:avLst/>
                    </a:prstGeom>
                    <a:noFill/>
                  </pic:spPr>
                </pic:pic>
              </a:graphicData>
            </a:graphic>
          </wp:inline>
        </w:drawing>
      </w:r>
    </w:p>
    <w:p w14:paraId="40512CF9" w14:textId="7EB2C202" w:rsidR="00B273FC" w:rsidRPr="003478AF" w:rsidRDefault="00B273FC" w:rsidP="00986D40">
      <w:pPr>
        <w:pStyle w:val="AZRODLO"/>
      </w:pPr>
      <w:r w:rsidRPr="003478AF">
        <w:t>Źródło: Opracowanie własne na podstawie danych BDL</w:t>
      </w:r>
    </w:p>
    <w:p w14:paraId="4B14B7AE" w14:textId="60E5D957" w:rsidR="00F91F56" w:rsidRPr="003478AF" w:rsidRDefault="000714C1" w:rsidP="0023610D">
      <w:pPr>
        <w:spacing w:line="240" w:lineRule="auto"/>
        <w:ind w:firstLine="0"/>
        <w:jc w:val="center"/>
        <w:rPr>
          <w:rFonts w:cs="Arial"/>
          <w:b/>
          <w:bCs/>
          <w:sz w:val="16"/>
          <w:szCs w:val="16"/>
        </w:rPr>
      </w:pPr>
      <w:bookmarkStart w:id="90" w:name="_Hlk76628445"/>
      <w:r w:rsidRPr="003478AF">
        <w:rPr>
          <w:rFonts w:cs="Arial"/>
          <w:b/>
          <w:bCs/>
          <w:sz w:val="16"/>
          <w:szCs w:val="16"/>
        </w:rPr>
        <w:lastRenderedPageBreak/>
        <w:t>Ryc.</w:t>
      </w:r>
      <w:r w:rsidR="003F5D1A" w:rsidRPr="003478AF">
        <w:rPr>
          <w:rFonts w:cs="Arial"/>
          <w:b/>
          <w:bCs/>
          <w:sz w:val="16"/>
          <w:szCs w:val="16"/>
        </w:rPr>
        <w:t xml:space="preserve"> 8.</w:t>
      </w:r>
      <w:r w:rsidR="00BB34FF" w:rsidRPr="003478AF">
        <w:rPr>
          <w:rFonts w:cs="Arial"/>
          <w:b/>
          <w:bCs/>
          <w:sz w:val="16"/>
          <w:szCs w:val="16"/>
        </w:rPr>
        <w:t>5</w:t>
      </w:r>
      <w:r w:rsidR="00F91F56" w:rsidRPr="003478AF">
        <w:rPr>
          <w:rFonts w:cs="Arial"/>
          <w:b/>
          <w:bCs/>
          <w:sz w:val="16"/>
          <w:szCs w:val="16"/>
        </w:rPr>
        <w:t>4</w:t>
      </w:r>
      <w:r w:rsidRPr="003478AF">
        <w:rPr>
          <w:rFonts w:cs="Arial"/>
          <w:b/>
          <w:bCs/>
          <w:sz w:val="16"/>
          <w:szCs w:val="16"/>
        </w:rPr>
        <w:t xml:space="preserve"> </w:t>
      </w:r>
      <w:bookmarkEnd w:id="90"/>
      <w:r w:rsidR="008A739F" w:rsidRPr="003478AF">
        <w:rPr>
          <w:rFonts w:eastAsia="Times New Roman" w:cs="Arial"/>
          <w:b/>
          <w:bCs/>
          <w:sz w:val="16"/>
          <w:szCs w:val="16"/>
          <w:lang w:eastAsia="pl-PL"/>
        </w:rPr>
        <w:t xml:space="preserve">Udział powierzchni użytków rolnych ekologicznych gospodarstw rolnych z certyfikatem </w:t>
      </w:r>
      <w:r w:rsidR="009316AA" w:rsidRPr="003478AF">
        <w:rPr>
          <w:rFonts w:eastAsia="Times New Roman" w:cs="Arial"/>
          <w:b/>
          <w:bCs/>
          <w:sz w:val="16"/>
          <w:szCs w:val="16"/>
          <w:lang w:eastAsia="pl-PL"/>
        </w:rPr>
        <w:br/>
      </w:r>
      <w:r w:rsidR="008A739F" w:rsidRPr="003478AF">
        <w:rPr>
          <w:rFonts w:eastAsia="Times New Roman" w:cs="Arial"/>
          <w:b/>
          <w:bCs/>
          <w:sz w:val="16"/>
          <w:szCs w:val="16"/>
          <w:lang w:eastAsia="pl-PL"/>
        </w:rPr>
        <w:t xml:space="preserve">w użytkach rolnych ogółem (%) </w:t>
      </w:r>
      <w:r w:rsidR="008A739F" w:rsidRPr="003478AF">
        <w:rPr>
          <w:rFonts w:cs="Arial"/>
          <w:b/>
          <w:bCs/>
          <w:sz w:val="16"/>
          <w:szCs w:val="16"/>
        </w:rPr>
        <w:t>w Polsce i Wielkopolsce w latach 2010-2019</w:t>
      </w:r>
    </w:p>
    <w:p w14:paraId="7AE8FD15" w14:textId="0937B377" w:rsidR="00413ECF" w:rsidRPr="003478AF" w:rsidRDefault="006E6BE0" w:rsidP="003710AF">
      <w:pPr>
        <w:spacing w:line="240" w:lineRule="auto"/>
        <w:ind w:firstLine="0"/>
        <w:jc w:val="center"/>
      </w:pPr>
      <w:r w:rsidRPr="003478AF">
        <w:rPr>
          <w:noProof/>
          <w:lang w:eastAsia="pl-PL"/>
        </w:rPr>
        <w:drawing>
          <wp:inline distT="0" distB="0" distL="0" distR="0" wp14:anchorId="3EA474DA" wp14:editId="1900E1C1">
            <wp:extent cx="5256000" cy="3202993"/>
            <wp:effectExtent l="0" t="0" r="1905" b="0"/>
            <wp:docPr id="149" name="Obraz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5256000" cy="3202993"/>
                    </a:xfrm>
                    <a:prstGeom prst="rect">
                      <a:avLst/>
                    </a:prstGeom>
                    <a:noFill/>
                  </pic:spPr>
                </pic:pic>
              </a:graphicData>
            </a:graphic>
          </wp:inline>
        </w:drawing>
      </w:r>
    </w:p>
    <w:p w14:paraId="6124D21C" w14:textId="2AC9D1A5" w:rsidR="00FF0262" w:rsidRPr="003478AF" w:rsidRDefault="00FF0262" w:rsidP="00986D40">
      <w:pPr>
        <w:pStyle w:val="AZRODLO"/>
      </w:pPr>
      <w:r w:rsidRPr="003478AF">
        <w:t>Źródło: Opracowanie własne na podstawie danych BDL</w:t>
      </w:r>
    </w:p>
    <w:p w14:paraId="491A8243" w14:textId="19043137" w:rsidR="00413ECF" w:rsidRPr="003478AF" w:rsidRDefault="00413ECF" w:rsidP="00986D40">
      <w:pPr>
        <w:pStyle w:val="AZRODLO"/>
      </w:pPr>
    </w:p>
    <w:p w14:paraId="4FA7ABDA" w14:textId="5695CEF5" w:rsidR="005F43F3" w:rsidRPr="003478AF" w:rsidRDefault="005F43F3" w:rsidP="00E6136F">
      <w:pPr>
        <w:spacing w:line="240" w:lineRule="auto"/>
        <w:ind w:firstLine="0"/>
        <w:jc w:val="left"/>
        <w:rPr>
          <w:b/>
          <w:bCs/>
        </w:rPr>
      </w:pPr>
      <w:r w:rsidRPr="003478AF">
        <w:rPr>
          <w:b/>
          <w:bCs/>
        </w:rPr>
        <w:t>Wynalazki i patenty</w:t>
      </w:r>
    </w:p>
    <w:p w14:paraId="6BC62E08" w14:textId="0CA0FDBF" w:rsidR="00F91F56" w:rsidRPr="003478AF" w:rsidRDefault="00A24FFD" w:rsidP="00A72DDE">
      <w:r w:rsidRPr="003478AF">
        <w:rPr>
          <w:rFonts w:eastAsia="Arial" w:cs="Arial"/>
          <w:szCs w:val="20"/>
        </w:rPr>
        <w:t xml:space="preserve">Do wskaźników wpisujących się w GOZ można również </w:t>
      </w:r>
      <w:r w:rsidR="00D34635" w:rsidRPr="003478AF">
        <w:rPr>
          <w:rFonts w:eastAsia="Arial" w:cs="Arial"/>
          <w:szCs w:val="20"/>
        </w:rPr>
        <w:t>wpisać</w:t>
      </w:r>
      <w:r w:rsidRPr="003478AF">
        <w:rPr>
          <w:rFonts w:eastAsia="Arial" w:cs="Arial"/>
          <w:szCs w:val="20"/>
        </w:rPr>
        <w:t xml:space="preserve"> te dotyczące wynalazków oraz patentów w ochronie środowiska zgłoszonych do UPRP w obszarze technologii ochrony środowiska. </w:t>
      </w:r>
      <w:r w:rsidR="00E806C5" w:rsidRPr="003478AF">
        <w:rPr>
          <w:rFonts w:eastAsia="Arial" w:cs="Arial"/>
          <w:szCs w:val="20"/>
        </w:rPr>
        <w:t xml:space="preserve">Ich liczba w poszczególnych latach analizowanego okresu wykazywała zróżnicowanie </w:t>
      </w:r>
      <w:r w:rsidR="00B273FC" w:rsidRPr="003478AF">
        <w:rPr>
          <w:rFonts w:eastAsia="Arial" w:cs="Arial"/>
          <w:szCs w:val="20"/>
        </w:rPr>
        <w:t>(</w:t>
      </w:r>
      <w:r w:rsidR="00381971" w:rsidRPr="003478AF">
        <w:rPr>
          <w:rFonts w:eastAsia="Arial" w:cs="Arial"/>
          <w:szCs w:val="20"/>
        </w:rPr>
        <w:t>ryc.</w:t>
      </w:r>
      <w:r w:rsidR="00B273FC" w:rsidRPr="003478AF">
        <w:rPr>
          <w:rFonts w:eastAsia="Arial" w:cs="Arial"/>
          <w:szCs w:val="20"/>
        </w:rPr>
        <w:t xml:space="preserve"> 8.5</w:t>
      </w:r>
      <w:r w:rsidR="00F91F56" w:rsidRPr="003478AF">
        <w:rPr>
          <w:rFonts w:eastAsia="Arial" w:cs="Arial"/>
          <w:szCs w:val="20"/>
        </w:rPr>
        <w:t>5</w:t>
      </w:r>
      <w:r w:rsidR="00421AD9" w:rsidRPr="003478AF">
        <w:rPr>
          <w:rFonts w:eastAsia="Arial" w:cs="Arial"/>
          <w:szCs w:val="20"/>
        </w:rPr>
        <w:t xml:space="preserve"> i</w:t>
      </w:r>
      <w:r w:rsidR="00B273FC" w:rsidRPr="003478AF">
        <w:rPr>
          <w:rFonts w:eastAsia="Arial" w:cs="Arial"/>
          <w:szCs w:val="20"/>
        </w:rPr>
        <w:t xml:space="preserve"> 8.5</w:t>
      </w:r>
      <w:r w:rsidR="00F91F56" w:rsidRPr="003478AF">
        <w:rPr>
          <w:rFonts w:eastAsia="Arial" w:cs="Arial"/>
          <w:szCs w:val="20"/>
        </w:rPr>
        <w:t>6</w:t>
      </w:r>
      <w:r w:rsidR="00B273FC" w:rsidRPr="003478AF">
        <w:rPr>
          <w:rFonts w:eastAsia="Arial" w:cs="Arial"/>
          <w:szCs w:val="20"/>
        </w:rPr>
        <w:t>)</w:t>
      </w:r>
      <w:r w:rsidRPr="003478AF">
        <w:rPr>
          <w:rFonts w:eastAsia="Arial" w:cs="Arial"/>
          <w:szCs w:val="20"/>
        </w:rPr>
        <w:t xml:space="preserve">. </w:t>
      </w:r>
      <w:r w:rsidR="00063F8D" w:rsidRPr="003478AF">
        <w:rPr>
          <w:rFonts w:eastAsia="Arial" w:cs="Arial"/>
          <w:szCs w:val="20"/>
        </w:rPr>
        <w:t>W Wielkopolsce</w:t>
      </w:r>
      <w:r w:rsidR="00E63AC6" w:rsidRPr="003478AF">
        <w:rPr>
          <w:rFonts w:eastAsia="Arial" w:cs="Arial"/>
          <w:szCs w:val="20"/>
        </w:rPr>
        <w:t xml:space="preserve"> w </w:t>
      </w:r>
      <w:r w:rsidR="00421AD9" w:rsidRPr="003478AF">
        <w:rPr>
          <w:rFonts w:eastAsia="Arial" w:cs="Arial"/>
          <w:szCs w:val="20"/>
        </w:rPr>
        <w:t>latach 2010-2019</w:t>
      </w:r>
      <w:r w:rsidR="00063F8D" w:rsidRPr="003478AF">
        <w:rPr>
          <w:rFonts w:eastAsia="Arial" w:cs="Arial"/>
          <w:szCs w:val="20"/>
        </w:rPr>
        <w:t xml:space="preserve"> </w:t>
      </w:r>
      <w:r w:rsidR="00E63AC6" w:rsidRPr="003478AF">
        <w:rPr>
          <w:rFonts w:eastAsia="Arial" w:cs="Arial"/>
          <w:szCs w:val="20"/>
        </w:rPr>
        <w:t>liczba</w:t>
      </w:r>
      <w:r w:rsidR="00063F8D" w:rsidRPr="003478AF">
        <w:rPr>
          <w:rFonts w:eastAsia="Arial" w:cs="Arial"/>
          <w:szCs w:val="20"/>
        </w:rPr>
        <w:t xml:space="preserve"> </w:t>
      </w:r>
      <w:r w:rsidR="00E63AC6" w:rsidRPr="003478AF">
        <w:rPr>
          <w:rFonts w:eastAsia="Arial" w:cs="Arial"/>
          <w:szCs w:val="20"/>
        </w:rPr>
        <w:t xml:space="preserve">zgłoszonych </w:t>
      </w:r>
      <w:r w:rsidR="00421AD9" w:rsidRPr="003478AF">
        <w:rPr>
          <w:rFonts w:eastAsia="Arial" w:cs="Arial"/>
          <w:szCs w:val="20"/>
        </w:rPr>
        <w:t>w ciągu</w:t>
      </w:r>
      <w:r w:rsidR="00421AD9" w:rsidRPr="003478AF">
        <w:t xml:space="preserve"> roku </w:t>
      </w:r>
      <w:r w:rsidR="00063F8D" w:rsidRPr="003478AF">
        <w:t xml:space="preserve">patentów </w:t>
      </w:r>
      <w:r w:rsidR="00B273FC" w:rsidRPr="003478AF">
        <w:t xml:space="preserve">wahała się </w:t>
      </w:r>
      <w:r w:rsidR="00A13B37" w:rsidRPr="003478AF">
        <w:t>między</w:t>
      </w:r>
      <w:r w:rsidR="00B273FC" w:rsidRPr="003478AF">
        <w:t xml:space="preserve"> </w:t>
      </w:r>
      <w:r w:rsidR="00E63AC6" w:rsidRPr="003478AF">
        <w:t>2</w:t>
      </w:r>
      <w:r w:rsidR="00B273FC" w:rsidRPr="003478AF">
        <w:t xml:space="preserve"> a </w:t>
      </w:r>
      <w:r w:rsidR="00E63AC6" w:rsidRPr="003478AF">
        <w:t xml:space="preserve">15; </w:t>
      </w:r>
      <w:r w:rsidR="00B273FC" w:rsidRPr="003478AF">
        <w:t xml:space="preserve">natomiast liczba </w:t>
      </w:r>
      <w:r w:rsidR="00421AD9" w:rsidRPr="003478AF">
        <w:t xml:space="preserve">zgłoszonych </w:t>
      </w:r>
      <w:r w:rsidR="00E63AC6" w:rsidRPr="003478AF">
        <w:t xml:space="preserve">wynalazków </w:t>
      </w:r>
      <w:r w:rsidR="00421AD9" w:rsidRPr="003478AF">
        <w:t xml:space="preserve">kształtowała się na poziomie </w:t>
      </w:r>
      <w:r w:rsidR="00E63AC6" w:rsidRPr="003478AF">
        <w:t>od 5 do 1</w:t>
      </w:r>
      <w:r w:rsidR="00B273FC" w:rsidRPr="003478AF">
        <w:t>4</w:t>
      </w:r>
      <w:r w:rsidR="00063F8D" w:rsidRPr="003478AF">
        <w:t>.</w:t>
      </w:r>
      <w:r w:rsidR="00E63AC6" w:rsidRPr="003478AF">
        <w:t xml:space="preserve"> </w:t>
      </w:r>
      <w:r w:rsidR="00FE66EB" w:rsidRPr="003478AF">
        <w:t>W 2019 roku ich u</w:t>
      </w:r>
      <w:r w:rsidR="00E63AC6" w:rsidRPr="003478AF">
        <w:t>dział</w:t>
      </w:r>
      <w:r w:rsidR="00CC7ECE" w:rsidRPr="003478AF">
        <w:t xml:space="preserve"> </w:t>
      </w:r>
      <w:r w:rsidR="00FE66EB" w:rsidRPr="003478AF">
        <w:t xml:space="preserve">w </w:t>
      </w:r>
      <w:r w:rsidR="00421AD9" w:rsidRPr="003478AF">
        <w:t xml:space="preserve">ogólnej liczbie </w:t>
      </w:r>
      <w:r w:rsidR="00FE66EB" w:rsidRPr="003478AF">
        <w:t>zgłoszonych w Polsce</w:t>
      </w:r>
      <w:r w:rsidR="00421AD9" w:rsidRPr="003478AF">
        <w:t xml:space="preserve"> patentów oraz wynalazków</w:t>
      </w:r>
      <w:r w:rsidR="00FE66EB" w:rsidRPr="003478AF">
        <w:t xml:space="preserve"> wyniósł odpowiednio 6% i 10%.</w:t>
      </w:r>
    </w:p>
    <w:p w14:paraId="23A2E52A" w14:textId="06A1414B" w:rsidR="00A72DDE" w:rsidRPr="003478AF" w:rsidRDefault="00A72DDE" w:rsidP="00A72DDE"/>
    <w:p w14:paraId="76DF6B35" w14:textId="77777777" w:rsidR="009316AA" w:rsidRPr="003478AF" w:rsidRDefault="009316AA">
      <w:pPr>
        <w:spacing w:line="240" w:lineRule="auto"/>
        <w:ind w:firstLine="0"/>
        <w:jc w:val="left"/>
        <w:rPr>
          <w:rFonts w:eastAsia="Arial" w:cs="Arial"/>
          <w:b/>
          <w:bCs/>
          <w:sz w:val="16"/>
          <w:szCs w:val="16"/>
        </w:rPr>
      </w:pPr>
      <w:r w:rsidRPr="003478AF">
        <w:br w:type="page"/>
      </w:r>
    </w:p>
    <w:p w14:paraId="5280EF63" w14:textId="7A53AB4C" w:rsidR="00D34635" w:rsidRPr="003478AF" w:rsidRDefault="00D34635" w:rsidP="00986D40">
      <w:pPr>
        <w:pStyle w:val="ARYCINA"/>
      </w:pPr>
      <w:r w:rsidRPr="003478AF">
        <w:lastRenderedPageBreak/>
        <w:t>Ryc. 8.</w:t>
      </w:r>
      <w:r w:rsidR="00B273FC" w:rsidRPr="003478AF">
        <w:t>5</w:t>
      </w:r>
      <w:r w:rsidR="00F91F56" w:rsidRPr="003478AF">
        <w:t>5</w:t>
      </w:r>
      <w:r w:rsidRPr="003478AF">
        <w:t xml:space="preserve"> Liczba wynalazków i patentów zgłoszone do UPRP w obszarze Technologii Ochrony Środowiska </w:t>
      </w:r>
      <w:r w:rsidR="002F276C" w:rsidRPr="003478AF">
        <w:t>w </w:t>
      </w:r>
      <w:r w:rsidRPr="003478AF">
        <w:t>Polsce w latach 2010-2019</w:t>
      </w:r>
    </w:p>
    <w:p w14:paraId="376C9DC7" w14:textId="77777777" w:rsidR="00D34635" w:rsidRPr="003478AF" w:rsidRDefault="00D34635" w:rsidP="00986D40">
      <w:pPr>
        <w:pStyle w:val="ARYCINA"/>
      </w:pPr>
      <w:r w:rsidRPr="003478AF">
        <w:rPr>
          <w:noProof/>
          <w:lang w:eastAsia="pl-PL"/>
        </w:rPr>
        <w:drawing>
          <wp:inline distT="0" distB="0" distL="0" distR="0" wp14:anchorId="27503F42" wp14:editId="47E00F57">
            <wp:extent cx="4683760" cy="2509520"/>
            <wp:effectExtent l="0" t="0" r="2540" b="5080"/>
            <wp:docPr id="166" name="Obraz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4683760" cy="2509520"/>
                    </a:xfrm>
                    <a:prstGeom prst="rect">
                      <a:avLst/>
                    </a:prstGeom>
                    <a:noFill/>
                  </pic:spPr>
                </pic:pic>
              </a:graphicData>
            </a:graphic>
          </wp:inline>
        </w:drawing>
      </w:r>
    </w:p>
    <w:p w14:paraId="5CEDBBF3" w14:textId="4A64F5B3" w:rsidR="00D34635" w:rsidRPr="003478AF" w:rsidRDefault="00D34635" w:rsidP="00986D40">
      <w:pPr>
        <w:pStyle w:val="AZRODLO"/>
      </w:pPr>
      <w:r w:rsidRPr="003478AF">
        <w:t>Źródło: Opracowanie własne na podstawie danych Urzędu Patentowego</w:t>
      </w:r>
    </w:p>
    <w:p w14:paraId="0894E0CE" w14:textId="3901D408" w:rsidR="00D34635" w:rsidRPr="003478AF" w:rsidRDefault="00D34635" w:rsidP="009316AA"/>
    <w:p w14:paraId="3EA90B9E" w14:textId="0D3E02A8" w:rsidR="00902A4D" w:rsidRPr="003478AF" w:rsidRDefault="000714C1" w:rsidP="00986D40">
      <w:pPr>
        <w:pStyle w:val="ARYCINA"/>
      </w:pPr>
      <w:bookmarkStart w:id="91" w:name="_Hlk76628475"/>
      <w:r w:rsidRPr="003478AF">
        <w:t>Ryc.</w:t>
      </w:r>
      <w:r w:rsidR="003F5D1A" w:rsidRPr="003478AF">
        <w:t xml:space="preserve"> 8.</w:t>
      </w:r>
      <w:r w:rsidR="00B273FC" w:rsidRPr="003478AF">
        <w:t>5</w:t>
      </w:r>
      <w:r w:rsidR="00F91F56" w:rsidRPr="003478AF">
        <w:t>6</w:t>
      </w:r>
      <w:r w:rsidR="00A06FB3" w:rsidRPr="003478AF">
        <w:t xml:space="preserve"> Liczba w</w:t>
      </w:r>
      <w:r w:rsidRPr="003478AF">
        <w:t xml:space="preserve">ynalazków i patentów zgłoszonych do UPRP w obszarze Technologii Ochrony Środowiska </w:t>
      </w:r>
      <w:r w:rsidR="0023610D" w:rsidRPr="003478AF">
        <w:t xml:space="preserve">w województwie wielkopolskim </w:t>
      </w:r>
      <w:r w:rsidR="00902A4D" w:rsidRPr="003478AF">
        <w:t>w latach 2010-20</w:t>
      </w:r>
      <w:r w:rsidR="00816855" w:rsidRPr="003478AF">
        <w:t>19</w:t>
      </w:r>
    </w:p>
    <w:bookmarkEnd w:id="91"/>
    <w:p w14:paraId="27A6A302" w14:textId="57D02740" w:rsidR="005F43F3" w:rsidRPr="003478AF" w:rsidRDefault="00816855" w:rsidP="00986D40">
      <w:pPr>
        <w:pStyle w:val="ARYCINA"/>
      </w:pPr>
      <w:r w:rsidRPr="003478AF">
        <w:rPr>
          <w:noProof/>
          <w:lang w:eastAsia="pl-PL"/>
        </w:rPr>
        <w:drawing>
          <wp:inline distT="0" distB="0" distL="0" distR="0" wp14:anchorId="69967B3D" wp14:editId="42073B0C">
            <wp:extent cx="4683760" cy="2590800"/>
            <wp:effectExtent l="0" t="0" r="2540" b="0"/>
            <wp:docPr id="284" name="Obraz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4683760" cy="2590800"/>
                    </a:xfrm>
                    <a:prstGeom prst="rect">
                      <a:avLst/>
                    </a:prstGeom>
                    <a:noFill/>
                  </pic:spPr>
                </pic:pic>
              </a:graphicData>
            </a:graphic>
          </wp:inline>
        </w:drawing>
      </w:r>
    </w:p>
    <w:p w14:paraId="3EC85579" w14:textId="1E32B164" w:rsidR="005F43F3" w:rsidRPr="003478AF" w:rsidRDefault="005F43F3" w:rsidP="00986D40">
      <w:pPr>
        <w:pStyle w:val="AZRODLO"/>
      </w:pPr>
      <w:r w:rsidRPr="003478AF">
        <w:t>Źródło: Opracowanie własne na podstawie danych Urzędu Patentowego</w:t>
      </w:r>
    </w:p>
    <w:p w14:paraId="6A18ACF4" w14:textId="77777777" w:rsidR="00F91F56" w:rsidRPr="003478AF" w:rsidRDefault="00F91F56" w:rsidP="009316AA"/>
    <w:bookmarkEnd w:id="73"/>
    <w:p w14:paraId="5012845D" w14:textId="382A3FE8" w:rsidR="00CC7ECE" w:rsidRPr="003478AF" w:rsidRDefault="0074258E" w:rsidP="00A03DFC">
      <w:pPr>
        <w:rPr>
          <w:rFonts w:eastAsia="Arial" w:cs="Arial"/>
          <w:szCs w:val="20"/>
        </w:rPr>
      </w:pPr>
      <w:r w:rsidRPr="003478AF">
        <w:rPr>
          <w:rFonts w:eastAsia="Arial" w:cs="Arial"/>
          <w:szCs w:val="20"/>
        </w:rPr>
        <w:t xml:space="preserve">W celu określenia wartości oczekiwanych wskaźników w perspektywie do 2030 roku posłużono się modelem regresji dostosowanej do charakteru obecnego trendu wskaźników </w:t>
      </w:r>
      <w:r w:rsidR="00075829" w:rsidRPr="003478AF">
        <w:rPr>
          <w:rFonts w:eastAsia="Arial" w:cs="Arial"/>
          <w:szCs w:val="20"/>
        </w:rPr>
        <w:br/>
      </w:r>
      <w:r w:rsidRPr="003478AF">
        <w:rPr>
          <w:rFonts w:eastAsia="Arial" w:cs="Arial"/>
          <w:szCs w:val="20"/>
        </w:rPr>
        <w:t>(na tej podstawie wybierano różne typy regresji). Analizę oparto o dwie zmienne</w:t>
      </w:r>
      <w:r w:rsidR="009659EB" w:rsidRPr="003478AF">
        <w:rPr>
          <w:rFonts w:eastAsia="Arial" w:cs="Arial"/>
          <w:szCs w:val="20"/>
        </w:rPr>
        <w:t>:</w:t>
      </w:r>
      <w:r w:rsidRPr="003478AF">
        <w:rPr>
          <w:rFonts w:eastAsia="Arial" w:cs="Arial"/>
          <w:szCs w:val="20"/>
        </w:rPr>
        <w:t xml:space="preserve"> prognozę przewidzianą w zakresie PKB i liczb</w:t>
      </w:r>
      <w:r w:rsidR="009659EB" w:rsidRPr="003478AF">
        <w:rPr>
          <w:rFonts w:eastAsia="Arial" w:cs="Arial"/>
          <w:szCs w:val="20"/>
        </w:rPr>
        <w:t>ę</w:t>
      </w:r>
      <w:r w:rsidRPr="003478AF">
        <w:rPr>
          <w:rFonts w:eastAsia="Arial" w:cs="Arial"/>
          <w:szCs w:val="20"/>
        </w:rPr>
        <w:t xml:space="preserve"> ludności w 2030 r</w:t>
      </w:r>
      <w:r w:rsidR="00203392" w:rsidRPr="003478AF">
        <w:rPr>
          <w:rFonts w:eastAsia="Arial" w:cs="Arial"/>
          <w:szCs w:val="20"/>
        </w:rPr>
        <w:t>oku</w:t>
      </w:r>
      <w:r w:rsidRPr="003478AF">
        <w:rPr>
          <w:rFonts w:eastAsia="Arial" w:cs="Arial"/>
          <w:szCs w:val="20"/>
        </w:rPr>
        <w:t>.</w:t>
      </w:r>
      <w:r w:rsidR="00CC7ECE" w:rsidRPr="003478AF">
        <w:rPr>
          <w:rFonts w:eastAsia="Arial" w:cs="Arial"/>
          <w:szCs w:val="20"/>
        </w:rPr>
        <w:t xml:space="preserve"> Generalnie w większości wskaźników nastąpi spadek </w:t>
      </w:r>
      <w:r w:rsidR="00203392" w:rsidRPr="003478AF">
        <w:rPr>
          <w:rFonts w:eastAsia="Arial" w:cs="Arial"/>
          <w:szCs w:val="20"/>
        </w:rPr>
        <w:t xml:space="preserve">ich wartości </w:t>
      </w:r>
      <w:r w:rsidR="009659EB" w:rsidRPr="003478AF">
        <w:rPr>
          <w:rFonts w:eastAsia="Arial" w:cs="Arial"/>
          <w:szCs w:val="20"/>
        </w:rPr>
        <w:t>w latach</w:t>
      </w:r>
      <w:r w:rsidR="00CC7ECE" w:rsidRPr="003478AF">
        <w:rPr>
          <w:rFonts w:eastAsia="Arial" w:cs="Arial"/>
          <w:szCs w:val="20"/>
        </w:rPr>
        <w:t xml:space="preserve"> 2010</w:t>
      </w:r>
      <w:r w:rsidR="00203392" w:rsidRPr="003478AF">
        <w:rPr>
          <w:rFonts w:eastAsia="Arial" w:cs="Arial"/>
          <w:szCs w:val="20"/>
        </w:rPr>
        <w:t>-</w:t>
      </w:r>
      <w:r w:rsidR="00CC7ECE" w:rsidRPr="003478AF">
        <w:rPr>
          <w:rFonts w:eastAsia="Arial" w:cs="Arial"/>
          <w:szCs w:val="20"/>
        </w:rPr>
        <w:t>2030. Wzrost będzie dotyczyć tylko</w:t>
      </w:r>
      <w:r w:rsidR="00C758BE" w:rsidRPr="003478AF">
        <w:rPr>
          <w:rFonts w:eastAsia="Arial" w:cs="Arial"/>
          <w:szCs w:val="20"/>
        </w:rPr>
        <w:t xml:space="preserve"> </w:t>
      </w:r>
      <w:r w:rsidR="002C33F5" w:rsidRPr="003478AF">
        <w:rPr>
          <w:rFonts w:eastAsia="Arial" w:cs="Arial"/>
          <w:szCs w:val="20"/>
        </w:rPr>
        <w:t xml:space="preserve">jedenastu </w:t>
      </w:r>
      <w:r w:rsidR="00C758BE" w:rsidRPr="003478AF">
        <w:rPr>
          <w:rFonts w:eastAsia="Arial" w:cs="Arial"/>
          <w:szCs w:val="20"/>
        </w:rPr>
        <w:t>wskaźników</w:t>
      </w:r>
      <w:r w:rsidR="00A03DFC" w:rsidRPr="003478AF">
        <w:rPr>
          <w:rFonts w:eastAsia="Arial" w:cs="Arial"/>
          <w:szCs w:val="20"/>
        </w:rPr>
        <w:t>, tj.</w:t>
      </w:r>
      <w:r w:rsidR="00CC7ECE" w:rsidRPr="003478AF">
        <w:rPr>
          <w:rFonts w:eastAsia="Arial" w:cs="Arial"/>
          <w:szCs w:val="20"/>
        </w:rPr>
        <w:t>:</w:t>
      </w:r>
      <w:r w:rsidR="00C758BE" w:rsidRPr="003478AF">
        <w:rPr>
          <w:rFonts w:eastAsia="Arial" w:cs="Arial"/>
          <w:szCs w:val="20"/>
        </w:rPr>
        <w:t xml:space="preserve"> </w:t>
      </w:r>
      <w:r w:rsidR="002C33F5" w:rsidRPr="003478AF">
        <w:rPr>
          <w:rFonts w:eastAsia="Arial" w:cs="Arial"/>
          <w:szCs w:val="20"/>
        </w:rPr>
        <w:t xml:space="preserve">zużycie wody z wodociągów w gospodarstwach domowych na </w:t>
      </w:r>
      <w:r w:rsidR="00A03DFC" w:rsidRPr="003478AF">
        <w:rPr>
          <w:rFonts w:eastAsia="Arial" w:cs="Arial"/>
          <w:szCs w:val="20"/>
        </w:rPr>
        <w:br/>
      </w:r>
      <w:r w:rsidR="002C33F5" w:rsidRPr="003478AF">
        <w:rPr>
          <w:rFonts w:eastAsia="Arial" w:cs="Arial"/>
          <w:szCs w:val="20"/>
        </w:rPr>
        <w:t>1 mieszkańca</w:t>
      </w:r>
      <w:r w:rsidR="00A03DFC" w:rsidRPr="003478AF">
        <w:rPr>
          <w:rFonts w:eastAsia="Arial" w:cs="Arial"/>
          <w:szCs w:val="20"/>
        </w:rPr>
        <w:t>, ilość ścieków</w:t>
      </w:r>
      <w:r w:rsidR="002C33F5" w:rsidRPr="003478AF">
        <w:rPr>
          <w:rFonts w:eastAsia="Arial" w:cs="Arial"/>
          <w:szCs w:val="20"/>
        </w:rPr>
        <w:t xml:space="preserve"> przemysłow</w:t>
      </w:r>
      <w:r w:rsidR="00A03DFC" w:rsidRPr="003478AF">
        <w:rPr>
          <w:rFonts w:eastAsia="Arial" w:cs="Arial"/>
          <w:szCs w:val="20"/>
        </w:rPr>
        <w:t>ych</w:t>
      </w:r>
      <w:r w:rsidR="002C33F5" w:rsidRPr="003478AF">
        <w:rPr>
          <w:rFonts w:eastAsia="Arial" w:cs="Arial"/>
          <w:szCs w:val="20"/>
        </w:rPr>
        <w:t xml:space="preserve"> i komunaln</w:t>
      </w:r>
      <w:r w:rsidR="00A03DFC" w:rsidRPr="003478AF">
        <w:rPr>
          <w:rFonts w:eastAsia="Arial" w:cs="Arial"/>
          <w:szCs w:val="20"/>
        </w:rPr>
        <w:t xml:space="preserve">ych </w:t>
      </w:r>
      <w:r w:rsidR="002C33F5" w:rsidRPr="003478AF">
        <w:rPr>
          <w:rFonts w:eastAsia="Arial" w:cs="Arial"/>
          <w:szCs w:val="20"/>
        </w:rPr>
        <w:t>odprowadzon</w:t>
      </w:r>
      <w:r w:rsidR="00A03DFC" w:rsidRPr="003478AF">
        <w:rPr>
          <w:rFonts w:eastAsia="Arial" w:cs="Arial"/>
          <w:szCs w:val="20"/>
        </w:rPr>
        <w:t>ych</w:t>
      </w:r>
      <w:r w:rsidR="002C33F5" w:rsidRPr="003478AF">
        <w:rPr>
          <w:rFonts w:eastAsia="Arial" w:cs="Arial"/>
          <w:szCs w:val="20"/>
        </w:rPr>
        <w:t xml:space="preserve"> do wód lub do ziemi w ciągu roku na 1 mieszkańca</w:t>
      </w:r>
      <w:r w:rsidR="00A03DFC" w:rsidRPr="003478AF">
        <w:rPr>
          <w:rFonts w:eastAsia="Arial" w:cs="Arial"/>
          <w:szCs w:val="20"/>
        </w:rPr>
        <w:t>, ilość zebranych odpadów komunalnych zebranych, i</w:t>
      </w:r>
      <w:r w:rsidR="002C33F5" w:rsidRPr="003478AF">
        <w:rPr>
          <w:rFonts w:eastAsia="Arial" w:cs="Arial"/>
          <w:szCs w:val="20"/>
        </w:rPr>
        <w:t xml:space="preserve">lość </w:t>
      </w:r>
      <w:r w:rsidR="002C33F5" w:rsidRPr="003478AF">
        <w:rPr>
          <w:rFonts w:eastAsia="Arial" w:cs="Arial"/>
          <w:szCs w:val="20"/>
        </w:rPr>
        <w:lastRenderedPageBreak/>
        <w:t>zmieszanych odpadów na 1 mieszkańca</w:t>
      </w:r>
      <w:r w:rsidR="00A03DFC" w:rsidRPr="003478AF">
        <w:rPr>
          <w:rFonts w:eastAsia="Arial" w:cs="Arial"/>
          <w:szCs w:val="20"/>
        </w:rPr>
        <w:t>, u</w:t>
      </w:r>
      <w:r w:rsidR="002C33F5" w:rsidRPr="003478AF">
        <w:rPr>
          <w:rFonts w:eastAsia="Arial" w:cs="Arial"/>
          <w:szCs w:val="20"/>
        </w:rPr>
        <w:t>dział odpadów zebranych selektywnie</w:t>
      </w:r>
      <w:r w:rsidR="00A03DFC" w:rsidRPr="003478AF">
        <w:rPr>
          <w:rFonts w:eastAsia="Arial" w:cs="Arial"/>
          <w:szCs w:val="20"/>
        </w:rPr>
        <w:t>, i</w:t>
      </w:r>
      <w:r w:rsidR="002C33F5" w:rsidRPr="003478AF">
        <w:rPr>
          <w:rFonts w:eastAsia="Arial" w:cs="Arial"/>
          <w:szCs w:val="20"/>
        </w:rPr>
        <w:t>lość odpadów biodegradowalnych ze</w:t>
      </w:r>
      <w:r w:rsidR="00A03DFC" w:rsidRPr="003478AF">
        <w:rPr>
          <w:rFonts w:eastAsia="Arial" w:cs="Arial"/>
          <w:szCs w:val="20"/>
        </w:rPr>
        <w:t xml:space="preserve">branych selektywnie, wielkość nakładów </w:t>
      </w:r>
      <w:r w:rsidR="002C33F5" w:rsidRPr="003478AF">
        <w:rPr>
          <w:rFonts w:eastAsia="Arial" w:cs="Arial"/>
          <w:szCs w:val="20"/>
        </w:rPr>
        <w:t>na środki trwałe służące ochronie środowiska</w:t>
      </w:r>
      <w:r w:rsidR="00A03DFC" w:rsidRPr="003478AF">
        <w:rPr>
          <w:rFonts w:eastAsia="Arial" w:cs="Arial"/>
          <w:szCs w:val="20"/>
        </w:rPr>
        <w:t>, u</w:t>
      </w:r>
      <w:r w:rsidR="002C33F5" w:rsidRPr="003478AF">
        <w:rPr>
          <w:rFonts w:eastAsia="Arial" w:cs="Arial"/>
          <w:szCs w:val="20"/>
        </w:rPr>
        <w:t>dział energii odnawialnej w produkcji energii elektrycznej ogółem</w:t>
      </w:r>
      <w:r w:rsidR="00A03DFC" w:rsidRPr="003478AF">
        <w:rPr>
          <w:rFonts w:eastAsia="Arial" w:cs="Arial"/>
          <w:szCs w:val="20"/>
        </w:rPr>
        <w:t>, z</w:t>
      </w:r>
      <w:r w:rsidR="002C33F5" w:rsidRPr="003478AF">
        <w:rPr>
          <w:rFonts w:eastAsia="Arial" w:cs="Arial"/>
          <w:szCs w:val="20"/>
        </w:rPr>
        <w:t>użycie energii elektrycznej ogółem</w:t>
      </w:r>
      <w:r w:rsidR="00A03DFC" w:rsidRPr="003478AF">
        <w:rPr>
          <w:rFonts w:eastAsia="Arial" w:cs="Arial"/>
          <w:szCs w:val="20"/>
        </w:rPr>
        <w:t>, p</w:t>
      </w:r>
      <w:r w:rsidR="002C33F5" w:rsidRPr="003478AF">
        <w:rPr>
          <w:rFonts w:eastAsia="Arial" w:cs="Arial"/>
          <w:szCs w:val="20"/>
        </w:rPr>
        <w:t>owierzchnia ekologicznych gospodarstw rolnych</w:t>
      </w:r>
      <w:r w:rsidR="00A03DFC" w:rsidRPr="003478AF">
        <w:rPr>
          <w:rFonts w:eastAsia="Arial" w:cs="Arial"/>
          <w:szCs w:val="20"/>
        </w:rPr>
        <w:t xml:space="preserve"> oraz u</w:t>
      </w:r>
      <w:r w:rsidR="002C33F5" w:rsidRPr="003478AF">
        <w:rPr>
          <w:rFonts w:eastAsia="Arial" w:cs="Arial"/>
          <w:szCs w:val="20"/>
        </w:rPr>
        <w:t xml:space="preserve">dział powierzchni ekologicznych gospodarstw rolnych z certyfikatem </w:t>
      </w:r>
      <w:r w:rsidR="00A03DFC" w:rsidRPr="003478AF">
        <w:rPr>
          <w:rFonts w:eastAsia="Arial" w:cs="Arial"/>
          <w:szCs w:val="20"/>
        </w:rPr>
        <w:br/>
      </w:r>
      <w:r w:rsidR="002C33F5" w:rsidRPr="003478AF">
        <w:rPr>
          <w:rFonts w:eastAsia="Arial" w:cs="Arial"/>
          <w:szCs w:val="20"/>
        </w:rPr>
        <w:t>w powierzchni użytków rolnych ogółem</w:t>
      </w:r>
      <w:r w:rsidR="00C758BE" w:rsidRPr="003478AF">
        <w:rPr>
          <w:rFonts w:eastAsia="Arial" w:cs="Arial"/>
          <w:szCs w:val="20"/>
        </w:rPr>
        <w:t xml:space="preserve"> (</w:t>
      </w:r>
      <w:r w:rsidR="003F5D1A" w:rsidRPr="003478AF">
        <w:rPr>
          <w:rFonts w:eastAsia="Arial" w:cs="Arial"/>
          <w:szCs w:val="20"/>
        </w:rPr>
        <w:t>Tab. 8.5</w:t>
      </w:r>
      <w:r w:rsidR="00C758BE" w:rsidRPr="003478AF">
        <w:rPr>
          <w:rFonts w:eastAsia="Arial" w:cs="Arial"/>
          <w:szCs w:val="20"/>
        </w:rPr>
        <w:t>).</w:t>
      </w:r>
    </w:p>
    <w:p w14:paraId="268833E1" w14:textId="620D12B3" w:rsidR="00B04115" w:rsidRPr="003478AF" w:rsidRDefault="00B04115" w:rsidP="0074258E">
      <w:pPr>
        <w:rPr>
          <w:rFonts w:eastAsia="Arial" w:cs="Arial"/>
          <w:szCs w:val="20"/>
        </w:rPr>
      </w:pPr>
    </w:p>
    <w:p w14:paraId="2A935597" w14:textId="65771B9F" w:rsidR="00B04115" w:rsidRPr="003478AF" w:rsidRDefault="005D34A6" w:rsidP="00986D40">
      <w:pPr>
        <w:pStyle w:val="ATABELA"/>
      </w:pPr>
      <w:bookmarkStart w:id="92" w:name="_Hlk76645431"/>
      <w:bookmarkEnd w:id="72"/>
      <w:r w:rsidRPr="003478AF">
        <w:t xml:space="preserve">Tab. </w:t>
      </w:r>
      <w:r w:rsidR="003F5D1A" w:rsidRPr="003478AF">
        <w:t xml:space="preserve">8.5 </w:t>
      </w:r>
      <w:r w:rsidR="00FF0262" w:rsidRPr="003478AF">
        <w:t xml:space="preserve">Prognoza wskaźników wpisujących się w koncepcję GOZ w roku bazowym (2010) </w:t>
      </w:r>
      <w:r w:rsidR="009316AA" w:rsidRPr="003478AF">
        <w:br/>
      </w:r>
      <w:r w:rsidR="00FF0262" w:rsidRPr="003478AF">
        <w:t>i docelowym (2030)</w:t>
      </w:r>
      <w:r w:rsidR="004F5DA7" w:rsidRPr="003478AF">
        <w:t xml:space="preserve"> dla </w:t>
      </w:r>
      <w:r w:rsidR="0023610D" w:rsidRPr="003478AF">
        <w:t>województwa wielkopolskiego</w:t>
      </w:r>
    </w:p>
    <w:tbl>
      <w:tblPr>
        <w:tblStyle w:val="Tabela-Siatka"/>
        <w:tblW w:w="0" w:type="auto"/>
        <w:tblLook w:val="04A0" w:firstRow="1" w:lastRow="0" w:firstColumn="1" w:lastColumn="0" w:noHBand="0" w:noVBand="1"/>
      </w:tblPr>
      <w:tblGrid>
        <w:gridCol w:w="486"/>
        <w:gridCol w:w="4257"/>
        <w:gridCol w:w="1107"/>
        <w:gridCol w:w="1177"/>
        <w:gridCol w:w="1240"/>
      </w:tblGrid>
      <w:tr w:rsidR="005A7C67" w:rsidRPr="003478AF" w14:paraId="62A15EE2" w14:textId="77777777" w:rsidTr="00E7414E">
        <w:trPr>
          <w:trHeight w:val="283"/>
          <w:tblHeader/>
        </w:trPr>
        <w:tc>
          <w:tcPr>
            <w:tcW w:w="0" w:type="auto"/>
            <w:shd w:val="clear" w:color="auto" w:fill="CCA879"/>
            <w:vAlign w:val="center"/>
          </w:tcPr>
          <w:p w14:paraId="257B33DA" w14:textId="2204D860" w:rsidR="005A7C67" w:rsidRPr="003478AF" w:rsidRDefault="005A7C67" w:rsidP="00E7414E">
            <w:pPr>
              <w:ind w:firstLine="0"/>
              <w:jc w:val="center"/>
              <w:rPr>
                <w:rFonts w:eastAsia="Arial" w:cs="Arial"/>
                <w:b/>
                <w:bCs/>
                <w:sz w:val="18"/>
                <w:szCs w:val="18"/>
              </w:rPr>
            </w:pPr>
            <w:r w:rsidRPr="003478AF">
              <w:rPr>
                <w:rFonts w:eastAsia="Arial" w:cs="Arial"/>
                <w:b/>
                <w:bCs/>
                <w:sz w:val="18"/>
                <w:szCs w:val="18"/>
              </w:rPr>
              <w:t>Lp.</w:t>
            </w:r>
          </w:p>
        </w:tc>
        <w:tc>
          <w:tcPr>
            <w:tcW w:w="0" w:type="auto"/>
            <w:shd w:val="clear" w:color="auto" w:fill="CCA879"/>
            <w:vAlign w:val="center"/>
          </w:tcPr>
          <w:p w14:paraId="39B911EE" w14:textId="210A026B" w:rsidR="005A7C67" w:rsidRPr="003478AF" w:rsidRDefault="005A7C67" w:rsidP="00E7414E">
            <w:pPr>
              <w:ind w:firstLine="0"/>
              <w:jc w:val="center"/>
              <w:rPr>
                <w:rFonts w:eastAsia="Arial" w:cs="Arial"/>
                <w:b/>
                <w:bCs/>
                <w:sz w:val="18"/>
                <w:szCs w:val="18"/>
              </w:rPr>
            </w:pPr>
            <w:r w:rsidRPr="003478AF">
              <w:rPr>
                <w:rFonts w:eastAsia="Arial" w:cs="Arial"/>
                <w:b/>
                <w:bCs/>
                <w:sz w:val="18"/>
                <w:szCs w:val="18"/>
              </w:rPr>
              <w:t>Wskaźniki</w:t>
            </w:r>
          </w:p>
        </w:tc>
        <w:tc>
          <w:tcPr>
            <w:tcW w:w="1107" w:type="dxa"/>
            <w:shd w:val="clear" w:color="auto" w:fill="CCA879"/>
            <w:vAlign w:val="center"/>
          </w:tcPr>
          <w:p w14:paraId="2D7ECB70" w14:textId="42EBB048" w:rsidR="005A7C67" w:rsidRPr="003478AF" w:rsidRDefault="005A7C67" w:rsidP="00E7414E">
            <w:pPr>
              <w:ind w:firstLine="0"/>
              <w:jc w:val="center"/>
              <w:rPr>
                <w:rFonts w:eastAsia="Arial" w:cs="Arial"/>
                <w:b/>
                <w:bCs/>
                <w:sz w:val="18"/>
                <w:szCs w:val="18"/>
              </w:rPr>
            </w:pPr>
            <w:r w:rsidRPr="003478AF">
              <w:rPr>
                <w:rFonts w:eastAsia="Arial" w:cs="Arial"/>
                <w:b/>
                <w:bCs/>
                <w:sz w:val="18"/>
                <w:szCs w:val="18"/>
              </w:rPr>
              <w:t>Jednostka miary</w:t>
            </w:r>
          </w:p>
        </w:tc>
        <w:tc>
          <w:tcPr>
            <w:tcW w:w="1177" w:type="dxa"/>
            <w:shd w:val="clear" w:color="auto" w:fill="CCA879"/>
            <w:vAlign w:val="center"/>
          </w:tcPr>
          <w:p w14:paraId="0BF19E6C" w14:textId="30C26A8F" w:rsidR="005A7C67" w:rsidRPr="003478AF" w:rsidRDefault="005A7C67" w:rsidP="00E7414E">
            <w:pPr>
              <w:ind w:firstLine="0"/>
              <w:jc w:val="center"/>
              <w:rPr>
                <w:rFonts w:eastAsia="Arial" w:cs="Arial"/>
                <w:b/>
                <w:bCs/>
                <w:sz w:val="18"/>
                <w:szCs w:val="18"/>
              </w:rPr>
            </w:pPr>
            <w:r w:rsidRPr="003478AF">
              <w:rPr>
                <w:rFonts w:eastAsia="Arial" w:cs="Arial"/>
                <w:b/>
                <w:bCs/>
                <w:sz w:val="18"/>
                <w:szCs w:val="18"/>
              </w:rPr>
              <w:t>Rok bazowy (2010)</w:t>
            </w:r>
          </w:p>
        </w:tc>
        <w:tc>
          <w:tcPr>
            <w:tcW w:w="0" w:type="auto"/>
            <w:shd w:val="clear" w:color="auto" w:fill="CCA879"/>
            <w:vAlign w:val="center"/>
          </w:tcPr>
          <w:p w14:paraId="4F57493C" w14:textId="2FD077D2" w:rsidR="005A7C67" w:rsidRPr="003478AF" w:rsidRDefault="005A7C67" w:rsidP="00E7414E">
            <w:pPr>
              <w:ind w:firstLine="0"/>
              <w:jc w:val="center"/>
              <w:rPr>
                <w:rFonts w:eastAsia="Arial" w:cs="Arial"/>
                <w:b/>
                <w:bCs/>
                <w:sz w:val="18"/>
                <w:szCs w:val="18"/>
              </w:rPr>
            </w:pPr>
            <w:r w:rsidRPr="003478AF">
              <w:rPr>
                <w:rFonts w:eastAsia="Arial" w:cs="Arial"/>
                <w:b/>
                <w:bCs/>
                <w:sz w:val="18"/>
                <w:szCs w:val="18"/>
              </w:rPr>
              <w:t>Rok docelowy (2030)</w:t>
            </w:r>
          </w:p>
        </w:tc>
      </w:tr>
      <w:tr w:rsidR="005A7C67" w:rsidRPr="003478AF" w14:paraId="0192A417" w14:textId="77777777" w:rsidTr="00E7414E">
        <w:trPr>
          <w:trHeight w:val="283"/>
        </w:trPr>
        <w:tc>
          <w:tcPr>
            <w:tcW w:w="0" w:type="auto"/>
            <w:vAlign w:val="center"/>
          </w:tcPr>
          <w:p w14:paraId="4A62B6C5" w14:textId="218F24AE" w:rsidR="005A7C67" w:rsidRPr="003478AF" w:rsidRDefault="005A7C67" w:rsidP="00E7414E">
            <w:pPr>
              <w:ind w:firstLine="0"/>
              <w:jc w:val="center"/>
              <w:rPr>
                <w:rFonts w:eastAsia="Arial" w:cs="Arial"/>
                <w:sz w:val="18"/>
                <w:szCs w:val="18"/>
              </w:rPr>
            </w:pPr>
            <w:r w:rsidRPr="003478AF">
              <w:rPr>
                <w:rFonts w:eastAsia="Arial" w:cs="Arial"/>
                <w:sz w:val="18"/>
                <w:szCs w:val="18"/>
              </w:rPr>
              <w:t>1.</w:t>
            </w:r>
          </w:p>
        </w:tc>
        <w:tc>
          <w:tcPr>
            <w:tcW w:w="0" w:type="auto"/>
            <w:vAlign w:val="center"/>
          </w:tcPr>
          <w:p w14:paraId="480A7982" w14:textId="2B6DF367" w:rsidR="005A7C67" w:rsidRPr="003478AF" w:rsidRDefault="005A7C67" w:rsidP="00E7414E">
            <w:pPr>
              <w:ind w:firstLine="0"/>
              <w:jc w:val="left"/>
              <w:rPr>
                <w:rFonts w:cs="Arial"/>
                <w:b/>
                <w:bCs/>
                <w:noProof/>
                <w:sz w:val="16"/>
                <w:szCs w:val="16"/>
              </w:rPr>
            </w:pPr>
            <w:r w:rsidRPr="003478AF">
              <w:rPr>
                <w:rFonts w:eastAsia="Arial" w:cs="Arial"/>
                <w:sz w:val="18"/>
                <w:szCs w:val="18"/>
              </w:rPr>
              <w:t>Zużycie wody ogółem</w:t>
            </w:r>
          </w:p>
        </w:tc>
        <w:tc>
          <w:tcPr>
            <w:tcW w:w="1107" w:type="dxa"/>
            <w:vAlign w:val="center"/>
          </w:tcPr>
          <w:p w14:paraId="231E3812" w14:textId="70A58BA9" w:rsidR="005A7C67" w:rsidRPr="003478AF" w:rsidDel="0003334E" w:rsidRDefault="005A7C67" w:rsidP="00E7414E">
            <w:pPr>
              <w:ind w:firstLine="0"/>
              <w:jc w:val="center"/>
              <w:rPr>
                <w:rFonts w:eastAsia="Arial" w:cs="Arial"/>
                <w:sz w:val="18"/>
                <w:szCs w:val="18"/>
              </w:rPr>
            </w:pPr>
            <w:r w:rsidRPr="003478AF">
              <w:rPr>
                <w:rFonts w:eastAsia="Arial" w:cs="Arial"/>
                <w:sz w:val="18"/>
                <w:szCs w:val="18"/>
              </w:rPr>
              <w:t>hm</w:t>
            </w:r>
            <w:r w:rsidRPr="003478AF">
              <w:rPr>
                <w:rFonts w:eastAsia="Arial" w:cs="Arial"/>
                <w:sz w:val="18"/>
                <w:szCs w:val="18"/>
                <w:vertAlign w:val="superscript"/>
              </w:rPr>
              <w:t>3</w:t>
            </w:r>
          </w:p>
        </w:tc>
        <w:tc>
          <w:tcPr>
            <w:tcW w:w="1177" w:type="dxa"/>
            <w:vAlign w:val="center"/>
          </w:tcPr>
          <w:p w14:paraId="54E4572D" w14:textId="22B19E9E" w:rsidR="005A7C67" w:rsidRPr="003478AF" w:rsidDel="0003334E" w:rsidRDefault="00AA1FCE" w:rsidP="00E7414E">
            <w:pPr>
              <w:ind w:firstLine="0"/>
              <w:jc w:val="center"/>
              <w:rPr>
                <w:rFonts w:eastAsia="Arial" w:cs="Arial"/>
                <w:sz w:val="18"/>
                <w:szCs w:val="18"/>
              </w:rPr>
            </w:pPr>
            <w:r w:rsidRPr="003478AF">
              <w:rPr>
                <w:rFonts w:eastAsia="Arial" w:cs="Arial"/>
                <w:sz w:val="18"/>
                <w:szCs w:val="18"/>
              </w:rPr>
              <w:t>1539,3</w:t>
            </w:r>
          </w:p>
        </w:tc>
        <w:tc>
          <w:tcPr>
            <w:tcW w:w="0" w:type="auto"/>
            <w:vAlign w:val="center"/>
          </w:tcPr>
          <w:p w14:paraId="56F14937" w14:textId="26AA8D6C" w:rsidR="005A7C67" w:rsidRPr="003478AF" w:rsidDel="0003334E" w:rsidRDefault="00AA1FCE" w:rsidP="00E7414E">
            <w:pPr>
              <w:ind w:firstLine="0"/>
              <w:jc w:val="center"/>
              <w:rPr>
                <w:rFonts w:eastAsia="Arial" w:cs="Arial"/>
                <w:sz w:val="18"/>
                <w:szCs w:val="18"/>
              </w:rPr>
            </w:pPr>
            <w:r w:rsidRPr="003478AF">
              <w:rPr>
                <w:rFonts w:eastAsia="Arial" w:cs="Arial"/>
                <w:sz w:val="18"/>
                <w:szCs w:val="18"/>
              </w:rPr>
              <w:t>1</w:t>
            </w:r>
            <w:r w:rsidR="00425BCA" w:rsidRPr="003478AF">
              <w:rPr>
                <w:rFonts w:eastAsia="Arial" w:cs="Arial"/>
                <w:sz w:val="18"/>
                <w:szCs w:val="18"/>
              </w:rPr>
              <w:t> </w:t>
            </w:r>
            <w:r w:rsidRPr="003478AF">
              <w:rPr>
                <w:rFonts w:eastAsia="Arial" w:cs="Arial"/>
                <w:sz w:val="18"/>
                <w:szCs w:val="18"/>
              </w:rPr>
              <w:t>005,3</w:t>
            </w:r>
          </w:p>
        </w:tc>
      </w:tr>
      <w:tr w:rsidR="005A7C67" w:rsidRPr="003478AF" w14:paraId="382A9DE5" w14:textId="77777777" w:rsidTr="00E7414E">
        <w:trPr>
          <w:trHeight w:val="283"/>
        </w:trPr>
        <w:tc>
          <w:tcPr>
            <w:tcW w:w="0" w:type="auto"/>
            <w:vAlign w:val="center"/>
          </w:tcPr>
          <w:p w14:paraId="284ACE63" w14:textId="0EFD63D5" w:rsidR="005A7C67" w:rsidRPr="003478AF" w:rsidRDefault="005A7C67" w:rsidP="00E7414E">
            <w:pPr>
              <w:ind w:firstLine="0"/>
              <w:jc w:val="center"/>
              <w:rPr>
                <w:rFonts w:eastAsia="Arial" w:cs="Arial"/>
                <w:sz w:val="18"/>
                <w:szCs w:val="18"/>
              </w:rPr>
            </w:pPr>
            <w:r w:rsidRPr="003478AF">
              <w:rPr>
                <w:rFonts w:eastAsia="Arial" w:cs="Arial"/>
                <w:sz w:val="18"/>
                <w:szCs w:val="18"/>
              </w:rPr>
              <w:t>2.</w:t>
            </w:r>
          </w:p>
        </w:tc>
        <w:tc>
          <w:tcPr>
            <w:tcW w:w="0" w:type="auto"/>
            <w:vAlign w:val="center"/>
          </w:tcPr>
          <w:p w14:paraId="444FB20C" w14:textId="1749B3ED" w:rsidR="005A7C67" w:rsidRPr="003478AF" w:rsidRDefault="005A7C67" w:rsidP="00E7414E">
            <w:pPr>
              <w:ind w:firstLine="0"/>
              <w:jc w:val="left"/>
              <w:rPr>
                <w:rFonts w:eastAsia="Arial" w:cs="Arial"/>
                <w:sz w:val="18"/>
                <w:szCs w:val="18"/>
              </w:rPr>
            </w:pPr>
            <w:r w:rsidRPr="003478AF">
              <w:rPr>
                <w:rFonts w:eastAsia="Arial" w:cs="Arial"/>
                <w:sz w:val="18"/>
                <w:szCs w:val="18"/>
              </w:rPr>
              <w:t>Zużycie wody z wodociągów w gospodarstwach domowych na 1 mieszkańca</w:t>
            </w:r>
          </w:p>
        </w:tc>
        <w:tc>
          <w:tcPr>
            <w:tcW w:w="1107" w:type="dxa"/>
            <w:vAlign w:val="center"/>
          </w:tcPr>
          <w:p w14:paraId="681CB499" w14:textId="19EBCDCE" w:rsidR="005A7C67" w:rsidRPr="003478AF" w:rsidDel="0003334E" w:rsidRDefault="005A7C67" w:rsidP="00E7414E">
            <w:pPr>
              <w:ind w:firstLine="0"/>
              <w:jc w:val="center"/>
              <w:rPr>
                <w:rFonts w:eastAsia="Arial" w:cs="Arial"/>
                <w:sz w:val="18"/>
                <w:szCs w:val="18"/>
              </w:rPr>
            </w:pPr>
            <w:r w:rsidRPr="003478AF">
              <w:rPr>
                <w:rFonts w:eastAsia="Arial" w:cs="Arial"/>
                <w:sz w:val="18"/>
                <w:szCs w:val="18"/>
              </w:rPr>
              <w:t>m</w:t>
            </w:r>
            <w:r w:rsidRPr="003478AF">
              <w:rPr>
                <w:rFonts w:eastAsia="Arial" w:cs="Arial"/>
                <w:sz w:val="18"/>
                <w:szCs w:val="18"/>
                <w:vertAlign w:val="superscript"/>
              </w:rPr>
              <w:t>3</w:t>
            </w:r>
          </w:p>
        </w:tc>
        <w:tc>
          <w:tcPr>
            <w:tcW w:w="1177" w:type="dxa"/>
            <w:vAlign w:val="center"/>
          </w:tcPr>
          <w:p w14:paraId="406E6208" w14:textId="208C3C5B" w:rsidR="005A7C67" w:rsidRPr="003478AF" w:rsidRDefault="00AA1FCE" w:rsidP="00E7414E">
            <w:pPr>
              <w:ind w:firstLine="0"/>
              <w:jc w:val="center"/>
              <w:rPr>
                <w:rFonts w:eastAsia="Arial" w:cs="Arial"/>
                <w:sz w:val="18"/>
                <w:szCs w:val="18"/>
              </w:rPr>
            </w:pPr>
            <w:r w:rsidRPr="003478AF">
              <w:rPr>
                <w:rFonts w:eastAsia="Arial" w:cs="Arial"/>
                <w:sz w:val="18"/>
                <w:szCs w:val="18"/>
              </w:rPr>
              <w:t>35,0</w:t>
            </w:r>
          </w:p>
        </w:tc>
        <w:tc>
          <w:tcPr>
            <w:tcW w:w="0" w:type="auto"/>
            <w:vAlign w:val="center"/>
          </w:tcPr>
          <w:p w14:paraId="65B3A76B" w14:textId="3EF44141" w:rsidR="005A7C67" w:rsidRPr="003478AF" w:rsidRDefault="00AA1FCE" w:rsidP="00E7414E">
            <w:pPr>
              <w:ind w:firstLine="0"/>
              <w:jc w:val="center"/>
              <w:rPr>
                <w:rFonts w:eastAsia="Arial" w:cs="Arial"/>
                <w:sz w:val="18"/>
                <w:szCs w:val="18"/>
              </w:rPr>
            </w:pPr>
            <w:r w:rsidRPr="003478AF">
              <w:rPr>
                <w:rFonts w:eastAsia="Arial" w:cs="Arial"/>
                <w:sz w:val="18"/>
                <w:szCs w:val="18"/>
              </w:rPr>
              <w:t>45,2</w:t>
            </w:r>
          </w:p>
        </w:tc>
      </w:tr>
      <w:tr w:rsidR="00DC44B4" w:rsidRPr="003478AF" w14:paraId="6D62DEB9" w14:textId="77777777" w:rsidTr="00E7414E">
        <w:trPr>
          <w:trHeight w:val="283"/>
        </w:trPr>
        <w:tc>
          <w:tcPr>
            <w:tcW w:w="0" w:type="auto"/>
            <w:vAlign w:val="center"/>
          </w:tcPr>
          <w:p w14:paraId="1D9908F0" w14:textId="1EB5B7BC" w:rsidR="00DC44B4" w:rsidRPr="003478AF" w:rsidRDefault="00DC44B4" w:rsidP="00E7414E">
            <w:pPr>
              <w:ind w:firstLine="0"/>
              <w:jc w:val="center"/>
              <w:rPr>
                <w:rFonts w:eastAsia="Arial" w:cs="Arial"/>
                <w:sz w:val="18"/>
                <w:szCs w:val="18"/>
              </w:rPr>
            </w:pPr>
            <w:r w:rsidRPr="003478AF">
              <w:rPr>
                <w:rFonts w:eastAsia="Arial" w:cs="Arial"/>
                <w:sz w:val="18"/>
                <w:szCs w:val="18"/>
              </w:rPr>
              <w:t>3.</w:t>
            </w:r>
          </w:p>
        </w:tc>
        <w:tc>
          <w:tcPr>
            <w:tcW w:w="0" w:type="auto"/>
            <w:vAlign w:val="center"/>
          </w:tcPr>
          <w:p w14:paraId="538BF1FC" w14:textId="02914BCA" w:rsidR="00DC44B4" w:rsidRPr="003478AF" w:rsidRDefault="00DC44B4" w:rsidP="00E7414E">
            <w:pPr>
              <w:ind w:firstLine="0"/>
              <w:jc w:val="left"/>
              <w:rPr>
                <w:rFonts w:cs="Arial"/>
                <w:sz w:val="18"/>
                <w:szCs w:val="18"/>
              </w:rPr>
            </w:pPr>
            <w:r w:rsidRPr="003478AF">
              <w:rPr>
                <w:rFonts w:eastAsia="Arial" w:cs="Arial"/>
                <w:sz w:val="18"/>
                <w:szCs w:val="18"/>
              </w:rPr>
              <w:t>Wodochłonność przemysłu (zużycie</w:t>
            </w:r>
            <w:r w:rsidRPr="003478AF">
              <w:rPr>
                <w:rFonts w:cs="Arial"/>
                <w:sz w:val="18"/>
                <w:szCs w:val="18"/>
              </w:rPr>
              <w:t xml:space="preserve"> wody na potrzeby przemysłu w przeliczeniu na wartość produkcji sprzedanej ogółem przemysłu)</w:t>
            </w:r>
          </w:p>
        </w:tc>
        <w:tc>
          <w:tcPr>
            <w:tcW w:w="1107" w:type="dxa"/>
            <w:vAlign w:val="center"/>
          </w:tcPr>
          <w:p w14:paraId="062FB094" w14:textId="45F6F220" w:rsidR="00DC44B4" w:rsidRPr="003478AF" w:rsidDel="0003334E" w:rsidRDefault="00DC44B4" w:rsidP="00E7414E">
            <w:pPr>
              <w:ind w:firstLine="0"/>
              <w:jc w:val="center"/>
              <w:rPr>
                <w:rFonts w:eastAsia="Arial" w:cs="Arial"/>
                <w:sz w:val="18"/>
                <w:szCs w:val="18"/>
              </w:rPr>
            </w:pPr>
            <w:r w:rsidRPr="003478AF">
              <w:rPr>
                <w:rFonts w:eastAsia="Arial" w:cs="Arial"/>
                <w:sz w:val="18"/>
                <w:szCs w:val="18"/>
              </w:rPr>
              <w:t>dam</w:t>
            </w:r>
            <w:r w:rsidRPr="003478AF">
              <w:rPr>
                <w:rFonts w:eastAsia="Arial" w:cs="Arial"/>
                <w:sz w:val="18"/>
                <w:szCs w:val="18"/>
                <w:vertAlign w:val="superscript"/>
              </w:rPr>
              <w:t>3</w:t>
            </w:r>
            <w:r w:rsidRPr="003478AF">
              <w:rPr>
                <w:rFonts w:eastAsia="Arial" w:cs="Arial"/>
                <w:sz w:val="18"/>
                <w:szCs w:val="18"/>
              </w:rPr>
              <w:t>/mln zł</w:t>
            </w:r>
          </w:p>
        </w:tc>
        <w:tc>
          <w:tcPr>
            <w:tcW w:w="1177" w:type="dxa"/>
            <w:vAlign w:val="center"/>
          </w:tcPr>
          <w:p w14:paraId="3ACF424A" w14:textId="3B783E6B" w:rsidR="00DC44B4" w:rsidRPr="003478AF" w:rsidRDefault="00DC44B4" w:rsidP="00E7414E">
            <w:pPr>
              <w:ind w:firstLine="0"/>
              <w:jc w:val="center"/>
              <w:rPr>
                <w:rFonts w:eastAsia="Arial" w:cs="Arial"/>
                <w:sz w:val="18"/>
                <w:szCs w:val="18"/>
              </w:rPr>
            </w:pPr>
            <w:r w:rsidRPr="003478AF">
              <w:rPr>
                <w:rFonts w:eastAsia="Arial" w:cs="Arial"/>
                <w:sz w:val="18"/>
                <w:szCs w:val="18"/>
              </w:rPr>
              <w:t>12,21</w:t>
            </w:r>
          </w:p>
        </w:tc>
        <w:tc>
          <w:tcPr>
            <w:tcW w:w="0" w:type="auto"/>
            <w:vAlign w:val="center"/>
          </w:tcPr>
          <w:p w14:paraId="3C2EE062" w14:textId="0EFF669E" w:rsidR="00DC44B4" w:rsidRPr="003478AF" w:rsidRDefault="00DC44B4" w:rsidP="00E7414E">
            <w:pPr>
              <w:ind w:firstLine="0"/>
              <w:jc w:val="center"/>
              <w:rPr>
                <w:rFonts w:eastAsia="Arial" w:cs="Arial"/>
                <w:sz w:val="18"/>
                <w:szCs w:val="18"/>
              </w:rPr>
            </w:pPr>
            <w:r w:rsidRPr="003478AF">
              <w:rPr>
                <w:rFonts w:eastAsia="Arial" w:cs="Arial"/>
                <w:sz w:val="18"/>
                <w:szCs w:val="18"/>
              </w:rPr>
              <w:t>1,80</w:t>
            </w:r>
          </w:p>
        </w:tc>
      </w:tr>
      <w:tr w:rsidR="00DC44B4" w:rsidRPr="003478AF" w14:paraId="053BDD95" w14:textId="77777777" w:rsidTr="00E7414E">
        <w:trPr>
          <w:trHeight w:val="283"/>
        </w:trPr>
        <w:tc>
          <w:tcPr>
            <w:tcW w:w="0" w:type="auto"/>
            <w:vAlign w:val="center"/>
          </w:tcPr>
          <w:p w14:paraId="6763FB4E" w14:textId="0AB7FBFD" w:rsidR="00DC44B4" w:rsidRPr="003478AF" w:rsidRDefault="00DC44B4" w:rsidP="00E7414E">
            <w:pPr>
              <w:ind w:firstLine="0"/>
              <w:jc w:val="center"/>
              <w:rPr>
                <w:rFonts w:eastAsia="Arial" w:cs="Arial"/>
                <w:sz w:val="18"/>
                <w:szCs w:val="18"/>
              </w:rPr>
            </w:pPr>
            <w:r w:rsidRPr="003478AF">
              <w:rPr>
                <w:rFonts w:eastAsia="Arial" w:cs="Arial"/>
                <w:sz w:val="18"/>
                <w:szCs w:val="18"/>
              </w:rPr>
              <w:t>4.</w:t>
            </w:r>
          </w:p>
        </w:tc>
        <w:tc>
          <w:tcPr>
            <w:tcW w:w="0" w:type="auto"/>
            <w:vAlign w:val="center"/>
          </w:tcPr>
          <w:p w14:paraId="730F7713" w14:textId="2F49CBF2" w:rsidR="00DC44B4" w:rsidRPr="003478AF" w:rsidRDefault="00DC44B4" w:rsidP="00E7414E">
            <w:pPr>
              <w:ind w:firstLine="0"/>
              <w:jc w:val="left"/>
              <w:rPr>
                <w:rFonts w:eastAsia="Arial" w:cs="Arial"/>
                <w:sz w:val="18"/>
                <w:szCs w:val="18"/>
              </w:rPr>
            </w:pPr>
            <w:r w:rsidRPr="003478AF">
              <w:rPr>
                <w:rFonts w:eastAsia="Arial" w:cs="Arial"/>
                <w:sz w:val="18"/>
                <w:szCs w:val="18"/>
              </w:rPr>
              <w:t>Wodochłonność gospodarki (</w:t>
            </w:r>
            <w:r w:rsidRPr="003478AF">
              <w:rPr>
                <w:rFonts w:cs="Arial"/>
                <w:sz w:val="18"/>
                <w:szCs w:val="18"/>
              </w:rPr>
              <w:t xml:space="preserve">zużycie wody na potrzeby gospodarki narodowej i ludności </w:t>
            </w:r>
            <w:r w:rsidR="009605E0" w:rsidRPr="003478AF">
              <w:rPr>
                <w:rFonts w:cs="Arial"/>
                <w:sz w:val="18"/>
                <w:szCs w:val="18"/>
              </w:rPr>
              <w:br/>
            </w:r>
            <w:r w:rsidRPr="003478AF">
              <w:rPr>
                <w:rFonts w:cs="Arial"/>
                <w:sz w:val="18"/>
                <w:szCs w:val="18"/>
              </w:rPr>
              <w:t>w przeliczeniu na wartość PKB)</w:t>
            </w:r>
          </w:p>
        </w:tc>
        <w:tc>
          <w:tcPr>
            <w:tcW w:w="1107" w:type="dxa"/>
            <w:vAlign w:val="center"/>
          </w:tcPr>
          <w:p w14:paraId="02A61EED" w14:textId="1FA85534" w:rsidR="00DC44B4" w:rsidRPr="003478AF" w:rsidDel="0003334E" w:rsidRDefault="00DC44B4" w:rsidP="00E7414E">
            <w:pPr>
              <w:ind w:firstLine="0"/>
              <w:jc w:val="center"/>
              <w:rPr>
                <w:rFonts w:eastAsia="Arial" w:cs="Arial"/>
                <w:sz w:val="18"/>
                <w:szCs w:val="18"/>
              </w:rPr>
            </w:pPr>
            <w:r w:rsidRPr="003478AF">
              <w:rPr>
                <w:rFonts w:eastAsia="Arial" w:cs="Arial"/>
                <w:sz w:val="18"/>
                <w:szCs w:val="18"/>
              </w:rPr>
              <w:t>dam</w:t>
            </w:r>
            <w:r w:rsidRPr="003478AF">
              <w:rPr>
                <w:rFonts w:eastAsia="Arial" w:cs="Arial"/>
                <w:sz w:val="18"/>
                <w:szCs w:val="18"/>
                <w:vertAlign w:val="superscript"/>
              </w:rPr>
              <w:t>3</w:t>
            </w:r>
            <w:r w:rsidRPr="003478AF">
              <w:rPr>
                <w:rFonts w:eastAsia="Arial" w:cs="Arial"/>
                <w:sz w:val="18"/>
                <w:szCs w:val="18"/>
              </w:rPr>
              <w:t>/ mln zł</w:t>
            </w:r>
          </w:p>
        </w:tc>
        <w:tc>
          <w:tcPr>
            <w:tcW w:w="1177" w:type="dxa"/>
            <w:vAlign w:val="center"/>
          </w:tcPr>
          <w:p w14:paraId="3357FF33" w14:textId="77106368" w:rsidR="00DC44B4" w:rsidRPr="003478AF" w:rsidRDefault="00DC44B4" w:rsidP="00E7414E">
            <w:pPr>
              <w:ind w:firstLine="0"/>
              <w:jc w:val="center"/>
              <w:rPr>
                <w:rFonts w:eastAsia="Arial" w:cs="Arial"/>
                <w:sz w:val="18"/>
                <w:szCs w:val="18"/>
              </w:rPr>
            </w:pPr>
            <w:r w:rsidRPr="003478AF">
              <w:rPr>
                <w:rFonts w:eastAsia="Arial" w:cs="Arial"/>
                <w:sz w:val="18"/>
                <w:szCs w:val="18"/>
              </w:rPr>
              <w:t>11,34</w:t>
            </w:r>
          </w:p>
        </w:tc>
        <w:tc>
          <w:tcPr>
            <w:tcW w:w="0" w:type="auto"/>
            <w:vAlign w:val="center"/>
          </w:tcPr>
          <w:p w14:paraId="51E62590" w14:textId="4AC28CD5" w:rsidR="00DC44B4" w:rsidRPr="003478AF" w:rsidRDefault="00DC44B4" w:rsidP="00E7414E">
            <w:pPr>
              <w:ind w:firstLine="0"/>
              <w:jc w:val="center"/>
              <w:rPr>
                <w:rFonts w:eastAsia="Arial" w:cs="Arial"/>
                <w:sz w:val="18"/>
                <w:szCs w:val="18"/>
              </w:rPr>
            </w:pPr>
            <w:r w:rsidRPr="003478AF">
              <w:rPr>
                <w:rFonts w:eastAsia="Arial" w:cs="Arial"/>
                <w:sz w:val="18"/>
                <w:szCs w:val="18"/>
              </w:rPr>
              <w:t>5,90</w:t>
            </w:r>
          </w:p>
        </w:tc>
      </w:tr>
      <w:tr w:rsidR="00DC44B4" w:rsidRPr="003478AF" w14:paraId="6BED5538" w14:textId="77777777" w:rsidTr="00E7414E">
        <w:trPr>
          <w:trHeight w:val="283"/>
        </w:trPr>
        <w:tc>
          <w:tcPr>
            <w:tcW w:w="0" w:type="auto"/>
            <w:vAlign w:val="center"/>
          </w:tcPr>
          <w:p w14:paraId="5BF231E1" w14:textId="5EB950A4" w:rsidR="00DC44B4" w:rsidRPr="003478AF" w:rsidRDefault="00DC44B4" w:rsidP="00E7414E">
            <w:pPr>
              <w:ind w:firstLine="0"/>
              <w:jc w:val="center"/>
              <w:rPr>
                <w:rFonts w:eastAsia="Arial" w:cs="Arial"/>
                <w:sz w:val="18"/>
                <w:szCs w:val="18"/>
              </w:rPr>
            </w:pPr>
            <w:r w:rsidRPr="003478AF">
              <w:rPr>
                <w:rFonts w:eastAsia="Arial" w:cs="Arial"/>
                <w:sz w:val="18"/>
                <w:szCs w:val="18"/>
              </w:rPr>
              <w:t>5.</w:t>
            </w:r>
          </w:p>
        </w:tc>
        <w:tc>
          <w:tcPr>
            <w:tcW w:w="0" w:type="auto"/>
            <w:vAlign w:val="center"/>
          </w:tcPr>
          <w:p w14:paraId="122C83CB" w14:textId="3CA0B201" w:rsidR="00DC44B4" w:rsidRPr="003478AF" w:rsidRDefault="00DC44B4" w:rsidP="00E7414E">
            <w:pPr>
              <w:spacing w:line="240" w:lineRule="auto"/>
              <w:ind w:firstLine="0"/>
              <w:jc w:val="left"/>
              <w:rPr>
                <w:rFonts w:cs="Arial"/>
                <w:b/>
                <w:bCs/>
                <w:noProof/>
                <w:sz w:val="16"/>
                <w:szCs w:val="16"/>
              </w:rPr>
            </w:pPr>
            <w:r w:rsidRPr="003478AF">
              <w:rPr>
                <w:rFonts w:eastAsia="Arial" w:cs="Arial"/>
                <w:sz w:val="18"/>
                <w:szCs w:val="18"/>
              </w:rPr>
              <w:t xml:space="preserve">Wodochłonność gospodarstw domowych </w:t>
            </w:r>
            <w:r w:rsidRPr="003478AF">
              <w:rPr>
                <w:rFonts w:cs="Arial"/>
                <w:sz w:val="18"/>
                <w:szCs w:val="18"/>
              </w:rPr>
              <w:t>(zużyta woda z wodociągów w gospodarstwach domowych w odniesieniu do wartości dodanej brutto gospodarstw domowych)</w:t>
            </w:r>
          </w:p>
        </w:tc>
        <w:tc>
          <w:tcPr>
            <w:tcW w:w="1107" w:type="dxa"/>
            <w:vAlign w:val="center"/>
          </w:tcPr>
          <w:p w14:paraId="3E9DDF7E" w14:textId="1F90377B" w:rsidR="00DC44B4" w:rsidRPr="003478AF" w:rsidDel="0003334E" w:rsidRDefault="00DC44B4" w:rsidP="00E7414E">
            <w:pPr>
              <w:ind w:firstLine="0"/>
              <w:jc w:val="center"/>
              <w:rPr>
                <w:rFonts w:eastAsia="Arial" w:cs="Arial"/>
                <w:sz w:val="18"/>
                <w:szCs w:val="18"/>
              </w:rPr>
            </w:pPr>
            <w:r w:rsidRPr="003478AF">
              <w:rPr>
                <w:rFonts w:eastAsia="Arial" w:cs="Arial"/>
                <w:sz w:val="18"/>
                <w:szCs w:val="18"/>
              </w:rPr>
              <w:t>dam</w:t>
            </w:r>
            <w:r w:rsidRPr="003478AF">
              <w:rPr>
                <w:rFonts w:eastAsia="Arial" w:cs="Arial"/>
                <w:sz w:val="18"/>
                <w:szCs w:val="18"/>
                <w:vertAlign w:val="superscript"/>
              </w:rPr>
              <w:t>3</w:t>
            </w:r>
            <w:r w:rsidRPr="003478AF">
              <w:rPr>
                <w:rFonts w:eastAsia="Arial" w:cs="Arial"/>
                <w:sz w:val="18"/>
                <w:szCs w:val="18"/>
              </w:rPr>
              <w:t>/mln zł</w:t>
            </w:r>
          </w:p>
        </w:tc>
        <w:tc>
          <w:tcPr>
            <w:tcW w:w="1177" w:type="dxa"/>
            <w:vAlign w:val="center"/>
          </w:tcPr>
          <w:p w14:paraId="50C8B313" w14:textId="24A1B18E" w:rsidR="00DC44B4" w:rsidRPr="003478AF" w:rsidRDefault="00DC44B4" w:rsidP="00E7414E">
            <w:pPr>
              <w:ind w:firstLine="0"/>
              <w:jc w:val="center"/>
              <w:rPr>
                <w:rFonts w:eastAsia="Arial" w:cs="Arial"/>
                <w:sz w:val="18"/>
                <w:szCs w:val="18"/>
              </w:rPr>
            </w:pPr>
            <w:r w:rsidRPr="003478AF">
              <w:rPr>
                <w:rFonts w:eastAsia="Arial" w:cs="Arial"/>
                <w:sz w:val="18"/>
                <w:szCs w:val="18"/>
              </w:rPr>
              <w:t>3,12</w:t>
            </w:r>
          </w:p>
        </w:tc>
        <w:tc>
          <w:tcPr>
            <w:tcW w:w="0" w:type="auto"/>
            <w:vAlign w:val="center"/>
          </w:tcPr>
          <w:p w14:paraId="3E8ABFD0" w14:textId="6A2556D2" w:rsidR="00DC44B4" w:rsidRPr="003478AF" w:rsidRDefault="00DC44B4" w:rsidP="00E7414E">
            <w:pPr>
              <w:ind w:firstLine="0"/>
              <w:jc w:val="center"/>
              <w:rPr>
                <w:rFonts w:eastAsia="Arial" w:cs="Arial"/>
                <w:sz w:val="18"/>
                <w:szCs w:val="18"/>
              </w:rPr>
            </w:pPr>
            <w:r w:rsidRPr="003478AF">
              <w:rPr>
                <w:rFonts w:eastAsia="Arial" w:cs="Arial"/>
                <w:sz w:val="18"/>
                <w:szCs w:val="18"/>
              </w:rPr>
              <w:t>1,63</w:t>
            </w:r>
          </w:p>
        </w:tc>
      </w:tr>
      <w:tr w:rsidR="00DC44B4" w:rsidRPr="003478AF" w14:paraId="20202AA7" w14:textId="77777777" w:rsidTr="00E7414E">
        <w:trPr>
          <w:trHeight w:val="283"/>
        </w:trPr>
        <w:tc>
          <w:tcPr>
            <w:tcW w:w="0" w:type="auto"/>
            <w:vAlign w:val="center"/>
          </w:tcPr>
          <w:p w14:paraId="736D767D" w14:textId="746FC73D" w:rsidR="00DC44B4" w:rsidRPr="003478AF" w:rsidRDefault="00DC44B4" w:rsidP="00E7414E">
            <w:pPr>
              <w:ind w:firstLine="0"/>
              <w:jc w:val="center"/>
              <w:rPr>
                <w:rFonts w:eastAsia="Arial" w:cs="Arial"/>
                <w:sz w:val="18"/>
                <w:szCs w:val="18"/>
              </w:rPr>
            </w:pPr>
            <w:r w:rsidRPr="003478AF">
              <w:rPr>
                <w:rFonts w:eastAsia="Arial" w:cs="Arial"/>
                <w:sz w:val="18"/>
                <w:szCs w:val="18"/>
              </w:rPr>
              <w:t>6.</w:t>
            </w:r>
          </w:p>
        </w:tc>
        <w:tc>
          <w:tcPr>
            <w:tcW w:w="0" w:type="auto"/>
            <w:vAlign w:val="center"/>
          </w:tcPr>
          <w:p w14:paraId="663D7141" w14:textId="07A07609" w:rsidR="00DC44B4" w:rsidRPr="003478AF" w:rsidRDefault="00DC44B4" w:rsidP="00E7414E">
            <w:pPr>
              <w:ind w:firstLine="0"/>
              <w:jc w:val="left"/>
              <w:rPr>
                <w:rFonts w:eastAsia="Arial" w:cs="Arial"/>
                <w:sz w:val="18"/>
                <w:szCs w:val="18"/>
              </w:rPr>
            </w:pPr>
            <w:r w:rsidRPr="003478AF">
              <w:rPr>
                <w:rFonts w:eastAsia="Arial" w:cs="Arial"/>
                <w:sz w:val="18"/>
                <w:szCs w:val="18"/>
              </w:rPr>
              <w:t>Ścieki przemysłowe odprowadzone w ciągu roku</w:t>
            </w:r>
          </w:p>
        </w:tc>
        <w:tc>
          <w:tcPr>
            <w:tcW w:w="1107" w:type="dxa"/>
            <w:vAlign w:val="center"/>
          </w:tcPr>
          <w:p w14:paraId="40CB63D3" w14:textId="3580A602" w:rsidR="00DC44B4" w:rsidRPr="003478AF" w:rsidDel="0003334E" w:rsidRDefault="00DC44B4" w:rsidP="00E7414E">
            <w:pPr>
              <w:ind w:firstLine="0"/>
              <w:jc w:val="center"/>
              <w:rPr>
                <w:rFonts w:eastAsia="Arial" w:cs="Arial"/>
                <w:sz w:val="18"/>
                <w:szCs w:val="18"/>
              </w:rPr>
            </w:pPr>
            <w:r w:rsidRPr="003478AF">
              <w:rPr>
                <w:rFonts w:eastAsia="Arial" w:cs="Arial"/>
                <w:sz w:val="18"/>
                <w:szCs w:val="18"/>
              </w:rPr>
              <w:t>mln dam</w:t>
            </w:r>
            <w:r w:rsidRPr="003478AF">
              <w:rPr>
                <w:rFonts w:eastAsia="Arial" w:cs="Arial"/>
                <w:sz w:val="18"/>
                <w:szCs w:val="18"/>
                <w:vertAlign w:val="superscript"/>
              </w:rPr>
              <w:t>3</w:t>
            </w:r>
          </w:p>
        </w:tc>
        <w:tc>
          <w:tcPr>
            <w:tcW w:w="1177" w:type="dxa"/>
            <w:vAlign w:val="center"/>
          </w:tcPr>
          <w:p w14:paraId="5E2EB888" w14:textId="236D6DE6" w:rsidR="00DC44B4" w:rsidRPr="003478AF" w:rsidRDefault="00DC44B4" w:rsidP="00E7414E">
            <w:pPr>
              <w:ind w:firstLine="0"/>
              <w:jc w:val="center"/>
              <w:rPr>
                <w:rFonts w:eastAsia="Arial" w:cs="Arial"/>
                <w:sz w:val="18"/>
                <w:szCs w:val="18"/>
              </w:rPr>
            </w:pPr>
            <w:r w:rsidRPr="003478AF">
              <w:rPr>
                <w:rFonts w:eastAsia="Arial" w:cs="Arial"/>
                <w:sz w:val="18"/>
                <w:szCs w:val="18"/>
              </w:rPr>
              <w:t>1,33</w:t>
            </w:r>
          </w:p>
        </w:tc>
        <w:tc>
          <w:tcPr>
            <w:tcW w:w="0" w:type="auto"/>
            <w:vAlign w:val="center"/>
          </w:tcPr>
          <w:p w14:paraId="416A2527" w14:textId="381DDBDC" w:rsidR="00DC44B4" w:rsidRPr="003478AF" w:rsidRDefault="00DC44B4" w:rsidP="00E7414E">
            <w:pPr>
              <w:ind w:firstLine="0"/>
              <w:jc w:val="center"/>
              <w:rPr>
                <w:rFonts w:eastAsia="Arial" w:cs="Arial"/>
                <w:sz w:val="18"/>
                <w:szCs w:val="18"/>
              </w:rPr>
            </w:pPr>
            <w:r w:rsidRPr="003478AF">
              <w:rPr>
                <w:rFonts w:eastAsia="Arial" w:cs="Arial"/>
                <w:sz w:val="18"/>
                <w:szCs w:val="18"/>
              </w:rPr>
              <w:t>0,62</w:t>
            </w:r>
          </w:p>
        </w:tc>
      </w:tr>
      <w:tr w:rsidR="00DC44B4" w:rsidRPr="003478AF" w14:paraId="229F90BB" w14:textId="77777777" w:rsidTr="00E7414E">
        <w:trPr>
          <w:trHeight w:val="283"/>
        </w:trPr>
        <w:tc>
          <w:tcPr>
            <w:tcW w:w="0" w:type="auto"/>
            <w:vAlign w:val="center"/>
          </w:tcPr>
          <w:p w14:paraId="2568FA33" w14:textId="6FCC07F3" w:rsidR="00DC44B4" w:rsidRPr="003478AF" w:rsidRDefault="00DC44B4" w:rsidP="00E7414E">
            <w:pPr>
              <w:ind w:firstLine="0"/>
              <w:jc w:val="center"/>
              <w:rPr>
                <w:rFonts w:eastAsia="Arial" w:cs="Arial"/>
                <w:sz w:val="18"/>
                <w:szCs w:val="18"/>
              </w:rPr>
            </w:pPr>
            <w:r w:rsidRPr="003478AF">
              <w:rPr>
                <w:rFonts w:eastAsia="Arial" w:cs="Arial"/>
                <w:sz w:val="18"/>
                <w:szCs w:val="18"/>
              </w:rPr>
              <w:t>7.</w:t>
            </w:r>
          </w:p>
        </w:tc>
        <w:tc>
          <w:tcPr>
            <w:tcW w:w="0" w:type="auto"/>
            <w:vAlign w:val="center"/>
          </w:tcPr>
          <w:p w14:paraId="7DFC80F7" w14:textId="050C3D35" w:rsidR="00DC44B4" w:rsidRPr="003478AF" w:rsidRDefault="00DC44B4" w:rsidP="00E7414E">
            <w:pPr>
              <w:ind w:firstLine="0"/>
              <w:jc w:val="left"/>
              <w:rPr>
                <w:rFonts w:eastAsia="Arial" w:cs="Arial"/>
                <w:sz w:val="18"/>
                <w:szCs w:val="18"/>
              </w:rPr>
            </w:pPr>
            <w:r w:rsidRPr="003478AF">
              <w:rPr>
                <w:rFonts w:eastAsia="Arial" w:cs="Arial"/>
                <w:sz w:val="18"/>
                <w:szCs w:val="18"/>
              </w:rPr>
              <w:t>Ścieki przemysłowe odprowadzone w ciągu roku do sieci kanalizacyjnej</w:t>
            </w:r>
          </w:p>
        </w:tc>
        <w:tc>
          <w:tcPr>
            <w:tcW w:w="1107" w:type="dxa"/>
            <w:vAlign w:val="center"/>
          </w:tcPr>
          <w:p w14:paraId="77D3B278" w14:textId="7E1AC83D" w:rsidR="00DC44B4" w:rsidRPr="003478AF" w:rsidDel="0003334E" w:rsidRDefault="00DC44B4" w:rsidP="00E7414E">
            <w:pPr>
              <w:ind w:firstLine="0"/>
              <w:jc w:val="center"/>
              <w:rPr>
                <w:rFonts w:eastAsia="Arial" w:cs="Arial"/>
                <w:sz w:val="18"/>
                <w:szCs w:val="18"/>
              </w:rPr>
            </w:pPr>
            <w:r w:rsidRPr="003478AF">
              <w:rPr>
                <w:rFonts w:eastAsia="Arial" w:cs="Arial"/>
                <w:sz w:val="18"/>
                <w:szCs w:val="18"/>
              </w:rPr>
              <w:t>tys. dam</w:t>
            </w:r>
            <w:r w:rsidRPr="003478AF">
              <w:rPr>
                <w:rFonts w:eastAsia="Arial" w:cs="Arial"/>
                <w:sz w:val="18"/>
                <w:szCs w:val="18"/>
                <w:vertAlign w:val="superscript"/>
              </w:rPr>
              <w:t>3</w:t>
            </w:r>
          </w:p>
        </w:tc>
        <w:tc>
          <w:tcPr>
            <w:tcW w:w="1177" w:type="dxa"/>
            <w:vAlign w:val="center"/>
          </w:tcPr>
          <w:p w14:paraId="5AEC7E50" w14:textId="49BA620A" w:rsidR="00DC44B4" w:rsidRPr="003478AF" w:rsidRDefault="00DC44B4" w:rsidP="00E7414E">
            <w:pPr>
              <w:ind w:firstLine="0"/>
              <w:jc w:val="center"/>
              <w:rPr>
                <w:rFonts w:eastAsia="Arial" w:cs="Arial"/>
                <w:sz w:val="18"/>
                <w:szCs w:val="18"/>
              </w:rPr>
            </w:pPr>
            <w:r w:rsidRPr="003478AF">
              <w:rPr>
                <w:rFonts w:eastAsia="Arial" w:cs="Arial"/>
                <w:sz w:val="18"/>
                <w:szCs w:val="18"/>
              </w:rPr>
              <w:t>9,29</w:t>
            </w:r>
          </w:p>
        </w:tc>
        <w:tc>
          <w:tcPr>
            <w:tcW w:w="0" w:type="auto"/>
            <w:vAlign w:val="center"/>
          </w:tcPr>
          <w:p w14:paraId="3DB6A332" w14:textId="0E4FFA85" w:rsidR="00DC44B4" w:rsidRPr="003478AF" w:rsidRDefault="00DC44B4" w:rsidP="00E7414E">
            <w:pPr>
              <w:ind w:firstLine="0"/>
              <w:jc w:val="center"/>
              <w:rPr>
                <w:rFonts w:eastAsia="Arial" w:cs="Arial"/>
                <w:sz w:val="18"/>
                <w:szCs w:val="18"/>
              </w:rPr>
            </w:pPr>
            <w:r w:rsidRPr="003478AF">
              <w:rPr>
                <w:rFonts w:eastAsia="Arial" w:cs="Arial"/>
                <w:sz w:val="18"/>
                <w:szCs w:val="18"/>
              </w:rPr>
              <w:t>8,89</w:t>
            </w:r>
          </w:p>
        </w:tc>
      </w:tr>
      <w:tr w:rsidR="00DC44B4" w:rsidRPr="003478AF" w14:paraId="21541858" w14:textId="77777777" w:rsidTr="00E7414E">
        <w:trPr>
          <w:trHeight w:val="283"/>
        </w:trPr>
        <w:tc>
          <w:tcPr>
            <w:tcW w:w="0" w:type="auto"/>
            <w:vAlign w:val="center"/>
          </w:tcPr>
          <w:p w14:paraId="7E2F500D" w14:textId="2D4A6E79" w:rsidR="00DC44B4" w:rsidRPr="003478AF" w:rsidRDefault="00DC44B4" w:rsidP="00E7414E">
            <w:pPr>
              <w:ind w:firstLine="0"/>
              <w:jc w:val="center"/>
              <w:rPr>
                <w:rFonts w:eastAsia="Arial" w:cs="Arial"/>
                <w:sz w:val="18"/>
                <w:szCs w:val="18"/>
              </w:rPr>
            </w:pPr>
            <w:r w:rsidRPr="003478AF">
              <w:rPr>
                <w:rFonts w:eastAsia="Arial" w:cs="Arial"/>
                <w:sz w:val="18"/>
                <w:szCs w:val="18"/>
              </w:rPr>
              <w:t>8.</w:t>
            </w:r>
          </w:p>
        </w:tc>
        <w:tc>
          <w:tcPr>
            <w:tcW w:w="0" w:type="auto"/>
            <w:vAlign w:val="center"/>
          </w:tcPr>
          <w:p w14:paraId="781F0193" w14:textId="03B0FB9A" w:rsidR="00DC44B4" w:rsidRPr="003478AF" w:rsidRDefault="00DC44B4" w:rsidP="00E7414E">
            <w:pPr>
              <w:ind w:firstLine="0"/>
              <w:jc w:val="left"/>
              <w:rPr>
                <w:rFonts w:eastAsia="Arial" w:cs="Arial"/>
                <w:sz w:val="18"/>
                <w:szCs w:val="18"/>
              </w:rPr>
            </w:pPr>
            <w:r w:rsidRPr="003478AF">
              <w:rPr>
                <w:rFonts w:cs="Arial"/>
                <w:sz w:val="18"/>
                <w:szCs w:val="18"/>
              </w:rPr>
              <w:t>Ścieki przemysłowe i komunalne wymagające oczyszczania odprowadzone do wód lub do ziemi w ciągu roku na 1 mieszkańca</w:t>
            </w:r>
          </w:p>
        </w:tc>
        <w:tc>
          <w:tcPr>
            <w:tcW w:w="1107" w:type="dxa"/>
            <w:vAlign w:val="center"/>
          </w:tcPr>
          <w:p w14:paraId="3C2FB634" w14:textId="155BD246" w:rsidR="00DC44B4" w:rsidRPr="003478AF" w:rsidDel="0003334E" w:rsidRDefault="00DC44B4" w:rsidP="00E7414E">
            <w:pPr>
              <w:ind w:firstLine="0"/>
              <w:jc w:val="center"/>
              <w:rPr>
                <w:rFonts w:eastAsia="Arial" w:cs="Arial"/>
                <w:sz w:val="18"/>
                <w:szCs w:val="18"/>
              </w:rPr>
            </w:pPr>
            <w:r w:rsidRPr="003478AF">
              <w:rPr>
                <w:rFonts w:eastAsia="Arial" w:cs="Arial"/>
                <w:sz w:val="18"/>
                <w:szCs w:val="18"/>
              </w:rPr>
              <w:t>m</w:t>
            </w:r>
            <w:r w:rsidRPr="003478AF">
              <w:rPr>
                <w:rFonts w:eastAsia="Arial" w:cs="Arial"/>
                <w:sz w:val="18"/>
                <w:szCs w:val="18"/>
                <w:vertAlign w:val="superscript"/>
              </w:rPr>
              <w:t>3</w:t>
            </w:r>
          </w:p>
        </w:tc>
        <w:tc>
          <w:tcPr>
            <w:tcW w:w="1177" w:type="dxa"/>
            <w:vAlign w:val="center"/>
          </w:tcPr>
          <w:p w14:paraId="588C522C" w14:textId="22EFAD95" w:rsidR="00DC44B4" w:rsidRPr="003478AF" w:rsidRDefault="00DC44B4" w:rsidP="00E7414E">
            <w:pPr>
              <w:ind w:firstLine="0"/>
              <w:jc w:val="center"/>
              <w:rPr>
                <w:rFonts w:eastAsia="Arial" w:cs="Arial"/>
                <w:sz w:val="18"/>
                <w:szCs w:val="18"/>
              </w:rPr>
            </w:pPr>
            <w:r w:rsidRPr="003478AF">
              <w:rPr>
                <w:rFonts w:eastAsia="Arial" w:cs="Arial"/>
                <w:sz w:val="18"/>
                <w:szCs w:val="18"/>
              </w:rPr>
              <w:t>58,2</w:t>
            </w:r>
          </w:p>
        </w:tc>
        <w:tc>
          <w:tcPr>
            <w:tcW w:w="0" w:type="auto"/>
            <w:vAlign w:val="center"/>
          </w:tcPr>
          <w:p w14:paraId="1A393FDF" w14:textId="6C884F73" w:rsidR="00DC44B4" w:rsidRPr="003478AF" w:rsidRDefault="00DC44B4" w:rsidP="00E7414E">
            <w:pPr>
              <w:ind w:firstLine="0"/>
              <w:jc w:val="center"/>
              <w:rPr>
                <w:rFonts w:eastAsia="Arial" w:cs="Arial"/>
                <w:sz w:val="18"/>
                <w:szCs w:val="18"/>
              </w:rPr>
            </w:pPr>
            <w:r w:rsidRPr="003478AF">
              <w:rPr>
                <w:rFonts w:eastAsia="Arial" w:cs="Arial"/>
                <w:sz w:val="18"/>
                <w:szCs w:val="18"/>
              </w:rPr>
              <w:t>59,04</w:t>
            </w:r>
          </w:p>
        </w:tc>
      </w:tr>
      <w:tr w:rsidR="00DC44B4" w:rsidRPr="003478AF" w14:paraId="595D10EC" w14:textId="77777777" w:rsidTr="00E7414E">
        <w:trPr>
          <w:trHeight w:val="283"/>
        </w:trPr>
        <w:tc>
          <w:tcPr>
            <w:tcW w:w="0" w:type="auto"/>
            <w:vAlign w:val="center"/>
          </w:tcPr>
          <w:p w14:paraId="5F453A17" w14:textId="21EE5C85" w:rsidR="00DC44B4" w:rsidRPr="003478AF" w:rsidRDefault="00DC44B4" w:rsidP="00E7414E">
            <w:pPr>
              <w:ind w:firstLine="0"/>
              <w:jc w:val="center"/>
              <w:rPr>
                <w:rFonts w:eastAsia="Arial" w:cs="Arial"/>
                <w:sz w:val="18"/>
                <w:szCs w:val="18"/>
              </w:rPr>
            </w:pPr>
            <w:r w:rsidRPr="003478AF">
              <w:rPr>
                <w:rFonts w:eastAsia="Arial" w:cs="Arial"/>
                <w:sz w:val="18"/>
                <w:szCs w:val="18"/>
              </w:rPr>
              <w:t>9.</w:t>
            </w:r>
          </w:p>
        </w:tc>
        <w:tc>
          <w:tcPr>
            <w:tcW w:w="0" w:type="auto"/>
            <w:vAlign w:val="center"/>
          </w:tcPr>
          <w:p w14:paraId="2834CF14" w14:textId="1E23E2DE" w:rsidR="00DC44B4" w:rsidRPr="003478AF" w:rsidRDefault="00DC44B4" w:rsidP="00E7414E">
            <w:pPr>
              <w:ind w:firstLine="0"/>
              <w:jc w:val="left"/>
              <w:rPr>
                <w:rFonts w:eastAsia="Arial" w:cs="Arial"/>
                <w:sz w:val="18"/>
                <w:szCs w:val="18"/>
              </w:rPr>
            </w:pPr>
            <w:r w:rsidRPr="003478AF">
              <w:rPr>
                <w:rFonts w:eastAsia="Arial" w:cs="Arial"/>
                <w:sz w:val="18"/>
                <w:szCs w:val="18"/>
              </w:rPr>
              <w:t>Emisja metanu z zakładów szczególnie uciążliwych</w:t>
            </w:r>
          </w:p>
        </w:tc>
        <w:tc>
          <w:tcPr>
            <w:tcW w:w="1107" w:type="dxa"/>
            <w:vAlign w:val="center"/>
          </w:tcPr>
          <w:p w14:paraId="47CE665B" w14:textId="445CE863" w:rsidR="00DC44B4" w:rsidRPr="003478AF" w:rsidDel="0003334E" w:rsidRDefault="00DC44B4" w:rsidP="00E7414E">
            <w:pPr>
              <w:ind w:firstLine="0"/>
              <w:jc w:val="center"/>
              <w:rPr>
                <w:rFonts w:eastAsia="Arial" w:cs="Arial"/>
                <w:sz w:val="18"/>
                <w:szCs w:val="18"/>
              </w:rPr>
            </w:pPr>
            <w:r w:rsidRPr="003478AF">
              <w:rPr>
                <w:rFonts w:eastAsia="Arial" w:cs="Arial"/>
                <w:sz w:val="18"/>
                <w:szCs w:val="18"/>
              </w:rPr>
              <w:t>tys. ton/rok</w:t>
            </w:r>
          </w:p>
        </w:tc>
        <w:tc>
          <w:tcPr>
            <w:tcW w:w="1177" w:type="dxa"/>
            <w:vAlign w:val="center"/>
          </w:tcPr>
          <w:p w14:paraId="0CF8F7A7" w14:textId="133CB10C" w:rsidR="00DC44B4" w:rsidRPr="003478AF" w:rsidRDefault="00DC44B4" w:rsidP="00E7414E">
            <w:pPr>
              <w:ind w:firstLine="0"/>
              <w:jc w:val="center"/>
              <w:rPr>
                <w:rFonts w:eastAsia="Arial" w:cs="Arial"/>
                <w:sz w:val="18"/>
                <w:szCs w:val="18"/>
              </w:rPr>
            </w:pPr>
            <w:r w:rsidRPr="003478AF">
              <w:rPr>
                <w:rFonts w:eastAsia="Arial" w:cs="Arial"/>
                <w:sz w:val="18"/>
                <w:szCs w:val="18"/>
              </w:rPr>
              <w:t>15,7</w:t>
            </w:r>
          </w:p>
        </w:tc>
        <w:tc>
          <w:tcPr>
            <w:tcW w:w="0" w:type="auto"/>
            <w:vAlign w:val="center"/>
          </w:tcPr>
          <w:p w14:paraId="46417CC9" w14:textId="1A60CAAA" w:rsidR="00DC44B4" w:rsidRPr="003478AF" w:rsidRDefault="00DC44B4" w:rsidP="00E7414E">
            <w:pPr>
              <w:ind w:firstLine="0"/>
              <w:jc w:val="center"/>
              <w:rPr>
                <w:rFonts w:eastAsia="Arial" w:cs="Arial"/>
                <w:sz w:val="18"/>
                <w:szCs w:val="18"/>
              </w:rPr>
            </w:pPr>
            <w:r w:rsidRPr="003478AF">
              <w:rPr>
                <w:rFonts w:eastAsia="Arial" w:cs="Arial"/>
                <w:sz w:val="18"/>
                <w:szCs w:val="18"/>
              </w:rPr>
              <w:t>2,7</w:t>
            </w:r>
          </w:p>
        </w:tc>
      </w:tr>
      <w:tr w:rsidR="00DC44B4" w:rsidRPr="003478AF" w14:paraId="070FC1D9" w14:textId="77777777" w:rsidTr="00E7414E">
        <w:trPr>
          <w:trHeight w:val="283"/>
        </w:trPr>
        <w:tc>
          <w:tcPr>
            <w:tcW w:w="0" w:type="auto"/>
            <w:vAlign w:val="center"/>
          </w:tcPr>
          <w:p w14:paraId="0D1237B5" w14:textId="0E4BA32B" w:rsidR="00DC44B4" w:rsidRPr="003478AF" w:rsidRDefault="00DC44B4" w:rsidP="00E7414E">
            <w:pPr>
              <w:ind w:firstLine="0"/>
              <w:jc w:val="center"/>
              <w:rPr>
                <w:rFonts w:eastAsia="Arial" w:cs="Arial"/>
                <w:sz w:val="18"/>
                <w:szCs w:val="18"/>
              </w:rPr>
            </w:pPr>
            <w:r w:rsidRPr="003478AF">
              <w:rPr>
                <w:rFonts w:eastAsia="Arial" w:cs="Arial"/>
                <w:sz w:val="18"/>
                <w:szCs w:val="18"/>
              </w:rPr>
              <w:t>10.</w:t>
            </w:r>
          </w:p>
        </w:tc>
        <w:tc>
          <w:tcPr>
            <w:tcW w:w="0" w:type="auto"/>
            <w:vAlign w:val="center"/>
          </w:tcPr>
          <w:p w14:paraId="63C1E701" w14:textId="14617E60" w:rsidR="00DC44B4" w:rsidRPr="003478AF" w:rsidRDefault="00DC44B4" w:rsidP="00E7414E">
            <w:pPr>
              <w:ind w:firstLine="0"/>
              <w:jc w:val="left"/>
              <w:rPr>
                <w:rFonts w:eastAsia="Arial" w:cs="Arial"/>
                <w:sz w:val="18"/>
                <w:szCs w:val="18"/>
              </w:rPr>
            </w:pPr>
            <w:r w:rsidRPr="003478AF">
              <w:rPr>
                <w:rFonts w:eastAsia="Arial" w:cs="Arial"/>
                <w:sz w:val="18"/>
                <w:szCs w:val="18"/>
              </w:rPr>
              <w:t>Emisja dwutlenku węgla z zakładów szczególnie uciążliwych dla czystości powietrza</w:t>
            </w:r>
          </w:p>
        </w:tc>
        <w:tc>
          <w:tcPr>
            <w:tcW w:w="1107" w:type="dxa"/>
            <w:vAlign w:val="center"/>
          </w:tcPr>
          <w:p w14:paraId="3C8462E5" w14:textId="6B4EF870" w:rsidR="00DC44B4" w:rsidRPr="003478AF" w:rsidDel="0003334E" w:rsidRDefault="00DC44B4" w:rsidP="00E7414E">
            <w:pPr>
              <w:ind w:firstLine="0"/>
              <w:jc w:val="center"/>
              <w:rPr>
                <w:rFonts w:eastAsia="Arial" w:cs="Arial"/>
                <w:sz w:val="18"/>
                <w:szCs w:val="18"/>
              </w:rPr>
            </w:pPr>
            <w:r w:rsidRPr="003478AF">
              <w:rPr>
                <w:rFonts w:eastAsia="Arial" w:cs="Arial"/>
                <w:sz w:val="18"/>
                <w:szCs w:val="18"/>
              </w:rPr>
              <w:t>mln ton/rok</w:t>
            </w:r>
          </w:p>
        </w:tc>
        <w:tc>
          <w:tcPr>
            <w:tcW w:w="1177" w:type="dxa"/>
            <w:vAlign w:val="center"/>
          </w:tcPr>
          <w:p w14:paraId="20C80894" w14:textId="6FE021D7" w:rsidR="00DC44B4" w:rsidRPr="003478AF" w:rsidRDefault="00DC44B4" w:rsidP="00E7414E">
            <w:pPr>
              <w:ind w:firstLine="0"/>
              <w:jc w:val="center"/>
              <w:rPr>
                <w:rFonts w:eastAsia="Arial" w:cs="Arial"/>
                <w:sz w:val="18"/>
                <w:szCs w:val="18"/>
              </w:rPr>
            </w:pPr>
            <w:r w:rsidRPr="003478AF">
              <w:rPr>
                <w:rFonts w:eastAsia="Arial" w:cs="Arial"/>
                <w:sz w:val="18"/>
                <w:szCs w:val="18"/>
              </w:rPr>
              <w:t>16,7</w:t>
            </w:r>
          </w:p>
        </w:tc>
        <w:tc>
          <w:tcPr>
            <w:tcW w:w="0" w:type="auto"/>
            <w:vAlign w:val="center"/>
          </w:tcPr>
          <w:p w14:paraId="34FDC8DE" w14:textId="047F292C" w:rsidR="00DC44B4" w:rsidRPr="003478AF" w:rsidRDefault="00DC44B4" w:rsidP="00E7414E">
            <w:pPr>
              <w:ind w:firstLine="0"/>
              <w:jc w:val="center"/>
              <w:rPr>
                <w:rFonts w:eastAsia="Arial" w:cs="Arial"/>
                <w:sz w:val="18"/>
                <w:szCs w:val="18"/>
              </w:rPr>
            </w:pPr>
            <w:r w:rsidRPr="003478AF">
              <w:rPr>
                <w:rFonts w:eastAsia="Arial" w:cs="Arial"/>
                <w:sz w:val="18"/>
                <w:szCs w:val="18"/>
              </w:rPr>
              <w:t>8,06</w:t>
            </w:r>
          </w:p>
        </w:tc>
      </w:tr>
      <w:tr w:rsidR="00DC44B4" w:rsidRPr="003478AF" w14:paraId="683D93DF" w14:textId="77777777" w:rsidTr="00E7414E">
        <w:trPr>
          <w:trHeight w:val="283"/>
        </w:trPr>
        <w:tc>
          <w:tcPr>
            <w:tcW w:w="0" w:type="auto"/>
            <w:vAlign w:val="center"/>
          </w:tcPr>
          <w:p w14:paraId="208E01B2" w14:textId="1D5B3E66" w:rsidR="00DC44B4" w:rsidRPr="003478AF" w:rsidRDefault="00DC44B4" w:rsidP="00E7414E">
            <w:pPr>
              <w:ind w:firstLine="0"/>
              <w:jc w:val="center"/>
              <w:rPr>
                <w:rFonts w:eastAsia="Arial" w:cs="Arial"/>
                <w:sz w:val="18"/>
                <w:szCs w:val="18"/>
              </w:rPr>
            </w:pPr>
            <w:r w:rsidRPr="003478AF">
              <w:rPr>
                <w:rFonts w:eastAsia="Arial" w:cs="Arial"/>
                <w:sz w:val="18"/>
                <w:szCs w:val="18"/>
              </w:rPr>
              <w:t>11.</w:t>
            </w:r>
          </w:p>
        </w:tc>
        <w:tc>
          <w:tcPr>
            <w:tcW w:w="0" w:type="auto"/>
            <w:vAlign w:val="center"/>
          </w:tcPr>
          <w:p w14:paraId="028C431B" w14:textId="3A87CFDF" w:rsidR="00DC44B4" w:rsidRPr="003478AF" w:rsidRDefault="00DC44B4" w:rsidP="00E7414E">
            <w:pPr>
              <w:ind w:firstLine="0"/>
              <w:jc w:val="left"/>
              <w:rPr>
                <w:rFonts w:eastAsia="Arial" w:cs="Arial"/>
                <w:sz w:val="18"/>
                <w:szCs w:val="18"/>
              </w:rPr>
            </w:pPr>
            <w:r w:rsidRPr="003478AF">
              <w:rPr>
                <w:rFonts w:eastAsia="Arial" w:cs="Arial"/>
                <w:sz w:val="18"/>
                <w:szCs w:val="18"/>
              </w:rPr>
              <w:t xml:space="preserve">Emisja zanieczyszczeń pyłowych powietrza </w:t>
            </w:r>
            <w:r w:rsidR="009605E0" w:rsidRPr="003478AF">
              <w:rPr>
                <w:rFonts w:eastAsia="Arial" w:cs="Arial"/>
                <w:sz w:val="18"/>
                <w:szCs w:val="18"/>
              </w:rPr>
              <w:br/>
            </w:r>
            <w:r w:rsidRPr="003478AF">
              <w:rPr>
                <w:rFonts w:eastAsia="Arial" w:cs="Arial"/>
                <w:sz w:val="18"/>
                <w:szCs w:val="18"/>
              </w:rPr>
              <w:t>z zakładów szczególnie uciążliwych dla czystości powietrza</w:t>
            </w:r>
          </w:p>
        </w:tc>
        <w:tc>
          <w:tcPr>
            <w:tcW w:w="1107" w:type="dxa"/>
            <w:vAlign w:val="center"/>
          </w:tcPr>
          <w:p w14:paraId="57D54CFC" w14:textId="4F9DD68D" w:rsidR="00DC44B4" w:rsidRPr="003478AF" w:rsidDel="0003334E" w:rsidRDefault="00DC44B4" w:rsidP="00E7414E">
            <w:pPr>
              <w:ind w:firstLine="0"/>
              <w:jc w:val="center"/>
              <w:rPr>
                <w:rFonts w:eastAsia="Arial" w:cs="Arial"/>
                <w:sz w:val="18"/>
                <w:szCs w:val="18"/>
              </w:rPr>
            </w:pPr>
            <w:r w:rsidRPr="003478AF">
              <w:rPr>
                <w:rFonts w:eastAsia="Arial" w:cs="Arial"/>
                <w:sz w:val="18"/>
                <w:szCs w:val="18"/>
              </w:rPr>
              <w:t>tys. ton/rok</w:t>
            </w:r>
          </w:p>
        </w:tc>
        <w:tc>
          <w:tcPr>
            <w:tcW w:w="1177" w:type="dxa"/>
            <w:vAlign w:val="center"/>
          </w:tcPr>
          <w:p w14:paraId="59F708CC" w14:textId="02DF16D9" w:rsidR="00DC44B4" w:rsidRPr="003478AF" w:rsidRDefault="00DC44B4" w:rsidP="00E7414E">
            <w:pPr>
              <w:ind w:firstLine="0"/>
              <w:jc w:val="center"/>
              <w:rPr>
                <w:rFonts w:eastAsia="Arial" w:cs="Arial"/>
                <w:sz w:val="18"/>
                <w:szCs w:val="18"/>
              </w:rPr>
            </w:pPr>
            <w:r w:rsidRPr="003478AF">
              <w:rPr>
                <w:rFonts w:eastAsia="Arial" w:cs="Arial"/>
                <w:sz w:val="18"/>
                <w:szCs w:val="18"/>
              </w:rPr>
              <w:t>5,6</w:t>
            </w:r>
          </w:p>
        </w:tc>
        <w:tc>
          <w:tcPr>
            <w:tcW w:w="0" w:type="auto"/>
            <w:vAlign w:val="center"/>
          </w:tcPr>
          <w:p w14:paraId="75195778" w14:textId="437C4080" w:rsidR="00DC44B4" w:rsidRPr="003478AF" w:rsidRDefault="00DC44B4" w:rsidP="00E7414E">
            <w:pPr>
              <w:ind w:firstLine="0"/>
              <w:jc w:val="center"/>
              <w:rPr>
                <w:rFonts w:eastAsia="Arial" w:cs="Arial"/>
                <w:sz w:val="18"/>
                <w:szCs w:val="18"/>
              </w:rPr>
            </w:pPr>
            <w:r w:rsidRPr="003478AF">
              <w:rPr>
                <w:rFonts w:eastAsia="Arial" w:cs="Arial"/>
                <w:sz w:val="18"/>
                <w:szCs w:val="18"/>
              </w:rPr>
              <w:t>0,85</w:t>
            </w:r>
          </w:p>
        </w:tc>
      </w:tr>
      <w:tr w:rsidR="00DC44B4" w:rsidRPr="003478AF" w14:paraId="5F47AFDA" w14:textId="77777777" w:rsidTr="00E7414E">
        <w:trPr>
          <w:trHeight w:val="283"/>
        </w:trPr>
        <w:tc>
          <w:tcPr>
            <w:tcW w:w="0" w:type="auto"/>
            <w:vAlign w:val="center"/>
          </w:tcPr>
          <w:p w14:paraId="76A516B2" w14:textId="10C334CA" w:rsidR="00DC44B4" w:rsidRPr="003478AF" w:rsidRDefault="00DC44B4" w:rsidP="00E7414E">
            <w:pPr>
              <w:ind w:firstLine="0"/>
              <w:jc w:val="center"/>
              <w:rPr>
                <w:rFonts w:eastAsia="Arial" w:cs="Arial"/>
                <w:sz w:val="18"/>
                <w:szCs w:val="18"/>
              </w:rPr>
            </w:pPr>
            <w:r w:rsidRPr="003478AF">
              <w:rPr>
                <w:rFonts w:eastAsia="Arial" w:cs="Arial"/>
                <w:sz w:val="18"/>
                <w:szCs w:val="18"/>
              </w:rPr>
              <w:t>12.</w:t>
            </w:r>
          </w:p>
        </w:tc>
        <w:tc>
          <w:tcPr>
            <w:tcW w:w="0" w:type="auto"/>
            <w:vAlign w:val="center"/>
          </w:tcPr>
          <w:p w14:paraId="1D5EC6D4" w14:textId="068C685A" w:rsidR="00DC44B4" w:rsidRPr="003478AF" w:rsidRDefault="00DC44B4" w:rsidP="00E7414E">
            <w:pPr>
              <w:ind w:firstLine="0"/>
              <w:jc w:val="left"/>
              <w:rPr>
                <w:rFonts w:eastAsia="Arial" w:cs="Arial"/>
                <w:sz w:val="18"/>
                <w:szCs w:val="18"/>
              </w:rPr>
            </w:pPr>
            <w:r w:rsidRPr="003478AF">
              <w:rPr>
                <w:rFonts w:eastAsia="Arial" w:cs="Arial"/>
                <w:sz w:val="18"/>
                <w:szCs w:val="18"/>
              </w:rPr>
              <w:t xml:space="preserve">Emisja zanieczyszczeń gazowych powietrza </w:t>
            </w:r>
            <w:r w:rsidR="009605E0" w:rsidRPr="003478AF">
              <w:rPr>
                <w:rFonts w:eastAsia="Arial" w:cs="Arial"/>
                <w:sz w:val="18"/>
                <w:szCs w:val="18"/>
              </w:rPr>
              <w:br/>
            </w:r>
            <w:r w:rsidRPr="003478AF">
              <w:rPr>
                <w:rFonts w:eastAsia="Arial" w:cs="Arial"/>
                <w:sz w:val="18"/>
                <w:szCs w:val="18"/>
              </w:rPr>
              <w:t>z zakładów szczególnie uciążliwych dla czystości powietrza</w:t>
            </w:r>
          </w:p>
        </w:tc>
        <w:tc>
          <w:tcPr>
            <w:tcW w:w="1107" w:type="dxa"/>
            <w:vAlign w:val="center"/>
          </w:tcPr>
          <w:p w14:paraId="25DCA00F" w14:textId="753CAE6B" w:rsidR="00DC44B4" w:rsidRPr="003478AF" w:rsidDel="0003334E" w:rsidRDefault="00DC44B4" w:rsidP="00E7414E">
            <w:pPr>
              <w:ind w:firstLine="0"/>
              <w:jc w:val="center"/>
              <w:rPr>
                <w:rFonts w:eastAsia="Arial" w:cs="Arial"/>
                <w:sz w:val="18"/>
                <w:szCs w:val="18"/>
              </w:rPr>
            </w:pPr>
            <w:r w:rsidRPr="003478AF">
              <w:rPr>
                <w:rFonts w:eastAsia="Arial" w:cs="Arial"/>
                <w:sz w:val="18"/>
                <w:szCs w:val="18"/>
              </w:rPr>
              <w:t>tys. ton/rok</w:t>
            </w:r>
          </w:p>
        </w:tc>
        <w:tc>
          <w:tcPr>
            <w:tcW w:w="1177" w:type="dxa"/>
            <w:vAlign w:val="center"/>
          </w:tcPr>
          <w:p w14:paraId="57FE6D4F" w14:textId="72C5F9D0" w:rsidR="00DC44B4" w:rsidRPr="003478AF" w:rsidRDefault="00DC44B4" w:rsidP="00E7414E">
            <w:pPr>
              <w:ind w:firstLine="0"/>
              <w:jc w:val="center"/>
              <w:rPr>
                <w:rFonts w:eastAsia="Arial" w:cs="Arial"/>
                <w:sz w:val="18"/>
                <w:szCs w:val="18"/>
              </w:rPr>
            </w:pPr>
            <w:r w:rsidRPr="003478AF">
              <w:rPr>
                <w:rFonts w:eastAsia="Arial" w:cs="Arial"/>
                <w:sz w:val="18"/>
                <w:szCs w:val="18"/>
              </w:rPr>
              <w:t>16,8</w:t>
            </w:r>
          </w:p>
        </w:tc>
        <w:tc>
          <w:tcPr>
            <w:tcW w:w="0" w:type="auto"/>
            <w:vAlign w:val="center"/>
          </w:tcPr>
          <w:p w14:paraId="56B455AD" w14:textId="300DA0FE" w:rsidR="00DC44B4" w:rsidRPr="003478AF" w:rsidRDefault="00DC44B4" w:rsidP="00E7414E">
            <w:pPr>
              <w:ind w:firstLine="0"/>
              <w:jc w:val="center"/>
              <w:rPr>
                <w:rFonts w:eastAsia="Arial" w:cs="Arial"/>
                <w:sz w:val="18"/>
                <w:szCs w:val="18"/>
              </w:rPr>
            </w:pPr>
            <w:r w:rsidRPr="003478AF">
              <w:rPr>
                <w:rFonts w:eastAsia="Arial" w:cs="Arial"/>
                <w:sz w:val="18"/>
                <w:szCs w:val="18"/>
              </w:rPr>
              <w:t>6,3</w:t>
            </w:r>
          </w:p>
        </w:tc>
      </w:tr>
      <w:tr w:rsidR="001E53B7" w:rsidRPr="003478AF" w14:paraId="033C55F4" w14:textId="77777777" w:rsidTr="00E7414E">
        <w:trPr>
          <w:trHeight w:val="283"/>
        </w:trPr>
        <w:tc>
          <w:tcPr>
            <w:tcW w:w="0" w:type="auto"/>
            <w:vAlign w:val="center"/>
          </w:tcPr>
          <w:p w14:paraId="48382376" w14:textId="15E5F0A4" w:rsidR="001E53B7" w:rsidRPr="003478AF" w:rsidRDefault="001E53B7" w:rsidP="00E7414E">
            <w:pPr>
              <w:ind w:firstLine="0"/>
              <w:jc w:val="center"/>
              <w:rPr>
                <w:rFonts w:eastAsia="Arial" w:cs="Arial"/>
                <w:sz w:val="18"/>
                <w:szCs w:val="18"/>
              </w:rPr>
            </w:pPr>
            <w:r w:rsidRPr="003478AF">
              <w:rPr>
                <w:rFonts w:eastAsia="Arial" w:cs="Arial"/>
                <w:sz w:val="18"/>
                <w:szCs w:val="18"/>
              </w:rPr>
              <w:t>13.</w:t>
            </w:r>
          </w:p>
        </w:tc>
        <w:tc>
          <w:tcPr>
            <w:tcW w:w="0" w:type="auto"/>
            <w:vAlign w:val="center"/>
          </w:tcPr>
          <w:p w14:paraId="2CB5354B" w14:textId="516EA0F5" w:rsidR="001E53B7" w:rsidRPr="003478AF" w:rsidRDefault="00DC44B4" w:rsidP="00E7414E">
            <w:pPr>
              <w:ind w:firstLine="0"/>
              <w:jc w:val="left"/>
              <w:rPr>
                <w:rFonts w:eastAsia="Arial" w:cs="Arial"/>
                <w:sz w:val="18"/>
                <w:szCs w:val="18"/>
              </w:rPr>
            </w:pPr>
            <w:r w:rsidRPr="003478AF">
              <w:rPr>
                <w:rFonts w:eastAsia="Arial" w:cs="Arial"/>
                <w:sz w:val="18"/>
                <w:szCs w:val="18"/>
              </w:rPr>
              <w:t>Odpady komunalne zebrane w ciągu roku</w:t>
            </w:r>
          </w:p>
        </w:tc>
        <w:tc>
          <w:tcPr>
            <w:tcW w:w="1107" w:type="dxa"/>
            <w:vAlign w:val="center"/>
          </w:tcPr>
          <w:p w14:paraId="2550EF59" w14:textId="33FC3EDA" w:rsidR="001E53B7" w:rsidRPr="003478AF" w:rsidDel="0003334E" w:rsidRDefault="00AA1FCE" w:rsidP="00E7414E">
            <w:pPr>
              <w:ind w:firstLine="0"/>
              <w:jc w:val="center"/>
              <w:rPr>
                <w:rFonts w:eastAsia="Arial" w:cs="Arial"/>
                <w:sz w:val="18"/>
                <w:szCs w:val="18"/>
              </w:rPr>
            </w:pPr>
            <w:r w:rsidRPr="003478AF">
              <w:rPr>
                <w:rFonts w:eastAsia="Arial" w:cs="Arial"/>
                <w:sz w:val="18"/>
                <w:szCs w:val="18"/>
              </w:rPr>
              <w:t xml:space="preserve">tys. </w:t>
            </w:r>
            <w:r w:rsidR="001E53B7" w:rsidRPr="003478AF">
              <w:rPr>
                <w:rFonts w:eastAsia="Arial" w:cs="Arial"/>
                <w:sz w:val="18"/>
                <w:szCs w:val="18"/>
              </w:rPr>
              <w:t>ton</w:t>
            </w:r>
          </w:p>
        </w:tc>
        <w:tc>
          <w:tcPr>
            <w:tcW w:w="1177" w:type="dxa"/>
            <w:vAlign w:val="center"/>
          </w:tcPr>
          <w:p w14:paraId="3ECA4667" w14:textId="6F03EDF6" w:rsidR="001E53B7" w:rsidRPr="003478AF" w:rsidRDefault="00AA1FCE" w:rsidP="00E7414E">
            <w:pPr>
              <w:ind w:firstLine="0"/>
              <w:jc w:val="center"/>
              <w:rPr>
                <w:rFonts w:eastAsia="Arial" w:cs="Arial"/>
                <w:sz w:val="18"/>
                <w:szCs w:val="18"/>
              </w:rPr>
            </w:pPr>
            <w:r w:rsidRPr="003478AF">
              <w:rPr>
                <w:rFonts w:eastAsia="Arial" w:cs="Arial"/>
                <w:sz w:val="18"/>
                <w:szCs w:val="18"/>
              </w:rPr>
              <w:t>915,1</w:t>
            </w:r>
          </w:p>
        </w:tc>
        <w:tc>
          <w:tcPr>
            <w:tcW w:w="0" w:type="auto"/>
            <w:vAlign w:val="center"/>
          </w:tcPr>
          <w:p w14:paraId="70FBB42F" w14:textId="563D45BB" w:rsidR="001E53B7" w:rsidRPr="003478AF" w:rsidRDefault="001E7D79" w:rsidP="00E7414E">
            <w:pPr>
              <w:ind w:firstLine="0"/>
              <w:jc w:val="center"/>
              <w:rPr>
                <w:rFonts w:eastAsia="Arial" w:cs="Arial"/>
                <w:sz w:val="18"/>
                <w:szCs w:val="18"/>
              </w:rPr>
            </w:pPr>
            <w:r w:rsidRPr="003478AF">
              <w:rPr>
                <w:rFonts w:eastAsia="Arial" w:cs="Arial"/>
                <w:sz w:val="18"/>
                <w:szCs w:val="18"/>
              </w:rPr>
              <w:t>1</w:t>
            </w:r>
            <w:r w:rsidR="002C33F5" w:rsidRPr="003478AF">
              <w:rPr>
                <w:rFonts w:eastAsia="Arial" w:cs="Arial"/>
                <w:sz w:val="18"/>
                <w:szCs w:val="18"/>
              </w:rPr>
              <w:t xml:space="preserve"> </w:t>
            </w:r>
            <w:r w:rsidRPr="003478AF">
              <w:rPr>
                <w:rFonts w:eastAsia="Arial" w:cs="Arial"/>
                <w:sz w:val="18"/>
                <w:szCs w:val="18"/>
              </w:rPr>
              <w:t>421</w:t>
            </w:r>
            <w:r w:rsidR="00AA1FCE" w:rsidRPr="003478AF">
              <w:rPr>
                <w:rFonts w:eastAsia="Arial" w:cs="Arial"/>
                <w:sz w:val="18"/>
                <w:szCs w:val="18"/>
              </w:rPr>
              <w:t>,5</w:t>
            </w:r>
          </w:p>
        </w:tc>
      </w:tr>
      <w:tr w:rsidR="005A7C67" w:rsidRPr="003478AF" w14:paraId="5EC7B89B" w14:textId="77777777" w:rsidTr="00E7414E">
        <w:trPr>
          <w:trHeight w:val="283"/>
        </w:trPr>
        <w:tc>
          <w:tcPr>
            <w:tcW w:w="0" w:type="auto"/>
            <w:vAlign w:val="center"/>
          </w:tcPr>
          <w:p w14:paraId="4BEE1280" w14:textId="5F9CC1CB" w:rsidR="005A7C67" w:rsidRPr="003478AF" w:rsidRDefault="005A7C67" w:rsidP="00E7414E">
            <w:pPr>
              <w:ind w:firstLine="0"/>
              <w:jc w:val="center"/>
              <w:rPr>
                <w:rFonts w:eastAsia="Arial" w:cs="Arial"/>
                <w:sz w:val="18"/>
                <w:szCs w:val="18"/>
              </w:rPr>
            </w:pPr>
            <w:r w:rsidRPr="003478AF">
              <w:rPr>
                <w:rFonts w:eastAsia="Arial" w:cs="Arial"/>
                <w:sz w:val="18"/>
                <w:szCs w:val="18"/>
              </w:rPr>
              <w:t>14.</w:t>
            </w:r>
          </w:p>
        </w:tc>
        <w:tc>
          <w:tcPr>
            <w:tcW w:w="0" w:type="auto"/>
            <w:vAlign w:val="center"/>
          </w:tcPr>
          <w:p w14:paraId="5C322E83" w14:textId="1BC3606A" w:rsidR="005A7C67" w:rsidRPr="003478AF" w:rsidRDefault="005A7C67" w:rsidP="00E7414E">
            <w:pPr>
              <w:ind w:firstLine="0"/>
              <w:jc w:val="left"/>
              <w:rPr>
                <w:rFonts w:eastAsia="Arial" w:cs="Arial"/>
                <w:sz w:val="18"/>
                <w:szCs w:val="18"/>
              </w:rPr>
            </w:pPr>
            <w:r w:rsidRPr="003478AF">
              <w:rPr>
                <w:rFonts w:eastAsia="Arial" w:cs="Arial"/>
                <w:sz w:val="18"/>
                <w:szCs w:val="18"/>
              </w:rPr>
              <w:t>Ilość zmieszanych odpadów zebranych w ciągu roku na 1 mieszkańca</w:t>
            </w:r>
          </w:p>
        </w:tc>
        <w:tc>
          <w:tcPr>
            <w:tcW w:w="1107" w:type="dxa"/>
            <w:vAlign w:val="center"/>
          </w:tcPr>
          <w:p w14:paraId="30F28BFB" w14:textId="645DD1DE" w:rsidR="005A7C67" w:rsidRPr="003478AF" w:rsidDel="0003334E" w:rsidRDefault="005A7C67" w:rsidP="00E7414E">
            <w:pPr>
              <w:ind w:firstLine="0"/>
              <w:jc w:val="center"/>
              <w:rPr>
                <w:rFonts w:eastAsia="Arial" w:cs="Arial"/>
                <w:sz w:val="18"/>
                <w:szCs w:val="18"/>
              </w:rPr>
            </w:pPr>
            <w:r w:rsidRPr="003478AF">
              <w:rPr>
                <w:rFonts w:eastAsia="Arial" w:cs="Arial"/>
                <w:sz w:val="18"/>
                <w:szCs w:val="18"/>
              </w:rPr>
              <w:t>kg</w:t>
            </w:r>
          </w:p>
        </w:tc>
        <w:tc>
          <w:tcPr>
            <w:tcW w:w="1177" w:type="dxa"/>
            <w:vAlign w:val="center"/>
          </w:tcPr>
          <w:p w14:paraId="0C2F3C26" w14:textId="315689EA" w:rsidR="005A7C67" w:rsidRPr="003478AF" w:rsidRDefault="001E53B7" w:rsidP="00E7414E">
            <w:pPr>
              <w:ind w:firstLine="0"/>
              <w:jc w:val="center"/>
              <w:rPr>
                <w:rFonts w:eastAsia="Arial" w:cs="Arial"/>
                <w:sz w:val="18"/>
                <w:szCs w:val="18"/>
              </w:rPr>
            </w:pPr>
            <w:r w:rsidRPr="003478AF">
              <w:rPr>
                <w:rFonts w:eastAsia="Arial" w:cs="Arial"/>
                <w:sz w:val="18"/>
                <w:szCs w:val="18"/>
              </w:rPr>
              <w:t>239</w:t>
            </w:r>
          </w:p>
        </w:tc>
        <w:tc>
          <w:tcPr>
            <w:tcW w:w="0" w:type="auto"/>
            <w:vAlign w:val="center"/>
          </w:tcPr>
          <w:p w14:paraId="0B232825" w14:textId="04CCDC20" w:rsidR="005A7C67" w:rsidRPr="003478AF" w:rsidRDefault="00AA1FCE" w:rsidP="00E7414E">
            <w:pPr>
              <w:ind w:firstLine="0"/>
              <w:jc w:val="center"/>
              <w:rPr>
                <w:rFonts w:eastAsia="Arial" w:cs="Arial"/>
                <w:sz w:val="18"/>
                <w:szCs w:val="18"/>
              </w:rPr>
            </w:pPr>
            <w:r w:rsidRPr="003478AF">
              <w:rPr>
                <w:rFonts w:eastAsia="Arial" w:cs="Arial"/>
                <w:sz w:val="18"/>
                <w:szCs w:val="18"/>
              </w:rPr>
              <w:t>257</w:t>
            </w:r>
          </w:p>
        </w:tc>
      </w:tr>
      <w:tr w:rsidR="005A7C67" w:rsidRPr="003478AF" w14:paraId="4B559226" w14:textId="77777777" w:rsidTr="00E7414E">
        <w:trPr>
          <w:trHeight w:val="283"/>
        </w:trPr>
        <w:tc>
          <w:tcPr>
            <w:tcW w:w="0" w:type="auto"/>
            <w:vAlign w:val="center"/>
          </w:tcPr>
          <w:p w14:paraId="05F7C739" w14:textId="700042A6" w:rsidR="005A7C67" w:rsidRPr="003478AF" w:rsidRDefault="005A7C67" w:rsidP="00E7414E">
            <w:pPr>
              <w:ind w:firstLine="0"/>
              <w:jc w:val="center"/>
              <w:rPr>
                <w:rFonts w:eastAsia="Arial" w:cs="Arial"/>
                <w:sz w:val="18"/>
                <w:szCs w:val="18"/>
              </w:rPr>
            </w:pPr>
            <w:r w:rsidRPr="003478AF">
              <w:rPr>
                <w:rFonts w:eastAsia="Arial" w:cs="Arial"/>
                <w:sz w:val="18"/>
                <w:szCs w:val="18"/>
              </w:rPr>
              <w:t>15.</w:t>
            </w:r>
          </w:p>
        </w:tc>
        <w:tc>
          <w:tcPr>
            <w:tcW w:w="0" w:type="auto"/>
            <w:vAlign w:val="center"/>
          </w:tcPr>
          <w:p w14:paraId="2F01EFBF" w14:textId="322D799A" w:rsidR="005A7C67" w:rsidRPr="003478AF" w:rsidRDefault="00DC44B4" w:rsidP="00E7414E">
            <w:pPr>
              <w:ind w:firstLine="0"/>
              <w:jc w:val="left"/>
              <w:rPr>
                <w:rFonts w:eastAsia="Arial" w:cs="Arial"/>
                <w:sz w:val="18"/>
                <w:szCs w:val="18"/>
              </w:rPr>
            </w:pPr>
            <w:r w:rsidRPr="003478AF">
              <w:rPr>
                <w:rFonts w:eastAsia="Arial" w:cs="Arial"/>
                <w:sz w:val="18"/>
                <w:szCs w:val="18"/>
              </w:rPr>
              <w:t>Udział odpadów zebranych selektywnie w ilości odpadów ogółem</w:t>
            </w:r>
          </w:p>
        </w:tc>
        <w:tc>
          <w:tcPr>
            <w:tcW w:w="1107" w:type="dxa"/>
            <w:vAlign w:val="center"/>
          </w:tcPr>
          <w:p w14:paraId="2DF5B789" w14:textId="7E491945" w:rsidR="005A7C67" w:rsidRPr="003478AF" w:rsidDel="0003334E" w:rsidRDefault="005A7C67" w:rsidP="00E7414E">
            <w:pPr>
              <w:ind w:firstLine="0"/>
              <w:jc w:val="center"/>
              <w:rPr>
                <w:rFonts w:eastAsia="Arial" w:cs="Arial"/>
                <w:sz w:val="18"/>
                <w:szCs w:val="18"/>
              </w:rPr>
            </w:pPr>
            <w:r w:rsidRPr="003478AF">
              <w:rPr>
                <w:rFonts w:eastAsia="Arial" w:cs="Arial"/>
                <w:sz w:val="18"/>
                <w:szCs w:val="18"/>
              </w:rPr>
              <w:t>%</w:t>
            </w:r>
          </w:p>
        </w:tc>
        <w:tc>
          <w:tcPr>
            <w:tcW w:w="1177" w:type="dxa"/>
            <w:vAlign w:val="center"/>
          </w:tcPr>
          <w:p w14:paraId="78573944" w14:textId="7BD99D89" w:rsidR="005A7C67" w:rsidRPr="003478AF" w:rsidRDefault="001E53B7" w:rsidP="00E7414E">
            <w:pPr>
              <w:ind w:firstLine="0"/>
              <w:jc w:val="center"/>
              <w:rPr>
                <w:rFonts w:eastAsia="Arial" w:cs="Arial"/>
                <w:sz w:val="18"/>
                <w:szCs w:val="18"/>
              </w:rPr>
            </w:pPr>
            <w:r w:rsidRPr="003478AF">
              <w:rPr>
                <w:rFonts w:eastAsia="Arial" w:cs="Arial"/>
                <w:sz w:val="18"/>
                <w:szCs w:val="18"/>
              </w:rPr>
              <w:t>10,3</w:t>
            </w:r>
          </w:p>
        </w:tc>
        <w:tc>
          <w:tcPr>
            <w:tcW w:w="0" w:type="auto"/>
            <w:vAlign w:val="center"/>
          </w:tcPr>
          <w:p w14:paraId="453CDF76" w14:textId="0E459772" w:rsidR="005A7C67" w:rsidRPr="003478AF" w:rsidRDefault="001E7D79" w:rsidP="00E7414E">
            <w:pPr>
              <w:ind w:firstLine="0"/>
              <w:jc w:val="center"/>
              <w:rPr>
                <w:rFonts w:eastAsia="Arial" w:cs="Arial"/>
                <w:sz w:val="18"/>
                <w:szCs w:val="18"/>
              </w:rPr>
            </w:pPr>
            <w:r w:rsidRPr="003478AF">
              <w:rPr>
                <w:rFonts w:eastAsia="Arial" w:cs="Arial"/>
                <w:sz w:val="18"/>
                <w:szCs w:val="18"/>
              </w:rPr>
              <w:t>42,9</w:t>
            </w:r>
          </w:p>
        </w:tc>
      </w:tr>
      <w:tr w:rsidR="005A7C67" w:rsidRPr="003478AF" w14:paraId="0F898A5B" w14:textId="77777777" w:rsidTr="00E7414E">
        <w:trPr>
          <w:trHeight w:val="283"/>
        </w:trPr>
        <w:tc>
          <w:tcPr>
            <w:tcW w:w="0" w:type="auto"/>
            <w:vAlign w:val="center"/>
          </w:tcPr>
          <w:p w14:paraId="2D285C42" w14:textId="1ECF9DD3" w:rsidR="005A7C67" w:rsidRPr="003478AF" w:rsidRDefault="005A7C67" w:rsidP="00E7414E">
            <w:pPr>
              <w:ind w:firstLine="0"/>
              <w:jc w:val="center"/>
              <w:rPr>
                <w:rFonts w:eastAsia="Arial" w:cs="Arial"/>
                <w:sz w:val="18"/>
                <w:szCs w:val="18"/>
              </w:rPr>
            </w:pPr>
            <w:r w:rsidRPr="003478AF">
              <w:rPr>
                <w:rFonts w:eastAsia="Arial" w:cs="Arial"/>
                <w:sz w:val="18"/>
                <w:szCs w:val="18"/>
              </w:rPr>
              <w:t>16.</w:t>
            </w:r>
          </w:p>
        </w:tc>
        <w:tc>
          <w:tcPr>
            <w:tcW w:w="0" w:type="auto"/>
            <w:vAlign w:val="center"/>
          </w:tcPr>
          <w:p w14:paraId="2CD4A54E" w14:textId="61C88130" w:rsidR="005A7C67" w:rsidRPr="003478AF" w:rsidRDefault="005A7C67" w:rsidP="00E7414E">
            <w:pPr>
              <w:spacing w:line="240" w:lineRule="auto"/>
              <w:ind w:firstLine="0"/>
              <w:jc w:val="left"/>
              <w:rPr>
                <w:rFonts w:cs="Arial"/>
                <w:b/>
                <w:bCs/>
                <w:noProof/>
                <w:sz w:val="16"/>
                <w:szCs w:val="16"/>
              </w:rPr>
            </w:pPr>
            <w:bookmarkStart w:id="93" w:name="_Hlk75825431"/>
            <w:r w:rsidRPr="003478AF">
              <w:rPr>
                <w:rFonts w:eastAsia="Arial" w:cs="Arial"/>
                <w:sz w:val="18"/>
                <w:szCs w:val="18"/>
              </w:rPr>
              <w:t>Ilość odpadów biodegradowalnych zebranych selektywnie w ciągu roku</w:t>
            </w:r>
            <w:bookmarkEnd w:id="93"/>
          </w:p>
        </w:tc>
        <w:tc>
          <w:tcPr>
            <w:tcW w:w="1107" w:type="dxa"/>
            <w:vAlign w:val="center"/>
          </w:tcPr>
          <w:p w14:paraId="6E28A714" w14:textId="2EA7ABD8" w:rsidR="005A7C67" w:rsidRPr="003478AF" w:rsidDel="0003334E" w:rsidRDefault="001E7D79" w:rsidP="00E7414E">
            <w:pPr>
              <w:ind w:firstLine="0"/>
              <w:jc w:val="center"/>
              <w:rPr>
                <w:rFonts w:eastAsia="Arial" w:cs="Arial"/>
                <w:sz w:val="18"/>
                <w:szCs w:val="18"/>
              </w:rPr>
            </w:pPr>
            <w:r w:rsidRPr="003478AF">
              <w:rPr>
                <w:rFonts w:eastAsia="Arial" w:cs="Arial"/>
                <w:sz w:val="18"/>
                <w:szCs w:val="18"/>
              </w:rPr>
              <w:t xml:space="preserve">tys. </w:t>
            </w:r>
            <w:r w:rsidR="005A7C67" w:rsidRPr="003478AF">
              <w:rPr>
                <w:rFonts w:eastAsia="Arial" w:cs="Arial"/>
                <w:sz w:val="18"/>
                <w:szCs w:val="18"/>
              </w:rPr>
              <w:t>ton</w:t>
            </w:r>
          </w:p>
        </w:tc>
        <w:tc>
          <w:tcPr>
            <w:tcW w:w="1177" w:type="dxa"/>
            <w:vAlign w:val="center"/>
          </w:tcPr>
          <w:p w14:paraId="74D67195" w14:textId="6411087E" w:rsidR="005A7C67" w:rsidRPr="003478AF" w:rsidRDefault="001E53B7" w:rsidP="00E7414E">
            <w:pPr>
              <w:ind w:firstLine="0"/>
              <w:jc w:val="center"/>
              <w:rPr>
                <w:rFonts w:eastAsia="Arial" w:cs="Arial"/>
                <w:sz w:val="18"/>
                <w:szCs w:val="18"/>
              </w:rPr>
            </w:pPr>
            <w:r w:rsidRPr="003478AF">
              <w:rPr>
                <w:rFonts w:eastAsia="Arial" w:cs="Arial"/>
                <w:sz w:val="18"/>
                <w:szCs w:val="18"/>
              </w:rPr>
              <w:t>14,8</w:t>
            </w:r>
          </w:p>
        </w:tc>
        <w:tc>
          <w:tcPr>
            <w:tcW w:w="0" w:type="auto"/>
            <w:vAlign w:val="center"/>
          </w:tcPr>
          <w:p w14:paraId="61D04F92" w14:textId="7C7FC5DA" w:rsidR="005A7C67" w:rsidRPr="003478AF" w:rsidRDefault="001E7D79" w:rsidP="00E7414E">
            <w:pPr>
              <w:ind w:firstLine="0"/>
              <w:jc w:val="center"/>
              <w:rPr>
                <w:rFonts w:eastAsia="Arial" w:cs="Arial"/>
                <w:sz w:val="18"/>
                <w:szCs w:val="18"/>
              </w:rPr>
            </w:pPr>
            <w:r w:rsidRPr="003478AF">
              <w:rPr>
                <w:rFonts w:eastAsia="Arial" w:cs="Arial"/>
                <w:sz w:val="18"/>
                <w:szCs w:val="18"/>
              </w:rPr>
              <w:t>251,1</w:t>
            </w:r>
          </w:p>
        </w:tc>
      </w:tr>
      <w:tr w:rsidR="005A7C67" w:rsidRPr="003478AF" w14:paraId="361C3A9C" w14:textId="77777777" w:rsidTr="00E7414E">
        <w:trPr>
          <w:trHeight w:val="283"/>
        </w:trPr>
        <w:tc>
          <w:tcPr>
            <w:tcW w:w="0" w:type="auto"/>
            <w:vAlign w:val="center"/>
          </w:tcPr>
          <w:p w14:paraId="372767F4" w14:textId="4CD6349B" w:rsidR="005A7C67" w:rsidRPr="003478AF" w:rsidRDefault="005A7C67" w:rsidP="00E7414E">
            <w:pPr>
              <w:ind w:firstLine="0"/>
              <w:jc w:val="center"/>
              <w:rPr>
                <w:rFonts w:eastAsia="Arial" w:cs="Arial"/>
                <w:sz w:val="18"/>
                <w:szCs w:val="18"/>
              </w:rPr>
            </w:pPr>
            <w:r w:rsidRPr="003478AF">
              <w:rPr>
                <w:rFonts w:eastAsia="Arial" w:cs="Arial"/>
                <w:sz w:val="18"/>
                <w:szCs w:val="18"/>
              </w:rPr>
              <w:lastRenderedPageBreak/>
              <w:t>17.</w:t>
            </w:r>
          </w:p>
        </w:tc>
        <w:tc>
          <w:tcPr>
            <w:tcW w:w="0" w:type="auto"/>
            <w:vAlign w:val="center"/>
          </w:tcPr>
          <w:p w14:paraId="2A8D7145" w14:textId="667D946B" w:rsidR="005A7C67" w:rsidRPr="003478AF" w:rsidRDefault="001E7D79" w:rsidP="00E7414E">
            <w:pPr>
              <w:ind w:firstLine="0"/>
              <w:jc w:val="left"/>
              <w:rPr>
                <w:rFonts w:eastAsia="Arial" w:cs="Arial"/>
                <w:sz w:val="18"/>
                <w:szCs w:val="18"/>
              </w:rPr>
            </w:pPr>
            <w:bookmarkStart w:id="94" w:name="_Hlk75825451"/>
            <w:r w:rsidRPr="003478AF">
              <w:rPr>
                <w:rFonts w:eastAsia="Arial" w:cs="Arial"/>
                <w:sz w:val="18"/>
                <w:szCs w:val="18"/>
              </w:rPr>
              <w:t>N</w:t>
            </w:r>
            <w:r w:rsidR="005A7C67" w:rsidRPr="003478AF">
              <w:rPr>
                <w:rFonts w:eastAsia="Arial" w:cs="Arial"/>
                <w:sz w:val="18"/>
                <w:szCs w:val="18"/>
              </w:rPr>
              <w:t>akład</w:t>
            </w:r>
            <w:r w:rsidRPr="003478AF">
              <w:rPr>
                <w:rFonts w:eastAsia="Arial" w:cs="Arial"/>
                <w:sz w:val="18"/>
                <w:szCs w:val="18"/>
              </w:rPr>
              <w:t>y</w:t>
            </w:r>
            <w:r w:rsidR="005A7C67" w:rsidRPr="003478AF">
              <w:rPr>
                <w:rFonts w:eastAsia="Arial" w:cs="Arial"/>
                <w:sz w:val="18"/>
                <w:szCs w:val="18"/>
              </w:rPr>
              <w:t xml:space="preserve"> na</w:t>
            </w:r>
            <w:r w:rsidRPr="003478AF">
              <w:rPr>
                <w:rFonts w:eastAsia="Arial" w:cs="Arial"/>
                <w:sz w:val="18"/>
                <w:szCs w:val="18"/>
              </w:rPr>
              <w:t xml:space="preserve"> środki trwałe </w:t>
            </w:r>
            <w:r w:rsidR="00AA1FCE" w:rsidRPr="003478AF">
              <w:rPr>
                <w:rFonts w:eastAsia="Arial" w:cs="Arial"/>
                <w:sz w:val="18"/>
                <w:szCs w:val="18"/>
              </w:rPr>
              <w:t>służ</w:t>
            </w:r>
            <w:r w:rsidR="00653664" w:rsidRPr="003478AF">
              <w:rPr>
                <w:rFonts w:eastAsia="Arial" w:cs="Arial"/>
                <w:sz w:val="18"/>
                <w:szCs w:val="18"/>
              </w:rPr>
              <w:t>ą</w:t>
            </w:r>
            <w:r w:rsidR="00AA1FCE" w:rsidRPr="003478AF">
              <w:rPr>
                <w:rFonts w:eastAsia="Arial" w:cs="Arial"/>
                <w:sz w:val="18"/>
                <w:szCs w:val="18"/>
              </w:rPr>
              <w:t>ce</w:t>
            </w:r>
            <w:r w:rsidR="005A7C67" w:rsidRPr="003478AF">
              <w:rPr>
                <w:rFonts w:eastAsia="Arial" w:cs="Arial"/>
                <w:sz w:val="18"/>
                <w:szCs w:val="18"/>
              </w:rPr>
              <w:t xml:space="preserve"> </w:t>
            </w:r>
            <w:r w:rsidR="00AA1FCE" w:rsidRPr="003478AF">
              <w:rPr>
                <w:rFonts w:eastAsia="Arial" w:cs="Arial"/>
                <w:sz w:val="18"/>
                <w:szCs w:val="18"/>
              </w:rPr>
              <w:t>ochronie</w:t>
            </w:r>
            <w:r w:rsidR="005A7C67" w:rsidRPr="003478AF">
              <w:rPr>
                <w:rFonts w:eastAsia="Arial" w:cs="Arial"/>
                <w:sz w:val="18"/>
                <w:szCs w:val="18"/>
              </w:rPr>
              <w:t xml:space="preserve"> środowiska</w:t>
            </w:r>
            <w:bookmarkEnd w:id="94"/>
          </w:p>
        </w:tc>
        <w:tc>
          <w:tcPr>
            <w:tcW w:w="1107" w:type="dxa"/>
            <w:vAlign w:val="center"/>
          </w:tcPr>
          <w:p w14:paraId="68FEBAEC" w14:textId="5F498BF3" w:rsidR="005A7C67" w:rsidRPr="003478AF" w:rsidDel="0003334E" w:rsidRDefault="001E7D79" w:rsidP="00E7414E">
            <w:pPr>
              <w:ind w:firstLine="0"/>
              <w:jc w:val="center"/>
              <w:rPr>
                <w:rFonts w:eastAsia="Arial" w:cs="Arial"/>
                <w:sz w:val="18"/>
                <w:szCs w:val="18"/>
              </w:rPr>
            </w:pPr>
            <w:r w:rsidRPr="003478AF">
              <w:rPr>
                <w:rFonts w:eastAsia="Arial" w:cs="Arial"/>
                <w:sz w:val="18"/>
                <w:szCs w:val="18"/>
              </w:rPr>
              <w:t xml:space="preserve">mln </w:t>
            </w:r>
            <w:r w:rsidR="005A7C67" w:rsidRPr="003478AF">
              <w:rPr>
                <w:rFonts w:eastAsia="Arial" w:cs="Arial"/>
                <w:sz w:val="18"/>
                <w:szCs w:val="18"/>
              </w:rPr>
              <w:t>zł</w:t>
            </w:r>
          </w:p>
        </w:tc>
        <w:tc>
          <w:tcPr>
            <w:tcW w:w="1177" w:type="dxa"/>
            <w:vAlign w:val="center"/>
          </w:tcPr>
          <w:p w14:paraId="0F3F1DFD" w14:textId="77374BCA" w:rsidR="005A7C67" w:rsidRPr="003478AF" w:rsidRDefault="00AA1FCE" w:rsidP="00E7414E">
            <w:pPr>
              <w:ind w:firstLine="0"/>
              <w:jc w:val="center"/>
              <w:rPr>
                <w:rFonts w:eastAsia="Arial" w:cs="Arial"/>
                <w:sz w:val="18"/>
                <w:szCs w:val="18"/>
              </w:rPr>
            </w:pPr>
            <w:r w:rsidRPr="003478AF">
              <w:rPr>
                <w:rFonts w:eastAsia="Arial" w:cs="Arial"/>
                <w:sz w:val="18"/>
                <w:szCs w:val="18"/>
              </w:rPr>
              <w:t>863,7</w:t>
            </w:r>
          </w:p>
        </w:tc>
        <w:tc>
          <w:tcPr>
            <w:tcW w:w="0" w:type="auto"/>
            <w:vAlign w:val="center"/>
          </w:tcPr>
          <w:p w14:paraId="036E360D" w14:textId="47C58188" w:rsidR="005A7C67" w:rsidRPr="003478AF" w:rsidRDefault="001E7D79" w:rsidP="00E7414E">
            <w:pPr>
              <w:ind w:firstLine="0"/>
              <w:jc w:val="center"/>
              <w:rPr>
                <w:rFonts w:eastAsia="Arial" w:cs="Arial"/>
                <w:sz w:val="18"/>
                <w:szCs w:val="18"/>
              </w:rPr>
            </w:pPr>
            <w:r w:rsidRPr="003478AF">
              <w:rPr>
                <w:rFonts w:eastAsia="Arial" w:cs="Arial"/>
                <w:sz w:val="18"/>
                <w:szCs w:val="18"/>
              </w:rPr>
              <w:t>1 5</w:t>
            </w:r>
            <w:r w:rsidR="00AA1FCE" w:rsidRPr="003478AF">
              <w:rPr>
                <w:rFonts w:eastAsia="Arial" w:cs="Arial"/>
                <w:sz w:val="18"/>
                <w:szCs w:val="18"/>
              </w:rPr>
              <w:t>59</w:t>
            </w:r>
            <w:r w:rsidRPr="003478AF">
              <w:rPr>
                <w:rFonts w:eastAsia="Arial" w:cs="Arial"/>
                <w:sz w:val="18"/>
                <w:szCs w:val="18"/>
              </w:rPr>
              <w:t>,</w:t>
            </w:r>
            <w:r w:rsidR="00AA1FCE" w:rsidRPr="003478AF">
              <w:rPr>
                <w:rFonts w:eastAsia="Arial" w:cs="Arial"/>
                <w:sz w:val="18"/>
                <w:szCs w:val="18"/>
              </w:rPr>
              <w:t>3</w:t>
            </w:r>
          </w:p>
        </w:tc>
      </w:tr>
      <w:tr w:rsidR="00AD02AA" w:rsidRPr="003478AF" w14:paraId="0947095F" w14:textId="77777777" w:rsidTr="00E7414E">
        <w:trPr>
          <w:trHeight w:val="283"/>
        </w:trPr>
        <w:tc>
          <w:tcPr>
            <w:tcW w:w="0" w:type="auto"/>
            <w:vAlign w:val="center"/>
          </w:tcPr>
          <w:p w14:paraId="0CA1F416" w14:textId="088A36D7" w:rsidR="00AD02AA" w:rsidRPr="003478AF" w:rsidRDefault="00AD02AA" w:rsidP="00E7414E">
            <w:pPr>
              <w:ind w:firstLine="0"/>
              <w:jc w:val="center"/>
              <w:rPr>
                <w:rFonts w:eastAsia="Arial" w:cs="Arial"/>
                <w:sz w:val="18"/>
                <w:szCs w:val="18"/>
              </w:rPr>
            </w:pPr>
            <w:r w:rsidRPr="003478AF">
              <w:rPr>
                <w:rFonts w:eastAsia="Arial" w:cs="Arial"/>
                <w:sz w:val="18"/>
                <w:szCs w:val="18"/>
              </w:rPr>
              <w:t>18.</w:t>
            </w:r>
          </w:p>
        </w:tc>
        <w:tc>
          <w:tcPr>
            <w:tcW w:w="0" w:type="auto"/>
            <w:vAlign w:val="center"/>
          </w:tcPr>
          <w:p w14:paraId="288D153B" w14:textId="2D43101B" w:rsidR="00AD02AA" w:rsidRPr="003478AF" w:rsidRDefault="00AD02AA" w:rsidP="00E7414E">
            <w:pPr>
              <w:ind w:firstLine="0"/>
              <w:jc w:val="left"/>
              <w:rPr>
                <w:rFonts w:eastAsia="Arial" w:cs="Arial"/>
                <w:sz w:val="18"/>
                <w:szCs w:val="18"/>
              </w:rPr>
            </w:pPr>
            <w:bookmarkStart w:id="95" w:name="_Hlk75825466"/>
            <w:r w:rsidRPr="003478AF">
              <w:rPr>
                <w:rFonts w:eastAsia="Arial" w:cs="Arial"/>
                <w:sz w:val="18"/>
                <w:szCs w:val="18"/>
              </w:rPr>
              <w:t>Udział energii odnawialnej w produkcji energii elektrycznej ogółem</w:t>
            </w:r>
            <w:bookmarkEnd w:id="95"/>
          </w:p>
        </w:tc>
        <w:tc>
          <w:tcPr>
            <w:tcW w:w="1107" w:type="dxa"/>
            <w:vAlign w:val="center"/>
          </w:tcPr>
          <w:p w14:paraId="6E6141AD" w14:textId="73512F2B" w:rsidR="00AD02AA" w:rsidRPr="003478AF" w:rsidDel="0003334E" w:rsidRDefault="00AD02AA" w:rsidP="00E7414E">
            <w:pPr>
              <w:ind w:firstLine="0"/>
              <w:jc w:val="center"/>
              <w:rPr>
                <w:rFonts w:eastAsia="Arial" w:cs="Arial"/>
                <w:sz w:val="18"/>
                <w:szCs w:val="18"/>
              </w:rPr>
            </w:pPr>
            <w:r w:rsidRPr="003478AF">
              <w:rPr>
                <w:rFonts w:eastAsia="Arial" w:cs="Arial"/>
                <w:sz w:val="18"/>
                <w:szCs w:val="18"/>
              </w:rPr>
              <w:t>%</w:t>
            </w:r>
          </w:p>
        </w:tc>
        <w:tc>
          <w:tcPr>
            <w:tcW w:w="1177" w:type="dxa"/>
            <w:vAlign w:val="center"/>
          </w:tcPr>
          <w:p w14:paraId="47745139" w14:textId="0C8B6A3A" w:rsidR="00AD02AA" w:rsidRPr="003478AF" w:rsidRDefault="00AD02AA" w:rsidP="00E7414E">
            <w:pPr>
              <w:ind w:firstLine="0"/>
              <w:jc w:val="center"/>
              <w:rPr>
                <w:rFonts w:eastAsia="Arial" w:cs="Arial"/>
                <w:sz w:val="18"/>
                <w:szCs w:val="18"/>
              </w:rPr>
            </w:pPr>
            <w:r w:rsidRPr="003478AF">
              <w:rPr>
                <w:rFonts w:eastAsia="Arial" w:cs="Arial"/>
                <w:sz w:val="18"/>
                <w:szCs w:val="18"/>
              </w:rPr>
              <w:t>7,3</w:t>
            </w:r>
          </w:p>
        </w:tc>
        <w:tc>
          <w:tcPr>
            <w:tcW w:w="0" w:type="auto"/>
            <w:vAlign w:val="center"/>
          </w:tcPr>
          <w:p w14:paraId="545CDAE9" w14:textId="5B76F23C" w:rsidR="00AD02AA" w:rsidRPr="003478AF" w:rsidRDefault="00AD02AA" w:rsidP="00E7414E">
            <w:pPr>
              <w:ind w:firstLine="0"/>
              <w:jc w:val="center"/>
              <w:rPr>
                <w:rFonts w:eastAsia="Arial" w:cs="Arial"/>
                <w:sz w:val="18"/>
                <w:szCs w:val="18"/>
              </w:rPr>
            </w:pPr>
            <w:r w:rsidRPr="003478AF">
              <w:rPr>
                <w:rFonts w:eastAsia="Arial" w:cs="Arial"/>
                <w:sz w:val="18"/>
                <w:szCs w:val="18"/>
              </w:rPr>
              <w:t>37,5</w:t>
            </w:r>
          </w:p>
        </w:tc>
      </w:tr>
      <w:tr w:rsidR="00AD02AA" w:rsidRPr="003478AF" w14:paraId="6C47863D" w14:textId="77777777" w:rsidTr="00E7414E">
        <w:trPr>
          <w:trHeight w:val="283"/>
        </w:trPr>
        <w:tc>
          <w:tcPr>
            <w:tcW w:w="0" w:type="auto"/>
            <w:vAlign w:val="center"/>
          </w:tcPr>
          <w:p w14:paraId="5C1F5237" w14:textId="23C31637" w:rsidR="00AD02AA" w:rsidRPr="003478AF" w:rsidRDefault="00AD02AA" w:rsidP="00E7414E">
            <w:pPr>
              <w:ind w:firstLine="0"/>
              <w:jc w:val="center"/>
              <w:rPr>
                <w:rFonts w:eastAsia="Arial" w:cs="Arial"/>
                <w:sz w:val="18"/>
                <w:szCs w:val="18"/>
              </w:rPr>
            </w:pPr>
            <w:r w:rsidRPr="003478AF">
              <w:rPr>
                <w:rFonts w:eastAsia="Arial" w:cs="Arial"/>
                <w:sz w:val="18"/>
                <w:szCs w:val="18"/>
              </w:rPr>
              <w:t>19.</w:t>
            </w:r>
          </w:p>
        </w:tc>
        <w:tc>
          <w:tcPr>
            <w:tcW w:w="0" w:type="auto"/>
            <w:vAlign w:val="center"/>
          </w:tcPr>
          <w:p w14:paraId="72E76034" w14:textId="7D37C65A" w:rsidR="00AD02AA" w:rsidRPr="003478AF" w:rsidRDefault="00AD02AA" w:rsidP="00E7414E">
            <w:pPr>
              <w:ind w:firstLine="0"/>
              <w:jc w:val="left"/>
              <w:rPr>
                <w:rFonts w:eastAsia="Arial" w:cs="Arial"/>
                <w:sz w:val="18"/>
                <w:szCs w:val="18"/>
              </w:rPr>
            </w:pPr>
            <w:bookmarkStart w:id="96" w:name="_Hlk75825630"/>
            <w:r w:rsidRPr="003478AF">
              <w:rPr>
                <w:rFonts w:eastAsia="Arial" w:cs="Arial"/>
                <w:sz w:val="18"/>
                <w:szCs w:val="18"/>
              </w:rPr>
              <w:t>Zużycie energii elektrycznej ogółem</w:t>
            </w:r>
            <w:bookmarkEnd w:id="96"/>
          </w:p>
        </w:tc>
        <w:tc>
          <w:tcPr>
            <w:tcW w:w="1107" w:type="dxa"/>
            <w:vAlign w:val="center"/>
          </w:tcPr>
          <w:p w14:paraId="34B4522A" w14:textId="7AB3AC40" w:rsidR="00AD02AA" w:rsidRPr="003478AF" w:rsidDel="0003334E" w:rsidRDefault="00AD02AA" w:rsidP="00E7414E">
            <w:pPr>
              <w:ind w:firstLine="0"/>
              <w:jc w:val="center"/>
              <w:rPr>
                <w:rFonts w:eastAsia="Arial" w:cs="Arial"/>
                <w:sz w:val="18"/>
                <w:szCs w:val="18"/>
              </w:rPr>
            </w:pPr>
            <w:r w:rsidRPr="003478AF">
              <w:rPr>
                <w:rFonts w:eastAsia="Arial" w:cs="Arial"/>
                <w:sz w:val="18"/>
                <w:szCs w:val="18"/>
              </w:rPr>
              <w:t>tys. GWh</w:t>
            </w:r>
          </w:p>
        </w:tc>
        <w:tc>
          <w:tcPr>
            <w:tcW w:w="1177" w:type="dxa"/>
            <w:vAlign w:val="center"/>
          </w:tcPr>
          <w:p w14:paraId="3162A5D9" w14:textId="5FC173BD" w:rsidR="00AD02AA" w:rsidRPr="003478AF" w:rsidRDefault="00AD02AA" w:rsidP="00E7414E">
            <w:pPr>
              <w:ind w:firstLine="0"/>
              <w:jc w:val="center"/>
              <w:rPr>
                <w:rFonts w:eastAsia="Arial" w:cs="Arial"/>
                <w:sz w:val="18"/>
                <w:szCs w:val="18"/>
              </w:rPr>
            </w:pPr>
            <w:r w:rsidRPr="003478AF">
              <w:rPr>
                <w:rFonts w:eastAsia="Arial" w:cs="Arial"/>
                <w:sz w:val="18"/>
                <w:szCs w:val="18"/>
              </w:rPr>
              <w:t>11,14</w:t>
            </w:r>
          </w:p>
        </w:tc>
        <w:tc>
          <w:tcPr>
            <w:tcW w:w="0" w:type="auto"/>
            <w:vAlign w:val="center"/>
          </w:tcPr>
          <w:p w14:paraId="30815285" w14:textId="1B81FC0B" w:rsidR="00AD02AA" w:rsidRPr="003478AF" w:rsidRDefault="00AD02AA" w:rsidP="00E7414E">
            <w:pPr>
              <w:ind w:firstLine="0"/>
              <w:jc w:val="center"/>
              <w:rPr>
                <w:rFonts w:eastAsia="Arial" w:cs="Arial"/>
                <w:sz w:val="18"/>
                <w:szCs w:val="18"/>
              </w:rPr>
            </w:pPr>
            <w:r w:rsidRPr="003478AF">
              <w:rPr>
                <w:rFonts w:eastAsia="Arial" w:cs="Arial"/>
                <w:sz w:val="18"/>
                <w:szCs w:val="18"/>
              </w:rPr>
              <w:t>16,20</w:t>
            </w:r>
          </w:p>
        </w:tc>
      </w:tr>
      <w:tr w:rsidR="005A7C67" w:rsidRPr="003478AF" w14:paraId="77935ED1" w14:textId="77777777" w:rsidTr="00E7414E">
        <w:trPr>
          <w:trHeight w:val="283"/>
        </w:trPr>
        <w:tc>
          <w:tcPr>
            <w:tcW w:w="0" w:type="auto"/>
            <w:vAlign w:val="center"/>
          </w:tcPr>
          <w:p w14:paraId="36D0F668" w14:textId="02C57F5C" w:rsidR="005A7C67" w:rsidRPr="003478AF" w:rsidRDefault="005A7C67" w:rsidP="00E7414E">
            <w:pPr>
              <w:ind w:firstLine="0"/>
              <w:jc w:val="center"/>
              <w:rPr>
                <w:rFonts w:eastAsia="Arial" w:cs="Arial"/>
                <w:sz w:val="18"/>
                <w:szCs w:val="18"/>
              </w:rPr>
            </w:pPr>
            <w:r w:rsidRPr="003478AF">
              <w:rPr>
                <w:rFonts w:eastAsia="Arial" w:cs="Arial"/>
                <w:sz w:val="18"/>
                <w:szCs w:val="18"/>
              </w:rPr>
              <w:t>20.</w:t>
            </w:r>
          </w:p>
        </w:tc>
        <w:tc>
          <w:tcPr>
            <w:tcW w:w="0" w:type="auto"/>
            <w:vAlign w:val="center"/>
          </w:tcPr>
          <w:p w14:paraId="3BF15F93" w14:textId="1FE9E381" w:rsidR="005A7C67" w:rsidRPr="003478AF" w:rsidRDefault="00DC44B4" w:rsidP="00E7414E">
            <w:pPr>
              <w:ind w:firstLine="0"/>
              <w:jc w:val="left"/>
              <w:rPr>
                <w:rFonts w:eastAsia="Arial" w:cs="Arial"/>
                <w:sz w:val="18"/>
                <w:szCs w:val="18"/>
              </w:rPr>
            </w:pPr>
            <w:r w:rsidRPr="003478AF">
              <w:rPr>
                <w:rFonts w:eastAsia="Arial" w:cs="Arial"/>
                <w:sz w:val="18"/>
                <w:szCs w:val="18"/>
              </w:rPr>
              <w:t>Powierzchnia obszarów prawnie chronionych</w:t>
            </w:r>
          </w:p>
        </w:tc>
        <w:tc>
          <w:tcPr>
            <w:tcW w:w="1107" w:type="dxa"/>
            <w:vAlign w:val="center"/>
          </w:tcPr>
          <w:p w14:paraId="77459366" w14:textId="303A3803" w:rsidR="005A7C67" w:rsidRPr="003478AF" w:rsidDel="0003334E" w:rsidRDefault="00AA1FCE" w:rsidP="00E7414E">
            <w:pPr>
              <w:ind w:firstLine="0"/>
              <w:jc w:val="center"/>
              <w:rPr>
                <w:rFonts w:eastAsia="Arial" w:cs="Arial"/>
                <w:sz w:val="18"/>
                <w:szCs w:val="18"/>
              </w:rPr>
            </w:pPr>
            <w:r w:rsidRPr="003478AF">
              <w:rPr>
                <w:rFonts w:eastAsia="Arial" w:cs="Arial"/>
                <w:sz w:val="18"/>
                <w:szCs w:val="18"/>
              </w:rPr>
              <w:t xml:space="preserve">tys. </w:t>
            </w:r>
            <w:r w:rsidR="005A7C67" w:rsidRPr="003478AF">
              <w:rPr>
                <w:rFonts w:eastAsia="Arial" w:cs="Arial"/>
                <w:sz w:val="18"/>
                <w:szCs w:val="18"/>
              </w:rPr>
              <w:t>ha</w:t>
            </w:r>
          </w:p>
        </w:tc>
        <w:tc>
          <w:tcPr>
            <w:tcW w:w="1177" w:type="dxa"/>
            <w:vAlign w:val="center"/>
          </w:tcPr>
          <w:p w14:paraId="35EC661E" w14:textId="2C368DA9" w:rsidR="005A7C67" w:rsidRPr="003478AF" w:rsidRDefault="001E53B7" w:rsidP="00E7414E">
            <w:pPr>
              <w:ind w:firstLine="0"/>
              <w:jc w:val="center"/>
              <w:rPr>
                <w:rFonts w:eastAsia="Arial" w:cs="Arial"/>
                <w:sz w:val="18"/>
                <w:szCs w:val="18"/>
              </w:rPr>
            </w:pPr>
            <w:r w:rsidRPr="003478AF">
              <w:rPr>
                <w:rFonts w:eastAsia="Arial" w:cs="Arial"/>
                <w:sz w:val="18"/>
                <w:szCs w:val="18"/>
              </w:rPr>
              <w:t>948</w:t>
            </w:r>
            <w:r w:rsidR="00AA1FCE" w:rsidRPr="003478AF">
              <w:rPr>
                <w:rFonts w:eastAsia="Arial" w:cs="Arial"/>
                <w:sz w:val="18"/>
                <w:szCs w:val="18"/>
              </w:rPr>
              <w:t>,4</w:t>
            </w:r>
          </w:p>
        </w:tc>
        <w:tc>
          <w:tcPr>
            <w:tcW w:w="0" w:type="auto"/>
            <w:vAlign w:val="center"/>
          </w:tcPr>
          <w:p w14:paraId="49164CF6" w14:textId="03CE6695" w:rsidR="005A7C67" w:rsidRPr="003478AF" w:rsidRDefault="00AA1FCE" w:rsidP="00E7414E">
            <w:pPr>
              <w:ind w:firstLine="0"/>
              <w:jc w:val="center"/>
              <w:rPr>
                <w:rFonts w:eastAsia="Arial" w:cs="Arial"/>
                <w:sz w:val="18"/>
                <w:szCs w:val="18"/>
              </w:rPr>
            </w:pPr>
            <w:r w:rsidRPr="003478AF">
              <w:rPr>
                <w:rFonts w:eastAsia="Arial" w:cs="Arial"/>
                <w:sz w:val="18"/>
                <w:szCs w:val="18"/>
              </w:rPr>
              <w:t>905,8</w:t>
            </w:r>
          </w:p>
        </w:tc>
      </w:tr>
      <w:tr w:rsidR="005A7C67" w:rsidRPr="003478AF" w14:paraId="79539C29" w14:textId="77777777" w:rsidTr="00E7414E">
        <w:trPr>
          <w:trHeight w:val="283"/>
        </w:trPr>
        <w:tc>
          <w:tcPr>
            <w:tcW w:w="0" w:type="auto"/>
            <w:vAlign w:val="center"/>
          </w:tcPr>
          <w:p w14:paraId="52796CA3" w14:textId="531E482C" w:rsidR="005A7C67" w:rsidRPr="003478AF" w:rsidRDefault="005A7C67" w:rsidP="00E7414E">
            <w:pPr>
              <w:ind w:firstLine="0"/>
              <w:jc w:val="center"/>
              <w:rPr>
                <w:rFonts w:eastAsia="Arial" w:cs="Arial"/>
                <w:sz w:val="18"/>
                <w:szCs w:val="18"/>
              </w:rPr>
            </w:pPr>
            <w:r w:rsidRPr="003478AF">
              <w:rPr>
                <w:rFonts w:eastAsia="Arial" w:cs="Arial"/>
                <w:sz w:val="18"/>
                <w:szCs w:val="18"/>
              </w:rPr>
              <w:t>21.</w:t>
            </w:r>
          </w:p>
        </w:tc>
        <w:tc>
          <w:tcPr>
            <w:tcW w:w="0" w:type="auto"/>
            <w:vAlign w:val="center"/>
          </w:tcPr>
          <w:p w14:paraId="17498382" w14:textId="28B7B36C" w:rsidR="005A7C67" w:rsidRPr="003478AF" w:rsidRDefault="005A7C67" w:rsidP="00E7414E">
            <w:pPr>
              <w:ind w:firstLine="0"/>
              <w:jc w:val="left"/>
              <w:rPr>
                <w:rFonts w:eastAsia="Arial" w:cs="Arial"/>
                <w:sz w:val="18"/>
                <w:szCs w:val="18"/>
              </w:rPr>
            </w:pPr>
            <w:r w:rsidRPr="003478AF">
              <w:rPr>
                <w:rFonts w:eastAsia="Arial" w:cs="Arial"/>
                <w:sz w:val="18"/>
                <w:szCs w:val="18"/>
              </w:rPr>
              <w:t>Powierzchnia ekologicznych gospodarstw rolnych</w:t>
            </w:r>
          </w:p>
        </w:tc>
        <w:tc>
          <w:tcPr>
            <w:tcW w:w="1107" w:type="dxa"/>
            <w:vAlign w:val="center"/>
          </w:tcPr>
          <w:p w14:paraId="5746868D" w14:textId="6D4535DF" w:rsidR="005A7C67" w:rsidRPr="003478AF" w:rsidDel="0003334E" w:rsidRDefault="00AA1FCE" w:rsidP="00E7414E">
            <w:pPr>
              <w:ind w:firstLine="0"/>
              <w:jc w:val="center"/>
              <w:rPr>
                <w:rFonts w:eastAsia="Arial" w:cs="Arial"/>
                <w:color w:val="FF0000"/>
                <w:sz w:val="18"/>
                <w:szCs w:val="18"/>
              </w:rPr>
            </w:pPr>
            <w:r w:rsidRPr="003478AF">
              <w:rPr>
                <w:rFonts w:eastAsia="Arial" w:cs="Arial"/>
                <w:sz w:val="18"/>
                <w:szCs w:val="18"/>
              </w:rPr>
              <w:t xml:space="preserve">tys. </w:t>
            </w:r>
            <w:r w:rsidR="005A7C67" w:rsidRPr="003478AF">
              <w:rPr>
                <w:rFonts w:eastAsia="Arial" w:cs="Arial"/>
                <w:sz w:val="18"/>
                <w:szCs w:val="18"/>
              </w:rPr>
              <w:t>ha</w:t>
            </w:r>
          </w:p>
        </w:tc>
        <w:tc>
          <w:tcPr>
            <w:tcW w:w="1177" w:type="dxa"/>
            <w:vAlign w:val="center"/>
          </w:tcPr>
          <w:p w14:paraId="7A46C0FB" w14:textId="2A6B0476" w:rsidR="005A7C67" w:rsidRPr="003478AF" w:rsidRDefault="00C97A45" w:rsidP="00E7414E">
            <w:pPr>
              <w:ind w:firstLine="0"/>
              <w:jc w:val="center"/>
              <w:rPr>
                <w:rFonts w:eastAsia="Arial" w:cs="Arial"/>
                <w:sz w:val="18"/>
                <w:szCs w:val="18"/>
              </w:rPr>
            </w:pPr>
            <w:r w:rsidRPr="003478AF">
              <w:rPr>
                <w:rFonts w:eastAsia="Arial" w:cs="Arial"/>
                <w:sz w:val="18"/>
                <w:szCs w:val="18"/>
              </w:rPr>
              <w:t>32,51</w:t>
            </w:r>
          </w:p>
        </w:tc>
        <w:tc>
          <w:tcPr>
            <w:tcW w:w="0" w:type="auto"/>
            <w:vAlign w:val="center"/>
          </w:tcPr>
          <w:p w14:paraId="07664437" w14:textId="2226EE47" w:rsidR="005A7C67" w:rsidRPr="003478AF" w:rsidRDefault="00AA1FCE" w:rsidP="00E7414E">
            <w:pPr>
              <w:ind w:firstLine="0"/>
              <w:jc w:val="center"/>
              <w:rPr>
                <w:rFonts w:eastAsia="Arial" w:cs="Arial"/>
                <w:sz w:val="18"/>
                <w:szCs w:val="18"/>
              </w:rPr>
            </w:pPr>
            <w:r w:rsidRPr="003478AF">
              <w:rPr>
                <w:rFonts w:eastAsia="Arial" w:cs="Arial"/>
                <w:sz w:val="18"/>
                <w:szCs w:val="18"/>
              </w:rPr>
              <w:t>47</w:t>
            </w:r>
            <w:r w:rsidR="00414EB0" w:rsidRPr="003478AF">
              <w:rPr>
                <w:rFonts w:eastAsia="Arial" w:cs="Arial"/>
                <w:sz w:val="18"/>
                <w:szCs w:val="18"/>
              </w:rPr>
              <w:t>,</w:t>
            </w:r>
            <w:r w:rsidRPr="003478AF">
              <w:rPr>
                <w:rFonts w:eastAsia="Arial" w:cs="Arial"/>
                <w:sz w:val="18"/>
                <w:szCs w:val="18"/>
              </w:rPr>
              <w:t>62</w:t>
            </w:r>
          </w:p>
        </w:tc>
      </w:tr>
      <w:tr w:rsidR="005A7C67" w:rsidRPr="003478AF" w14:paraId="53DA920A" w14:textId="77777777" w:rsidTr="00E7414E">
        <w:trPr>
          <w:trHeight w:val="283"/>
        </w:trPr>
        <w:tc>
          <w:tcPr>
            <w:tcW w:w="0" w:type="auto"/>
            <w:vAlign w:val="center"/>
          </w:tcPr>
          <w:p w14:paraId="1288B9F9" w14:textId="474D15BD" w:rsidR="005A7C67" w:rsidRPr="003478AF" w:rsidRDefault="005A7C67" w:rsidP="00E7414E">
            <w:pPr>
              <w:ind w:firstLine="0"/>
              <w:jc w:val="center"/>
              <w:rPr>
                <w:rFonts w:eastAsia="Arial" w:cs="Arial"/>
                <w:sz w:val="18"/>
                <w:szCs w:val="18"/>
              </w:rPr>
            </w:pPr>
            <w:r w:rsidRPr="003478AF">
              <w:rPr>
                <w:rFonts w:eastAsia="Arial" w:cs="Arial"/>
                <w:sz w:val="18"/>
                <w:szCs w:val="18"/>
              </w:rPr>
              <w:t>22.</w:t>
            </w:r>
          </w:p>
        </w:tc>
        <w:tc>
          <w:tcPr>
            <w:tcW w:w="0" w:type="auto"/>
            <w:vAlign w:val="center"/>
          </w:tcPr>
          <w:p w14:paraId="22535136" w14:textId="4EC3C9EB" w:rsidR="005A7C67" w:rsidRPr="003478AF" w:rsidRDefault="00DC44B4" w:rsidP="00E7414E">
            <w:pPr>
              <w:ind w:firstLine="0"/>
              <w:jc w:val="left"/>
              <w:rPr>
                <w:rFonts w:eastAsia="Arial" w:cs="Arial"/>
                <w:sz w:val="18"/>
                <w:szCs w:val="18"/>
              </w:rPr>
            </w:pPr>
            <w:r w:rsidRPr="003478AF">
              <w:rPr>
                <w:rFonts w:eastAsia="Arial" w:cs="Arial"/>
                <w:sz w:val="18"/>
                <w:szCs w:val="18"/>
              </w:rPr>
              <w:t>Udział powierzchni ekologicznych gospodarstw rolnych z certyfikatem w powierzchni użytków rolnych ogółem</w:t>
            </w:r>
          </w:p>
        </w:tc>
        <w:tc>
          <w:tcPr>
            <w:tcW w:w="1107" w:type="dxa"/>
            <w:vAlign w:val="center"/>
          </w:tcPr>
          <w:p w14:paraId="17380B79" w14:textId="080A8154" w:rsidR="005A7C67" w:rsidRPr="003478AF" w:rsidDel="0003334E" w:rsidRDefault="005A7C67" w:rsidP="00E7414E">
            <w:pPr>
              <w:ind w:firstLine="0"/>
              <w:jc w:val="center"/>
              <w:rPr>
                <w:rFonts w:eastAsia="Arial" w:cs="Arial"/>
                <w:sz w:val="18"/>
                <w:szCs w:val="18"/>
              </w:rPr>
            </w:pPr>
            <w:r w:rsidRPr="003478AF">
              <w:rPr>
                <w:rFonts w:eastAsia="Arial" w:cs="Arial"/>
                <w:sz w:val="18"/>
                <w:szCs w:val="18"/>
              </w:rPr>
              <w:t>%</w:t>
            </w:r>
          </w:p>
        </w:tc>
        <w:tc>
          <w:tcPr>
            <w:tcW w:w="1177" w:type="dxa"/>
            <w:vAlign w:val="center"/>
          </w:tcPr>
          <w:p w14:paraId="715F5097" w14:textId="4A8FCFAB" w:rsidR="005A7C67" w:rsidRPr="003478AF" w:rsidRDefault="00F16CED" w:rsidP="00E7414E">
            <w:pPr>
              <w:ind w:firstLine="0"/>
              <w:jc w:val="center"/>
              <w:rPr>
                <w:rFonts w:eastAsia="Arial" w:cs="Arial"/>
                <w:sz w:val="18"/>
                <w:szCs w:val="18"/>
              </w:rPr>
            </w:pPr>
            <w:r w:rsidRPr="003478AF">
              <w:rPr>
                <w:rFonts w:eastAsia="Arial" w:cs="Arial"/>
                <w:sz w:val="18"/>
                <w:szCs w:val="18"/>
              </w:rPr>
              <w:t>1,</w:t>
            </w:r>
            <w:r w:rsidR="00AA1FCE" w:rsidRPr="003478AF">
              <w:rPr>
                <w:rFonts w:eastAsia="Arial" w:cs="Arial"/>
                <w:sz w:val="18"/>
                <w:szCs w:val="18"/>
              </w:rPr>
              <w:t>17</w:t>
            </w:r>
          </w:p>
        </w:tc>
        <w:tc>
          <w:tcPr>
            <w:tcW w:w="0" w:type="auto"/>
            <w:vAlign w:val="center"/>
          </w:tcPr>
          <w:p w14:paraId="70A3B819" w14:textId="40BDEC42" w:rsidR="005A7C67" w:rsidRPr="003478AF" w:rsidRDefault="001E7D79" w:rsidP="00E7414E">
            <w:pPr>
              <w:ind w:firstLine="0"/>
              <w:jc w:val="center"/>
              <w:rPr>
                <w:rFonts w:eastAsia="Arial" w:cs="Arial"/>
                <w:sz w:val="18"/>
                <w:szCs w:val="18"/>
              </w:rPr>
            </w:pPr>
            <w:r w:rsidRPr="003478AF">
              <w:rPr>
                <w:rFonts w:eastAsia="Arial" w:cs="Arial"/>
                <w:sz w:val="18"/>
                <w:szCs w:val="18"/>
              </w:rPr>
              <w:t>2,5</w:t>
            </w:r>
            <w:r w:rsidR="00AA1FCE" w:rsidRPr="003478AF">
              <w:rPr>
                <w:rFonts w:eastAsia="Arial" w:cs="Arial"/>
                <w:sz w:val="18"/>
                <w:szCs w:val="18"/>
              </w:rPr>
              <w:t>0</w:t>
            </w:r>
          </w:p>
        </w:tc>
      </w:tr>
      <w:tr w:rsidR="00DC44B4" w:rsidRPr="003478AF" w14:paraId="4CEA4111" w14:textId="77777777" w:rsidTr="00E7414E">
        <w:trPr>
          <w:trHeight w:val="283"/>
        </w:trPr>
        <w:tc>
          <w:tcPr>
            <w:tcW w:w="0" w:type="auto"/>
            <w:vAlign w:val="center"/>
          </w:tcPr>
          <w:p w14:paraId="12317073" w14:textId="65778A17" w:rsidR="00DC44B4" w:rsidRPr="003478AF" w:rsidRDefault="00DC44B4" w:rsidP="00E7414E">
            <w:pPr>
              <w:ind w:firstLine="0"/>
              <w:jc w:val="center"/>
              <w:rPr>
                <w:rFonts w:eastAsia="Arial" w:cs="Arial"/>
                <w:sz w:val="18"/>
                <w:szCs w:val="18"/>
              </w:rPr>
            </w:pPr>
            <w:r w:rsidRPr="003478AF">
              <w:rPr>
                <w:rFonts w:eastAsia="Arial" w:cs="Arial"/>
                <w:sz w:val="18"/>
                <w:szCs w:val="18"/>
              </w:rPr>
              <w:t>23.</w:t>
            </w:r>
          </w:p>
        </w:tc>
        <w:tc>
          <w:tcPr>
            <w:tcW w:w="0" w:type="auto"/>
            <w:vAlign w:val="center"/>
          </w:tcPr>
          <w:p w14:paraId="0DB399C9" w14:textId="187908BE" w:rsidR="00DC44B4" w:rsidRPr="003478AF" w:rsidDel="0003334E" w:rsidRDefault="00DC44B4" w:rsidP="00E7414E">
            <w:pPr>
              <w:ind w:firstLine="0"/>
              <w:jc w:val="left"/>
              <w:rPr>
                <w:rFonts w:eastAsia="Arial" w:cs="Arial"/>
                <w:sz w:val="18"/>
                <w:szCs w:val="18"/>
              </w:rPr>
            </w:pPr>
            <w:r w:rsidRPr="003478AF">
              <w:rPr>
                <w:rFonts w:eastAsia="Arial" w:cs="Arial"/>
                <w:sz w:val="18"/>
                <w:szCs w:val="18"/>
              </w:rPr>
              <w:t>Wynalazki zgłoszone do UPRP w obszarze technologii ochrony środowiska</w:t>
            </w:r>
          </w:p>
        </w:tc>
        <w:tc>
          <w:tcPr>
            <w:tcW w:w="1107" w:type="dxa"/>
            <w:vAlign w:val="center"/>
          </w:tcPr>
          <w:p w14:paraId="5AA3C5C3" w14:textId="59E41C38" w:rsidR="00DC44B4" w:rsidRPr="003478AF" w:rsidDel="0003334E" w:rsidRDefault="00DC44B4" w:rsidP="00E7414E">
            <w:pPr>
              <w:ind w:firstLine="0"/>
              <w:jc w:val="center"/>
              <w:rPr>
                <w:rFonts w:eastAsia="Arial" w:cs="Arial"/>
                <w:sz w:val="18"/>
                <w:szCs w:val="18"/>
              </w:rPr>
            </w:pPr>
            <w:r w:rsidRPr="003478AF">
              <w:rPr>
                <w:rFonts w:eastAsia="Arial" w:cs="Arial"/>
                <w:sz w:val="18"/>
                <w:szCs w:val="18"/>
              </w:rPr>
              <w:t>szt.</w:t>
            </w:r>
          </w:p>
        </w:tc>
        <w:tc>
          <w:tcPr>
            <w:tcW w:w="1177" w:type="dxa"/>
            <w:vAlign w:val="center"/>
          </w:tcPr>
          <w:p w14:paraId="3E1F7BBA" w14:textId="7C6C1C18" w:rsidR="00DC44B4" w:rsidRPr="003478AF" w:rsidDel="0003334E" w:rsidRDefault="00DC44B4" w:rsidP="00E7414E">
            <w:pPr>
              <w:ind w:firstLine="0"/>
              <w:jc w:val="center"/>
              <w:rPr>
                <w:rFonts w:eastAsia="Arial" w:cs="Arial"/>
                <w:sz w:val="18"/>
                <w:szCs w:val="18"/>
              </w:rPr>
            </w:pPr>
            <w:r w:rsidRPr="003478AF">
              <w:rPr>
                <w:rFonts w:eastAsia="Arial" w:cs="Arial"/>
                <w:sz w:val="18"/>
                <w:szCs w:val="18"/>
              </w:rPr>
              <w:t>10</w:t>
            </w:r>
          </w:p>
        </w:tc>
        <w:tc>
          <w:tcPr>
            <w:tcW w:w="0" w:type="auto"/>
            <w:vAlign w:val="center"/>
          </w:tcPr>
          <w:p w14:paraId="58DA61E4" w14:textId="0A1E9D9A" w:rsidR="00DC44B4" w:rsidRPr="003478AF" w:rsidDel="0003334E" w:rsidRDefault="00DC44B4" w:rsidP="00E7414E">
            <w:pPr>
              <w:ind w:firstLine="0"/>
              <w:jc w:val="center"/>
              <w:rPr>
                <w:rFonts w:eastAsia="Arial" w:cs="Arial"/>
                <w:sz w:val="18"/>
                <w:szCs w:val="18"/>
              </w:rPr>
            </w:pPr>
            <w:r w:rsidRPr="003478AF">
              <w:rPr>
                <w:rFonts w:eastAsia="Arial" w:cs="Arial"/>
                <w:sz w:val="18"/>
                <w:szCs w:val="18"/>
              </w:rPr>
              <w:t>*</w:t>
            </w:r>
          </w:p>
        </w:tc>
      </w:tr>
      <w:tr w:rsidR="00DC44B4" w:rsidRPr="003478AF" w14:paraId="5A38895E" w14:textId="77777777" w:rsidTr="00E7414E">
        <w:trPr>
          <w:trHeight w:val="283"/>
        </w:trPr>
        <w:tc>
          <w:tcPr>
            <w:tcW w:w="0" w:type="auto"/>
            <w:vAlign w:val="center"/>
          </w:tcPr>
          <w:p w14:paraId="647C3D0F" w14:textId="273AB957" w:rsidR="00DC44B4" w:rsidRPr="003478AF" w:rsidRDefault="00DC44B4" w:rsidP="00E7414E">
            <w:pPr>
              <w:ind w:firstLine="0"/>
              <w:jc w:val="center"/>
              <w:rPr>
                <w:rFonts w:eastAsia="Arial" w:cs="Arial"/>
                <w:sz w:val="18"/>
                <w:szCs w:val="18"/>
              </w:rPr>
            </w:pPr>
            <w:r w:rsidRPr="003478AF">
              <w:rPr>
                <w:rFonts w:eastAsia="Arial" w:cs="Arial"/>
                <w:sz w:val="18"/>
                <w:szCs w:val="18"/>
              </w:rPr>
              <w:t>24</w:t>
            </w:r>
          </w:p>
        </w:tc>
        <w:tc>
          <w:tcPr>
            <w:tcW w:w="0" w:type="auto"/>
            <w:vAlign w:val="center"/>
          </w:tcPr>
          <w:p w14:paraId="0D3F60B6" w14:textId="1EE2ABCE" w:rsidR="00DC44B4" w:rsidRPr="003478AF" w:rsidDel="0003334E" w:rsidRDefault="00DC44B4" w:rsidP="00E7414E">
            <w:pPr>
              <w:ind w:firstLine="0"/>
              <w:jc w:val="left"/>
              <w:rPr>
                <w:rFonts w:eastAsia="Arial" w:cs="Arial"/>
                <w:sz w:val="18"/>
                <w:szCs w:val="18"/>
              </w:rPr>
            </w:pPr>
            <w:r w:rsidRPr="003478AF">
              <w:rPr>
                <w:rFonts w:eastAsia="Arial" w:cs="Arial"/>
                <w:sz w:val="18"/>
                <w:szCs w:val="18"/>
              </w:rPr>
              <w:t>Patenty udzielone przez UPRP w obszarze technologii ochrony środowiska</w:t>
            </w:r>
          </w:p>
        </w:tc>
        <w:tc>
          <w:tcPr>
            <w:tcW w:w="1107" w:type="dxa"/>
            <w:vAlign w:val="center"/>
          </w:tcPr>
          <w:p w14:paraId="4539465C" w14:textId="1F1B6BAF" w:rsidR="00DC44B4" w:rsidRPr="003478AF" w:rsidDel="0003334E" w:rsidRDefault="00DC44B4" w:rsidP="00E7414E">
            <w:pPr>
              <w:ind w:firstLine="0"/>
              <w:jc w:val="center"/>
              <w:rPr>
                <w:rFonts w:eastAsia="Arial" w:cs="Arial"/>
                <w:sz w:val="18"/>
                <w:szCs w:val="18"/>
              </w:rPr>
            </w:pPr>
            <w:r w:rsidRPr="003478AF">
              <w:rPr>
                <w:rFonts w:eastAsia="Arial" w:cs="Arial"/>
                <w:sz w:val="18"/>
                <w:szCs w:val="18"/>
              </w:rPr>
              <w:t>szt.</w:t>
            </w:r>
          </w:p>
        </w:tc>
        <w:tc>
          <w:tcPr>
            <w:tcW w:w="1177" w:type="dxa"/>
            <w:vAlign w:val="center"/>
          </w:tcPr>
          <w:p w14:paraId="536DEE0C" w14:textId="2EAC686C" w:rsidR="00DC44B4" w:rsidRPr="003478AF" w:rsidDel="0003334E" w:rsidRDefault="00DC44B4" w:rsidP="00E7414E">
            <w:pPr>
              <w:ind w:firstLine="0"/>
              <w:jc w:val="center"/>
              <w:rPr>
                <w:rFonts w:eastAsia="Arial" w:cs="Arial"/>
                <w:sz w:val="18"/>
                <w:szCs w:val="18"/>
              </w:rPr>
            </w:pPr>
            <w:r w:rsidRPr="003478AF">
              <w:rPr>
                <w:rFonts w:eastAsia="Arial" w:cs="Arial"/>
                <w:sz w:val="18"/>
                <w:szCs w:val="18"/>
              </w:rPr>
              <w:t>5</w:t>
            </w:r>
          </w:p>
        </w:tc>
        <w:tc>
          <w:tcPr>
            <w:tcW w:w="0" w:type="auto"/>
            <w:vAlign w:val="center"/>
          </w:tcPr>
          <w:p w14:paraId="3B522A96" w14:textId="5390E58D" w:rsidR="00DC44B4" w:rsidRPr="003478AF" w:rsidDel="0003334E" w:rsidRDefault="00DC44B4" w:rsidP="00E7414E">
            <w:pPr>
              <w:ind w:firstLine="0"/>
              <w:jc w:val="center"/>
              <w:rPr>
                <w:rFonts w:eastAsia="Arial" w:cs="Arial"/>
                <w:sz w:val="18"/>
                <w:szCs w:val="18"/>
              </w:rPr>
            </w:pPr>
            <w:r w:rsidRPr="003478AF">
              <w:rPr>
                <w:rFonts w:eastAsia="Arial" w:cs="Arial"/>
                <w:sz w:val="18"/>
                <w:szCs w:val="18"/>
              </w:rPr>
              <w:t>*</w:t>
            </w:r>
          </w:p>
        </w:tc>
      </w:tr>
    </w:tbl>
    <w:p w14:paraId="64739156" w14:textId="78C32C6F" w:rsidR="00B04115" w:rsidRPr="003478AF" w:rsidRDefault="00FF0262" w:rsidP="00986D40">
      <w:pPr>
        <w:pStyle w:val="AZRODLO"/>
      </w:pPr>
      <w:r w:rsidRPr="003478AF">
        <w:t>Źródło: Opracowanie własne na podstawie danych BDL</w:t>
      </w:r>
      <w:r w:rsidR="000428C7" w:rsidRPr="003478AF">
        <w:t>; * - w przedstawionym szeregu czasowym 2010-2019 dla rzeczywistych danych patentowych i wynalazków nie wyznaczono istotnego trendu</w:t>
      </w:r>
    </w:p>
    <w:bookmarkEnd w:id="92"/>
    <w:p w14:paraId="3BAFCB0A" w14:textId="77777777" w:rsidR="00B04115" w:rsidRPr="003478AF" w:rsidRDefault="00B04115" w:rsidP="0074258E">
      <w:pPr>
        <w:rPr>
          <w:rFonts w:eastAsia="Arial" w:cs="Arial"/>
          <w:szCs w:val="20"/>
        </w:rPr>
      </w:pPr>
    </w:p>
    <w:p w14:paraId="3730FAF0" w14:textId="7DFD3DE5" w:rsidR="0074258E" w:rsidRPr="003478AF" w:rsidRDefault="0074258E" w:rsidP="0074258E">
      <w:pPr>
        <w:rPr>
          <w:rFonts w:eastAsia="Arial" w:cs="Arial"/>
          <w:szCs w:val="20"/>
        </w:rPr>
      </w:pPr>
      <w:r w:rsidRPr="003478AF">
        <w:rPr>
          <w:rFonts w:eastAsia="Arial" w:cs="Arial"/>
          <w:szCs w:val="20"/>
        </w:rPr>
        <w:t>Szczegółowo analizę regresji zaprezentowano na ry</w:t>
      </w:r>
      <w:r w:rsidR="009605E0" w:rsidRPr="003478AF">
        <w:rPr>
          <w:rFonts w:eastAsia="Arial" w:cs="Arial"/>
          <w:szCs w:val="20"/>
        </w:rPr>
        <w:t>cinach</w:t>
      </w:r>
      <w:r w:rsidRPr="003478AF">
        <w:rPr>
          <w:rFonts w:eastAsia="Arial" w:cs="Arial"/>
          <w:szCs w:val="20"/>
        </w:rPr>
        <w:t xml:space="preserve"> w </w:t>
      </w:r>
      <w:r w:rsidR="009D7A0E" w:rsidRPr="003478AF">
        <w:rPr>
          <w:rFonts w:eastAsia="Arial" w:cs="Arial"/>
          <w:szCs w:val="20"/>
        </w:rPr>
        <w:t>Z</w:t>
      </w:r>
      <w:r w:rsidRPr="003478AF">
        <w:rPr>
          <w:rFonts w:eastAsia="Arial" w:cs="Arial"/>
          <w:szCs w:val="20"/>
        </w:rPr>
        <w:t>ałącznik</w:t>
      </w:r>
      <w:r w:rsidR="006C2B35" w:rsidRPr="003478AF">
        <w:rPr>
          <w:rFonts w:eastAsia="Arial" w:cs="Arial"/>
          <w:szCs w:val="20"/>
        </w:rPr>
        <w:t>u 2.</w:t>
      </w:r>
    </w:p>
    <w:p w14:paraId="2CF73C91" w14:textId="77777777" w:rsidR="0074258E" w:rsidRPr="003478AF" w:rsidRDefault="0074258E" w:rsidP="006C2B35">
      <w:pPr>
        <w:ind w:firstLine="0"/>
        <w:rPr>
          <w:rFonts w:eastAsia="Arial" w:cs="Arial"/>
          <w:szCs w:val="20"/>
        </w:rPr>
      </w:pPr>
    </w:p>
    <w:p w14:paraId="6C30D353" w14:textId="77777777" w:rsidR="009649E7" w:rsidRPr="003478AF" w:rsidRDefault="009649E7">
      <w:pPr>
        <w:spacing w:line="240" w:lineRule="auto"/>
        <w:ind w:firstLine="0"/>
        <w:jc w:val="left"/>
        <w:rPr>
          <w:rFonts w:eastAsia="MinionPro-Regular" w:cs="Arial"/>
          <w:b/>
          <w:color w:val="00007E"/>
          <w:sz w:val="24"/>
          <w:szCs w:val="16"/>
          <w:shd w:val="clear" w:color="auto" w:fill="FFFFFF"/>
        </w:rPr>
      </w:pPr>
      <w:r w:rsidRPr="003478AF">
        <w:br w:type="page"/>
      </w:r>
    </w:p>
    <w:p w14:paraId="5F09D2C5" w14:textId="77777777" w:rsidR="00C977E8" w:rsidRPr="003478AF" w:rsidRDefault="00C977E8" w:rsidP="00C977E8"/>
    <w:p w14:paraId="59267658" w14:textId="7B4539BB" w:rsidR="00421B03" w:rsidRPr="003478AF" w:rsidRDefault="00421B03">
      <w:pPr>
        <w:pStyle w:val="Nagwek1"/>
      </w:pPr>
      <w:bookmarkStart w:id="97" w:name="_Toc82160005"/>
      <w:r w:rsidRPr="003478AF">
        <w:t xml:space="preserve">Propozycje działań wspierających transformację w kierunku GOZ oraz likwidujących bariery rozwoju GOZ w zależności </w:t>
      </w:r>
      <w:r w:rsidR="009605E0" w:rsidRPr="003478AF">
        <w:br/>
      </w:r>
      <w:r w:rsidRPr="003478AF">
        <w:t>od źródeł finansowania</w:t>
      </w:r>
      <w:bookmarkEnd w:id="97"/>
    </w:p>
    <w:p w14:paraId="4425D013" w14:textId="35FD9D4D" w:rsidR="003567EE" w:rsidRPr="003478AF" w:rsidRDefault="00644042">
      <w:pPr>
        <w:pStyle w:val="Nagwek2"/>
      </w:pPr>
      <w:bookmarkStart w:id="98" w:name="_Toc82160006"/>
      <w:r w:rsidRPr="003478AF">
        <w:t xml:space="preserve">9.1. </w:t>
      </w:r>
      <w:r w:rsidR="003567EE" w:rsidRPr="003478AF">
        <w:t>Wsparcie finansowe w kierunku GOZ w latach 2014-2020</w:t>
      </w:r>
      <w:bookmarkEnd w:id="98"/>
    </w:p>
    <w:p w14:paraId="269A2A38" w14:textId="2067D3E7" w:rsidR="00F901B6" w:rsidRPr="003478AF" w:rsidRDefault="00F901B6" w:rsidP="00F901B6">
      <w:r w:rsidRPr="003478AF">
        <w:t>Od 2014 r</w:t>
      </w:r>
      <w:r w:rsidR="00AD02AA" w:rsidRPr="003478AF">
        <w:t>oku</w:t>
      </w:r>
      <w:r w:rsidRPr="003478AF">
        <w:t xml:space="preserve"> najważniejszymi źródłami finansowania GOZ jest kilka programów. Największe środki przeznaczono w programie Horyzont 2020 oraz w funduszach strukturalnych: Program Operacyjny Infrastruktura i </w:t>
      </w:r>
      <w:r w:rsidR="009659EB" w:rsidRPr="003478AF">
        <w:t>Ś</w:t>
      </w:r>
      <w:r w:rsidRPr="003478AF">
        <w:t>rodowisko 2014-2020 (POl</w:t>
      </w:r>
      <w:r w:rsidR="00F06367" w:rsidRPr="003478AF">
        <w:t>Ś</w:t>
      </w:r>
      <w:r w:rsidRPr="003478AF">
        <w:t>), Program Operacyjny Innowacyjny Rozwój 2014-2020 (POIR), Wielkopolski Regionalny Program Operacyjny 2014-</w:t>
      </w:r>
      <w:r w:rsidR="00FB0A00" w:rsidRPr="003478AF">
        <w:t>2020</w:t>
      </w:r>
      <w:r w:rsidR="00CA64CE" w:rsidRPr="003478AF">
        <w:t xml:space="preserve"> </w:t>
      </w:r>
      <w:r w:rsidRPr="003478AF">
        <w:t xml:space="preserve">(WRPO) oraz Program Rozwoju Obszarów Wiejskich 2014-2020 (PROW). </w:t>
      </w:r>
    </w:p>
    <w:p w14:paraId="035265E3" w14:textId="0E7C44DC" w:rsidR="00F901B6" w:rsidRPr="003478AF" w:rsidRDefault="00F901B6" w:rsidP="00F901B6">
      <w:pPr>
        <w:rPr>
          <w:i/>
          <w:iCs/>
        </w:rPr>
      </w:pPr>
      <w:r w:rsidRPr="003478AF">
        <w:t xml:space="preserve">Horyzont 2020 jest to program UE w zakresie badań naukowych i innowacji w ramach czterech głównych priorytetów, z łącznym budżetem 80 mld euro. Trzy z nich w dużym stopniu skupiają się na projektach związanych z ochroną środowiska i zapobieganiem zmianom klimatu: priorytet </w:t>
      </w:r>
      <w:r w:rsidRPr="003478AF">
        <w:rPr>
          <w:i/>
          <w:iCs/>
        </w:rPr>
        <w:t>Budowanie niskoemisyjnej</w:t>
      </w:r>
      <w:r w:rsidRPr="003478AF">
        <w:t xml:space="preserve"> i </w:t>
      </w:r>
      <w:r w:rsidRPr="003478AF">
        <w:rPr>
          <w:i/>
          <w:iCs/>
        </w:rPr>
        <w:t>odpornej na klimat przyszłości</w:t>
      </w:r>
      <w:r w:rsidRPr="003478AF">
        <w:t xml:space="preserve">, </w:t>
      </w:r>
      <w:r w:rsidRPr="003478AF">
        <w:rPr>
          <w:i/>
          <w:iCs/>
        </w:rPr>
        <w:t>Łączenie korzyści gospodarczych i środowiskowych - gospodarka o obiegu zamkniętym</w:t>
      </w:r>
      <w:r w:rsidRPr="003478AF">
        <w:t xml:space="preserve"> oraz </w:t>
      </w:r>
      <w:r w:rsidRPr="003478AF">
        <w:rPr>
          <w:i/>
          <w:iCs/>
        </w:rPr>
        <w:t xml:space="preserve">Digitalizacja </w:t>
      </w:r>
      <w:r w:rsidR="009605E0" w:rsidRPr="003478AF">
        <w:rPr>
          <w:i/>
          <w:iCs/>
        </w:rPr>
        <w:br/>
      </w:r>
      <w:r w:rsidRPr="003478AF">
        <w:rPr>
          <w:i/>
          <w:iCs/>
        </w:rPr>
        <w:t>i transformacja europejskiego przemysłu i usług.</w:t>
      </w:r>
    </w:p>
    <w:p w14:paraId="0B1B6A25" w14:textId="641340EC" w:rsidR="00F901B6" w:rsidRPr="003478AF" w:rsidRDefault="00F901B6" w:rsidP="00F901B6">
      <w:r w:rsidRPr="003478AF">
        <w:t>W WRPO dofinansowywane są działania wpisując</w:t>
      </w:r>
      <w:r w:rsidR="00F06367" w:rsidRPr="003478AF">
        <w:t>e</w:t>
      </w:r>
      <w:r w:rsidRPr="003478AF">
        <w:t xml:space="preserve"> się w GOZ w ramach osi priorytetowych: 3. </w:t>
      </w:r>
      <w:r w:rsidRPr="003478AF">
        <w:rPr>
          <w:i/>
          <w:iCs/>
        </w:rPr>
        <w:t>Energia</w:t>
      </w:r>
      <w:r w:rsidRPr="003478AF">
        <w:t xml:space="preserve">, 4. </w:t>
      </w:r>
      <w:r w:rsidRPr="003478AF">
        <w:rPr>
          <w:i/>
          <w:iCs/>
        </w:rPr>
        <w:t>Środowisko</w:t>
      </w:r>
      <w:r w:rsidRPr="003478AF">
        <w:t xml:space="preserve">, 5. </w:t>
      </w:r>
      <w:r w:rsidR="00CA64CE" w:rsidRPr="003478AF">
        <w:rPr>
          <w:i/>
          <w:iCs/>
        </w:rPr>
        <w:t>Transport,</w:t>
      </w:r>
      <w:r w:rsidRPr="003478AF">
        <w:t xml:space="preserve"> ale również w 1. </w:t>
      </w:r>
      <w:r w:rsidRPr="003478AF">
        <w:rPr>
          <w:i/>
          <w:iCs/>
        </w:rPr>
        <w:t xml:space="preserve">Innowacyjna </w:t>
      </w:r>
      <w:r w:rsidRPr="003478AF">
        <w:rPr>
          <w:i/>
          <w:iCs/>
        </w:rPr>
        <w:br/>
        <w:t>i konkurencyjna gospodarka</w:t>
      </w:r>
      <w:r w:rsidRPr="003478AF">
        <w:t xml:space="preserve"> dedykowana przedsiębiorcom.</w:t>
      </w:r>
    </w:p>
    <w:p w14:paraId="35C3B528" w14:textId="77777777" w:rsidR="00F901B6" w:rsidRPr="003478AF" w:rsidRDefault="00F901B6" w:rsidP="00F901B6">
      <w:r w:rsidRPr="003478AF">
        <w:t>Energetyka dotyczy produkcji urządzeń do wytwarzania energii ze źródeł odnawialnych, a także racjonalizacji wykorzystania energii w zakresie nowoczesnych, energooszczędnych technologii. Dodatkowym elementem wsparcia jest także modernizacja i wprowadzanie ulepszeń mających na celu optymalizację zużycia energii, ciepła i wody, a także redukcję emisji zanieczyszczeń do powietrza.</w:t>
      </w:r>
    </w:p>
    <w:p w14:paraId="30099458" w14:textId="77777777" w:rsidR="00F901B6" w:rsidRPr="003478AF" w:rsidRDefault="00F901B6" w:rsidP="00F901B6">
      <w:r w:rsidRPr="003478AF">
        <w:t xml:space="preserve">W ramach osi priorytetowej 4. </w:t>
      </w:r>
      <w:r w:rsidRPr="003478AF">
        <w:rPr>
          <w:i/>
          <w:iCs/>
        </w:rPr>
        <w:t>Środowisko</w:t>
      </w:r>
      <w:r w:rsidRPr="003478AF">
        <w:t xml:space="preserve"> mowa jest o inwestycjach zapobiegania powstawania odpadów, a następnie przygotowanie do ponownego użycia, recyklingu i odzysku energii. Finansowane były również inwestycje z zakresu gospodarki wodno-ściekowej.</w:t>
      </w:r>
    </w:p>
    <w:p w14:paraId="7A8CAFD5" w14:textId="51AE928C" w:rsidR="00F901B6" w:rsidRPr="003478AF" w:rsidRDefault="00F901B6" w:rsidP="00F901B6">
      <w:pPr>
        <w:ind w:firstLine="709"/>
      </w:pPr>
      <w:r w:rsidRPr="003478AF">
        <w:t xml:space="preserve">Kierunkami działań w zakresie transportu </w:t>
      </w:r>
      <w:r w:rsidR="00F06367" w:rsidRPr="003478AF">
        <w:t>są</w:t>
      </w:r>
      <w:r w:rsidRPr="003478AF">
        <w:t xml:space="preserve"> m.in. ekologiczne i zrównoważone systemy transportowe, inteligentne systemy transportowe (ITS), promocja ekologicznych czystych i energooszczędnych pojazdów (czyste paliwa i pojazdy).</w:t>
      </w:r>
    </w:p>
    <w:p w14:paraId="0242839B" w14:textId="77777777" w:rsidR="00F901B6" w:rsidRPr="003478AF" w:rsidRDefault="00F901B6" w:rsidP="00F901B6">
      <w:pPr>
        <w:ind w:firstLine="709"/>
      </w:pPr>
      <w:r w:rsidRPr="003478AF">
        <w:t xml:space="preserve">W WRPO mowa jest także o rozwoju zielonej gospodarki i ekoinnowacji szczególnie </w:t>
      </w:r>
      <w:r w:rsidRPr="003478AF">
        <w:br/>
        <w:t xml:space="preserve">w przypadku MŚP dotyczących zwiększenia konkurencyjności firm, działających m.in. </w:t>
      </w:r>
      <w:r w:rsidRPr="003478AF">
        <w:br/>
        <w:t>w branżach: recyklingu odpadów, oczyszczania zużytej wody i ścieków, filtracji i kontroli emisji.</w:t>
      </w:r>
    </w:p>
    <w:p w14:paraId="4CBF8349" w14:textId="7C50650E" w:rsidR="00F901B6" w:rsidRPr="003478AF" w:rsidRDefault="00F901B6" w:rsidP="00F901B6">
      <w:pPr>
        <w:ind w:firstLine="709"/>
      </w:pPr>
      <w:r w:rsidRPr="003478AF">
        <w:t>Największą pulę środków unijnych w funduszach strukturalnych przeznaczono w POI</w:t>
      </w:r>
      <w:r w:rsidR="00F06367" w:rsidRPr="003478AF">
        <w:t>Ś</w:t>
      </w:r>
      <w:r w:rsidRPr="003478AF">
        <w:t xml:space="preserve"> na wsparcie gospodarki efektywnie korzystającej z zasobów i przyjaznej środowisku oraz sprzyjającej spójności terytorialnej i społecznej. Zaplanowano trzy główne działania dotyczące</w:t>
      </w:r>
      <w:r w:rsidRPr="003478AF">
        <w:rPr>
          <w:rStyle w:val="Odwoanieprzypisudolnego"/>
        </w:rPr>
        <w:footnoteReference w:id="146"/>
      </w:r>
      <w:r w:rsidRPr="003478AF">
        <w:t>:</w:t>
      </w:r>
    </w:p>
    <w:p w14:paraId="6A1C6747" w14:textId="77777777" w:rsidR="00F901B6" w:rsidRPr="003478AF" w:rsidRDefault="00F901B6" w:rsidP="00B13D49">
      <w:pPr>
        <w:numPr>
          <w:ilvl w:val="0"/>
          <w:numId w:val="15"/>
        </w:numPr>
      </w:pPr>
      <w:r w:rsidRPr="003478AF">
        <w:t xml:space="preserve">czystej i efektywnej energii, w tym efektywności energetycznej, ograniczenia emisji gazów cieplarnianych, rozwoju energii ze źródeł odnawialnych oraz integracji </w:t>
      </w:r>
      <w:r w:rsidRPr="003478AF">
        <w:br/>
        <w:t xml:space="preserve">i poprawy funkcjonowania europejskiego rynku energii; </w:t>
      </w:r>
    </w:p>
    <w:p w14:paraId="5EB304E1" w14:textId="3138E585" w:rsidR="00F901B6" w:rsidRPr="003478AF" w:rsidRDefault="00F901B6" w:rsidP="00B13D49">
      <w:pPr>
        <w:numPr>
          <w:ilvl w:val="0"/>
          <w:numId w:val="15"/>
        </w:numPr>
      </w:pPr>
      <w:r w:rsidRPr="003478AF">
        <w:lastRenderedPageBreak/>
        <w:t>adaptacji do zmian klimatu oraz efektywnego korzystania z zasobów, wzmocnieni</w:t>
      </w:r>
      <w:r w:rsidR="00F06367" w:rsidRPr="003478AF">
        <w:t>a</w:t>
      </w:r>
      <w:r w:rsidRPr="003478AF">
        <w:t xml:space="preserve"> odporności systemów gospodarczych na zagrożenia związane z klimatem oraz zwiększenia możliwości zapobiegania zagrożeniom i reagowania na nie; </w:t>
      </w:r>
    </w:p>
    <w:p w14:paraId="14CF0FC5" w14:textId="77777777" w:rsidR="00F901B6" w:rsidRPr="003478AF" w:rsidRDefault="00F901B6" w:rsidP="00B13D49">
      <w:pPr>
        <w:numPr>
          <w:ilvl w:val="0"/>
          <w:numId w:val="15"/>
        </w:numPr>
      </w:pPr>
      <w:r w:rsidRPr="003478AF">
        <w:t>konkurencyjności, w tym wnoszenia istotnego wkładu w utrzymanie przez UE wprowadzenia na globalne rynki technologii przyjaznych środowisku, zapewniając jednocześnie efektywne korzystanie z zasobów i usuwając przeszkody w działaniu najważniejszych infrastruktur sieciowych.</w:t>
      </w:r>
    </w:p>
    <w:p w14:paraId="669CBED9" w14:textId="2F933253" w:rsidR="00F901B6" w:rsidRPr="003478AF" w:rsidRDefault="00F901B6" w:rsidP="00F901B6">
      <w:pPr>
        <w:ind w:firstLine="360"/>
      </w:pPr>
      <w:r w:rsidRPr="003478AF">
        <w:t>Działania wpisujące się w GOZ znajdują się priorytetach</w:t>
      </w:r>
      <w:r w:rsidR="00F06367" w:rsidRPr="003478AF">
        <w:t xml:space="preserve"> POIŚ</w:t>
      </w:r>
      <w:r w:rsidRPr="003478AF">
        <w:t xml:space="preserve">: 6. </w:t>
      </w:r>
      <w:r w:rsidRPr="003478AF">
        <w:rPr>
          <w:i/>
          <w:iCs/>
        </w:rPr>
        <w:t>Rozwój niskoemisyjnego transportu zbiorowego w miastach</w:t>
      </w:r>
      <w:r w:rsidRPr="003478AF">
        <w:t xml:space="preserve"> (większe wykorzystanie niskoemisyjnego transportu miejskiego poprzez rozwój i integrację systemów publicznego transportu zbiorowego </w:t>
      </w:r>
      <w:r w:rsidRPr="003478AF">
        <w:br/>
        <w:t xml:space="preserve">w miastach) i 7. </w:t>
      </w:r>
      <w:r w:rsidRPr="003478AF">
        <w:rPr>
          <w:i/>
          <w:iCs/>
        </w:rPr>
        <w:t>Poprawa bezpieczeństwa energetycznego</w:t>
      </w:r>
      <w:r w:rsidRPr="003478AF">
        <w:t xml:space="preserve"> (rozbudowa, przebudowa </w:t>
      </w:r>
      <w:r w:rsidRPr="003478AF">
        <w:br/>
        <w:t>i unowocześnienie infrastruktury energetycznej przy zapewnieniu wdrażania inteligentnych rozwiązań).</w:t>
      </w:r>
    </w:p>
    <w:p w14:paraId="26527336" w14:textId="4A391012" w:rsidR="00F901B6" w:rsidRPr="003478AF" w:rsidRDefault="00F901B6" w:rsidP="00F901B6">
      <w:pPr>
        <w:ind w:firstLine="360"/>
      </w:pPr>
      <w:r w:rsidRPr="003478AF">
        <w:t xml:space="preserve">Największą pulę środków przeznaczono na priorytet 1. </w:t>
      </w:r>
      <w:r w:rsidRPr="003478AF">
        <w:rPr>
          <w:i/>
          <w:iCs/>
        </w:rPr>
        <w:t>Zmniejszenie emisyjności gospodarki.</w:t>
      </w:r>
      <w:r w:rsidRPr="003478AF">
        <w:t xml:space="preserve"> W ramach tego priorytetu finansowano działania obejmujące m.in. zwiększenie efektywności wykorzystania energii pierwotnej, poprawę efektywności energetycznej sektora publicznego i mieszkaniowego (w tym zmniejszenie emisyjności) oraz obniżenie energochłonności przedsiębiorstw, zwiększenie wytwarzania energii ze źródeł odnawialnych. Wspieran</w:t>
      </w:r>
      <w:r w:rsidR="00FA1A42" w:rsidRPr="003478AF">
        <w:t>e</w:t>
      </w:r>
      <w:r w:rsidRPr="003478AF">
        <w:t xml:space="preserve"> był</w:t>
      </w:r>
      <w:r w:rsidR="00FA1A42" w:rsidRPr="003478AF">
        <w:t>y</w:t>
      </w:r>
      <w:r w:rsidRPr="003478AF">
        <w:t xml:space="preserve"> również systemy inteligentnych sieci energetycznych na niskich i średnich napięciach, co w znacznym stopniu ułatwiło wzrost wykorzystania odnawialnych źródeł energii oraz przyczyniło się do rozwoju energetyki prosumenckiej. Ponadto wsparcie otrzymały obszary (głównie miejskie) posiadające uprzednio przygotowane plany gospodarki niskoemisyjnej, w szczególności w zakresie przebudowy i budowy nowych elementów sieci ciepłowniczych oraz tzw. głębokiej kompleksowej modernizacji energetycznej budynków mieszkaniowych. Dodatkowo w celu zwiększenia efektywności przetwarzania energii pierwotnej wspierane były działania w obszarze rozwoju wysokosprawnej kogeneracji.</w:t>
      </w:r>
      <w:r w:rsidR="00E5109D" w:rsidRPr="003478AF">
        <w:t xml:space="preserve"> </w:t>
      </w:r>
      <w:r w:rsidRPr="003478AF">
        <w:t xml:space="preserve"> </w:t>
      </w:r>
    </w:p>
    <w:p w14:paraId="441A9311" w14:textId="77777777" w:rsidR="00F901B6" w:rsidRPr="003478AF" w:rsidRDefault="00F901B6" w:rsidP="00F901B6">
      <w:pPr>
        <w:ind w:firstLine="360"/>
      </w:pPr>
      <w:r w:rsidRPr="003478AF">
        <w:t>Pula środków pieniężnych przeznaczonych na te priorytety wynosiła łącznie 6,62 mld euro, w tym dofinansowanie 5,11 mld euro. Najwięcej środków przeznaczono na priorytet pierwszy (2,15 mld euro, w tym dofinansowanie 1,83 mld euro).</w:t>
      </w:r>
    </w:p>
    <w:p w14:paraId="4A88D2B6" w14:textId="23662718" w:rsidR="00F901B6" w:rsidRPr="003478AF" w:rsidRDefault="00F901B6" w:rsidP="00F901B6">
      <w:pPr>
        <w:ind w:firstLine="360"/>
        <w:rPr>
          <w:b/>
          <w:bCs/>
        </w:rPr>
      </w:pPr>
      <w:r w:rsidRPr="003478AF">
        <w:t xml:space="preserve">Kolejny program w ramach, którego realizowane są innowacyjne projekty, w tym również z zakresu GOZ to Program Operacyjny Inteligentny Rozwój 2014-2020. W szczególności są to trzy działania: </w:t>
      </w:r>
      <w:r w:rsidRPr="003478AF">
        <w:rPr>
          <w:iCs/>
        </w:rPr>
        <w:t>Szybka ścieżka, Badania na rynek i GOSPOSTRATEG</w:t>
      </w:r>
      <w:r w:rsidRPr="003478AF">
        <w:t xml:space="preserve">. Dwa pierwsze skierowane są do przedsiębiorstw. W Szybkiej ścieżce wsparcie otrzymały projekty obejmujące eksperymentalne prace rozwojowe lub badania przemysłowe i eksperymentalne prace rozwojowe, a także prowadzące do rozwoju innowacji produktowej lub procesowej, </w:t>
      </w:r>
      <w:r w:rsidR="00075829" w:rsidRPr="003478AF">
        <w:br/>
      </w:r>
      <w:r w:rsidRPr="003478AF">
        <w:t>co najmniej w skali kraju. W Badaniach na rynek wsparcie otrzymały projekty obejmujące wdrożenie wyników prac B+R przeprowadzonych przez przedsiębiorcę lub nabytych, prowadzących do uruchomienia produkcji nowych bądź ulepszonych produktów/usług. Konkurs był dedykowany mikro, małym i średnim przedsiębiorstwom. Natomiast GOSPO</w:t>
      </w:r>
      <w:r w:rsidR="00503CAB" w:rsidRPr="003478AF">
        <w:t>S</w:t>
      </w:r>
      <w:r w:rsidRPr="003478AF">
        <w:t xml:space="preserve">TRATEG dotyczy badań społeczno-ekonomicznych w kształtowaniu krajowych </w:t>
      </w:r>
      <w:r w:rsidRPr="003478AF">
        <w:br/>
        <w:t xml:space="preserve">i regionalnych polityk rozwojowych, np. projekt </w:t>
      </w:r>
      <w:r w:rsidR="00562638" w:rsidRPr="003478AF">
        <w:t>„</w:t>
      </w:r>
      <w:r w:rsidRPr="003478AF">
        <w:t>Oto-GOZ</w:t>
      </w:r>
      <w:r w:rsidR="00562638" w:rsidRPr="003478AF">
        <w:t>”</w:t>
      </w:r>
      <w:r w:rsidRPr="003478AF">
        <w:t xml:space="preserve"> (opracowanie dwóch zestawów wskaźników pomiarowych, umożliwiających ocenę postępu w transformacji w kierunku gospodarki o obiegu zamkniętym)</w:t>
      </w:r>
      <w:r w:rsidRPr="003478AF">
        <w:rPr>
          <w:b/>
          <w:bCs/>
        </w:rPr>
        <w:t>.</w:t>
      </w:r>
    </w:p>
    <w:p w14:paraId="7E085A4B" w14:textId="77777777" w:rsidR="00F901B6" w:rsidRPr="003478AF" w:rsidRDefault="00F901B6" w:rsidP="00F901B6">
      <w:pPr>
        <w:ind w:firstLine="0"/>
      </w:pPr>
      <w:r w:rsidRPr="003478AF">
        <w:lastRenderedPageBreak/>
        <w:t xml:space="preserve">Projekty dotyczące GOZ są możliwe do dofinansowania także w PROW w szczególności </w:t>
      </w:r>
      <w:r w:rsidRPr="003478AF">
        <w:br/>
        <w:t>w zakresie technologii i organizacji produkcji, przetwarzania produktów rolnych wytwarzanych w gospodarstwie oraz rozwiązań związanych z ochroną środowiska i klimatem.</w:t>
      </w:r>
    </w:p>
    <w:p w14:paraId="217CE8B5" w14:textId="77777777" w:rsidR="00F901B6" w:rsidRPr="003478AF" w:rsidRDefault="00F901B6" w:rsidP="00F901B6">
      <w:pPr>
        <w:spacing w:line="240" w:lineRule="auto"/>
        <w:ind w:firstLine="0"/>
        <w:jc w:val="left"/>
        <w:rPr>
          <w:rFonts w:cs="Arial"/>
          <w:szCs w:val="20"/>
        </w:rPr>
      </w:pPr>
    </w:p>
    <w:p w14:paraId="4FF82C2A" w14:textId="77777777" w:rsidR="00F901B6" w:rsidRPr="003478AF" w:rsidRDefault="00F901B6" w:rsidP="00F901B6">
      <w:r w:rsidRPr="003478AF">
        <w:rPr>
          <w:rFonts w:cs="Arial"/>
          <w:szCs w:val="20"/>
        </w:rPr>
        <w:t>Pozostałe programy inne niż fundusze unijne nawiązujące</w:t>
      </w:r>
      <w:r w:rsidRPr="003478AF">
        <w:t xml:space="preserve"> do gospodarki cyrkularnej opisano w tabeli poniżej.</w:t>
      </w:r>
    </w:p>
    <w:p w14:paraId="7EC31AE0" w14:textId="77777777" w:rsidR="00F901B6" w:rsidRPr="003478AF" w:rsidRDefault="00F901B6" w:rsidP="00F901B6">
      <w:pPr>
        <w:ind w:firstLine="0"/>
      </w:pPr>
    </w:p>
    <w:p w14:paraId="1DEAF87E" w14:textId="20F68A9A" w:rsidR="00F901B6" w:rsidRPr="003478AF" w:rsidRDefault="005D34A6" w:rsidP="00986D40">
      <w:pPr>
        <w:pStyle w:val="ARYCINA"/>
      </w:pPr>
      <w:r w:rsidRPr="003478AF">
        <w:t xml:space="preserve">Tab. </w:t>
      </w:r>
      <w:r w:rsidR="0051112A" w:rsidRPr="003478AF">
        <w:rPr>
          <w:noProof/>
        </w:rPr>
        <w:t>9</w:t>
      </w:r>
      <w:r w:rsidR="00F901B6" w:rsidRPr="003478AF">
        <w:t>.</w:t>
      </w:r>
      <w:r w:rsidR="0051112A" w:rsidRPr="003478AF">
        <w:rPr>
          <w:noProof/>
        </w:rPr>
        <w:t>1</w:t>
      </w:r>
      <w:r w:rsidR="00F901B6" w:rsidRPr="003478AF">
        <w:t xml:space="preserve"> Programy wspierające inwestycje w zakresie GOZ w perspektywie do 2020 roku</w:t>
      </w:r>
    </w:p>
    <w:tbl>
      <w:tblPr>
        <w:tblStyle w:val="Tabela-Siatka"/>
        <w:tblW w:w="0" w:type="auto"/>
        <w:tblLook w:val="04A0" w:firstRow="1" w:lastRow="0" w:firstColumn="1" w:lastColumn="0" w:noHBand="0" w:noVBand="1"/>
      </w:tblPr>
      <w:tblGrid>
        <w:gridCol w:w="1897"/>
        <w:gridCol w:w="3766"/>
        <w:gridCol w:w="2604"/>
      </w:tblGrid>
      <w:tr w:rsidR="00F901B6" w:rsidRPr="003478AF" w14:paraId="6672941E" w14:textId="77777777" w:rsidTr="009316AA">
        <w:trPr>
          <w:trHeight w:val="283"/>
          <w:tblHeader/>
        </w:trPr>
        <w:tc>
          <w:tcPr>
            <w:tcW w:w="1980" w:type="dxa"/>
            <w:shd w:val="clear" w:color="auto" w:fill="CCA879"/>
            <w:vAlign w:val="center"/>
          </w:tcPr>
          <w:p w14:paraId="5A4BA9A7" w14:textId="77777777" w:rsidR="00F901B6" w:rsidRPr="003478AF" w:rsidRDefault="00F901B6" w:rsidP="00E7414E">
            <w:pPr>
              <w:ind w:firstLine="0"/>
              <w:jc w:val="center"/>
              <w:rPr>
                <w:rFonts w:cs="Arial"/>
                <w:b/>
                <w:bCs/>
                <w:sz w:val="18"/>
                <w:szCs w:val="18"/>
              </w:rPr>
            </w:pPr>
            <w:r w:rsidRPr="003478AF">
              <w:rPr>
                <w:rFonts w:cs="Arial"/>
                <w:b/>
                <w:bCs/>
                <w:sz w:val="18"/>
                <w:szCs w:val="18"/>
              </w:rPr>
              <w:t>Nazwa programu</w:t>
            </w:r>
          </w:p>
        </w:tc>
        <w:tc>
          <w:tcPr>
            <w:tcW w:w="3544" w:type="dxa"/>
            <w:shd w:val="clear" w:color="auto" w:fill="CCA879"/>
            <w:vAlign w:val="center"/>
          </w:tcPr>
          <w:p w14:paraId="23B84822" w14:textId="77777777" w:rsidR="00F901B6" w:rsidRPr="003478AF" w:rsidRDefault="00F901B6" w:rsidP="00E7414E">
            <w:pPr>
              <w:ind w:firstLine="0"/>
              <w:jc w:val="center"/>
              <w:rPr>
                <w:rFonts w:cs="Arial"/>
                <w:b/>
                <w:bCs/>
                <w:sz w:val="18"/>
                <w:szCs w:val="18"/>
              </w:rPr>
            </w:pPr>
            <w:r w:rsidRPr="003478AF">
              <w:rPr>
                <w:rFonts w:cs="Arial"/>
                <w:b/>
                <w:bCs/>
                <w:sz w:val="18"/>
                <w:szCs w:val="18"/>
              </w:rPr>
              <w:t>Zakres tematyczny</w:t>
            </w:r>
          </w:p>
        </w:tc>
        <w:tc>
          <w:tcPr>
            <w:tcW w:w="2743" w:type="dxa"/>
            <w:shd w:val="clear" w:color="auto" w:fill="CCA879"/>
            <w:vAlign w:val="center"/>
          </w:tcPr>
          <w:p w14:paraId="6FB3F95F" w14:textId="77777777" w:rsidR="00F901B6" w:rsidRPr="003478AF" w:rsidRDefault="00F901B6" w:rsidP="00E7414E">
            <w:pPr>
              <w:ind w:firstLine="0"/>
              <w:jc w:val="center"/>
              <w:rPr>
                <w:rFonts w:cs="Arial"/>
                <w:b/>
                <w:bCs/>
                <w:sz w:val="18"/>
                <w:szCs w:val="18"/>
              </w:rPr>
            </w:pPr>
            <w:r w:rsidRPr="003478AF">
              <w:rPr>
                <w:rFonts w:cs="Arial"/>
                <w:b/>
                <w:bCs/>
                <w:sz w:val="18"/>
                <w:szCs w:val="18"/>
              </w:rPr>
              <w:t>Beneficjenci</w:t>
            </w:r>
          </w:p>
        </w:tc>
      </w:tr>
      <w:tr w:rsidR="00F901B6" w:rsidRPr="003478AF" w14:paraId="0AC00000" w14:textId="77777777" w:rsidTr="009316AA">
        <w:trPr>
          <w:trHeight w:val="283"/>
        </w:trPr>
        <w:tc>
          <w:tcPr>
            <w:tcW w:w="1980" w:type="dxa"/>
            <w:vAlign w:val="center"/>
          </w:tcPr>
          <w:p w14:paraId="54A91E3C" w14:textId="77777777" w:rsidR="00F901B6" w:rsidRPr="003478AF" w:rsidRDefault="00F901B6" w:rsidP="00E7414E">
            <w:pPr>
              <w:ind w:firstLine="0"/>
              <w:jc w:val="left"/>
              <w:rPr>
                <w:rFonts w:cs="Arial"/>
                <w:sz w:val="18"/>
                <w:szCs w:val="18"/>
              </w:rPr>
            </w:pPr>
            <w:r w:rsidRPr="003478AF">
              <w:rPr>
                <w:rFonts w:cs="Arial"/>
                <w:sz w:val="18"/>
                <w:szCs w:val="18"/>
              </w:rPr>
              <w:t>Fundusze norweskie </w:t>
            </w:r>
          </w:p>
        </w:tc>
        <w:tc>
          <w:tcPr>
            <w:tcW w:w="3544" w:type="dxa"/>
            <w:vAlign w:val="center"/>
          </w:tcPr>
          <w:p w14:paraId="76F9CDBE" w14:textId="77777777" w:rsidR="00F901B6" w:rsidRPr="003478AF" w:rsidRDefault="00F901B6" w:rsidP="00E7414E">
            <w:pPr>
              <w:ind w:firstLine="0"/>
              <w:jc w:val="left"/>
              <w:rPr>
                <w:rFonts w:cs="Arial"/>
                <w:sz w:val="18"/>
                <w:szCs w:val="18"/>
              </w:rPr>
            </w:pPr>
            <w:r w:rsidRPr="003478AF">
              <w:rPr>
                <w:rFonts w:cs="Arial"/>
                <w:sz w:val="18"/>
                <w:szCs w:val="18"/>
              </w:rPr>
              <w:t>Wsparcie pilotażowych przedsięwzięć z zakresu gospodarki w obiegu zamkniętym i energetycznego wykorzystania biomasy.</w:t>
            </w:r>
          </w:p>
          <w:p w14:paraId="6856EC14" w14:textId="77777777" w:rsidR="00F901B6" w:rsidRPr="003478AF" w:rsidRDefault="00F901B6" w:rsidP="00E7414E">
            <w:pPr>
              <w:ind w:firstLine="0"/>
              <w:jc w:val="left"/>
              <w:rPr>
                <w:rFonts w:cs="Arial"/>
                <w:sz w:val="18"/>
                <w:szCs w:val="18"/>
              </w:rPr>
            </w:pPr>
          </w:p>
          <w:p w14:paraId="69ABB76B" w14:textId="77777777" w:rsidR="00F901B6" w:rsidRPr="003478AF" w:rsidRDefault="00F901B6" w:rsidP="00E7414E">
            <w:pPr>
              <w:ind w:firstLine="0"/>
              <w:jc w:val="left"/>
              <w:rPr>
                <w:rFonts w:cs="Arial"/>
                <w:sz w:val="18"/>
                <w:szCs w:val="18"/>
              </w:rPr>
            </w:pPr>
            <w:r w:rsidRPr="003478AF">
              <w:rPr>
                <w:rFonts w:cs="Arial"/>
                <w:sz w:val="18"/>
                <w:szCs w:val="18"/>
              </w:rPr>
              <w:t>Badania naukowe i projekty demonstracyjne w dziedzinie zrównoważonych rozwiązań ekologicznych, sprzyjających włączeniu społecznemu i opierających się na obiegu zamkniętym oraz wspieranie ich wdrażania. Na te cele przeznaczono 3,85 mld euro.</w:t>
            </w:r>
          </w:p>
        </w:tc>
        <w:tc>
          <w:tcPr>
            <w:tcW w:w="2743" w:type="dxa"/>
            <w:vAlign w:val="center"/>
          </w:tcPr>
          <w:p w14:paraId="7BA8833F" w14:textId="77777777" w:rsidR="00F901B6" w:rsidRPr="003478AF" w:rsidRDefault="00F901B6" w:rsidP="00E7414E">
            <w:pPr>
              <w:ind w:firstLine="0"/>
              <w:jc w:val="left"/>
              <w:rPr>
                <w:rFonts w:cs="Arial"/>
                <w:sz w:val="18"/>
                <w:szCs w:val="18"/>
              </w:rPr>
            </w:pPr>
            <w:r w:rsidRPr="003478AF">
              <w:rPr>
                <w:rFonts w:cs="Arial"/>
                <w:sz w:val="18"/>
                <w:szCs w:val="18"/>
              </w:rPr>
              <w:t>Podmioty prywatne lub publiczne, komercyjne lub niekomercyjne oraz organizacje pozarządowe.</w:t>
            </w:r>
          </w:p>
        </w:tc>
      </w:tr>
      <w:tr w:rsidR="00F901B6" w:rsidRPr="003478AF" w14:paraId="182DB5D4" w14:textId="77777777" w:rsidTr="009316AA">
        <w:trPr>
          <w:trHeight w:val="283"/>
        </w:trPr>
        <w:tc>
          <w:tcPr>
            <w:tcW w:w="1980" w:type="dxa"/>
            <w:vAlign w:val="center"/>
          </w:tcPr>
          <w:p w14:paraId="02CCBA13" w14:textId="77777777" w:rsidR="00F901B6" w:rsidRPr="003478AF" w:rsidRDefault="00F901B6" w:rsidP="00E7414E">
            <w:pPr>
              <w:ind w:firstLine="0"/>
              <w:jc w:val="left"/>
              <w:rPr>
                <w:rFonts w:cs="Arial"/>
                <w:b/>
                <w:bCs/>
                <w:sz w:val="18"/>
                <w:szCs w:val="18"/>
              </w:rPr>
            </w:pPr>
            <w:r w:rsidRPr="003478AF">
              <w:rPr>
                <w:rFonts w:cs="Arial"/>
                <w:sz w:val="18"/>
                <w:szCs w:val="18"/>
              </w:rPr>
              <w:t>Program NFOŚiGW -Gospodarka o obiegu zamkniętym w gminie</w:t>
            </w:r>
          </w:p>
        </w:tc>
        <w:tc>
          <w:tcPr>
            <w:tcW w:w="3544" w:type="dxa"/>
            <w:vAlign w:val="center"/>
          </w:tcPr>
          <w:p w14:paraId="030B159E" w14:textId="77777777" w:rsidR="00F901B6" w:rsidRPr="003478AF" w:rsidRDefault="00F901B6" w:rsidP="00E7414E">
            <w:pPr>
              <w:ind w:firstLine="0"/>
              <w:jc w:val="left"/>
              <w:rPr>
                <w:rFonts w:cs="Arial"/>
                <w:sz w:val="18"/>
                <w:szCs w:val="18"/>
              </w:rPr>
            </w:pPr>
            <w:r w:rsidRPr="003478AF">
              <w:rPr>
                <w:rFonts w:cs="Arial"/>
                <w:sz w:val="18"/>
                <w:szCs w:val="18"/>
              </w:rPr>
              <w:t>Upowszechnienie doświadczeń we wdrażaniu gospodarki odpadami o obiegu zamkniętym na poziomie gminy w oparciu o pilotażowe, kompleksowe koncepcje realizowane w gminach: Krasnobród, Łukowica, Sokoły, Tuczno i Wieluń.</w:t>
            </w:r>
          </w:p>
        </w:tc>
        <w:tc>
          <w:tcPr>
            <w:tcW w:w="2743" w:type="dxa"/>
            <w:vAlign w:val="center"/>
          </w:tcPr>
          <w:p w14:paraId="5B48F00B" w14:textId="77777777" w:rsidR="00F901B6" w:rsidRPr="003478AF" w:rsidRDefault="00F901B6" w:rsidP="00E7414E">
            <w:pPr>
              <w:ind w:firstLine="0"/>
              <w:jc w:val="left"/>
              <w:rPr>
                <w:rFonts w:cs="Arial"/>
                <w:sz w:val="18"/>
                <w:szCs w:val="18"/>
              </w:rPr>
            </w:pPr>
            <w:r w:rsidRPr="003478AF">
              <w:rPr>
                <w:rFonts w:cs="Arial"/>
                <w:sz w:val="18"/>
                <w:szCs w:val="18"/>
              </w:rPr>
              <w:t>Jednostki samorządu terytorialnego, osoby prawne, jednostki organizacyjne nieposiadające osobowości prawnej, którym ustawa przyznaje zdolność prawną, osoby fizyczne.</w:t>
            </w:r>
          </w:p>
        </w:tc>
      </w:tr>
      <w:tr w:rsidR="00F901B6" w:rsidRPr="003478AF" w14:paraId="1A9D9BED" w14:textId="77777777" w:rsidTr="009316AA">
        <w:trPr>
          <w:trHeight w:val="283"/>
        </w:trPr>
        <w:tc>
          <w:tcPr>
            <w:tcW w:w="1980" w:type="dxa"/>
            <w:vAlign w:val="center"/>
          </w:tcPr>
          <w:p w14:paraId="2CA53E10" w14:textId="77777777" w:rsidR="00F901B6" w:rsidRPr="003478AF" w:rsidRDefault="00F901B6" w:rsidP="00E7414E">
            <w:pPr>
              <w:ind w:firstLine="0"/>
              <w:jc w:val="left"/>
              <w:rPr>
                <w:rFonts w:cs="Arial"/>
                <w:sz w:val="18"/>
                <w:szCs w:val="18"/>
              </w:rPr>
            </w:pPr>
            <w:r w:rsidRPr="003478AF">
              <w:rPr>
                <w:rFonts w:cs="Arial"/>
                <w:sz w:val="18"/>
                <w:szCs w:val="18"/>
              </w:rPr>
              <w:t>Pozostałe programy NFOŚiGW:</w:t>
            </w:r>
            <w:r w:rsidRPr="003478AF">
              <w:rPr>
                <w:rFonts w:cs="Arial"/>
                <w:b/>
                <w:bCs/>
                <w:sz w:val="18"/>
                <w:szCs w:val="18"/>
              </w:rPr>
              <w:t xml:space="preserve"> „</w:t>
            </w:r>
            <w:r w:rsidRPr="003478AF">
              <w:rPr>
                <w:rFonts w:cs="Arial"/>
                <w:sz w:val="18"/>
                <w:szCs w:val="18"/>
              </w:rPr>
              <w:t>Mój prąd”, „Bocian”, „Prosument”, „Czyste powietrze”, „Biogazownie w każdej gminie”</w:t>
            </w:r>
          </w:p>
        </w:tc>
        <w:tc>
          <w:tcPr>
            <w:tcW w:w="3544" w:type="dxa"/>
            <w:vAlign w:val="center"/>
          </w:tcPr>
          <w:p w14:paraId="00C9F223" w14:textId="2046671C" w:rsidR="00F901B6" w:rsidRPr="003478AF" w:rsidRDefault="00F901B6" w:rsidP="00E7414E">
            <w:pPr>
              <w:ind w:firstLine="0"/>
              <w:jc w:val="left"/>
              <w:rPr>
                <w:rFonts w:cs="Arial"/>
                <w:sz w:val="18"/>
                <w:szCs w:val="18"/>
              </w:rPr>
            </w:pPr>
            <w:r w:rsidRPr="003478AF">
              <w:rPr>
                <w:rFonts w:cs="Arial"/>
                <w:sz w:val="18"/>
                <w:szCs w:val="18"/>
              </w:rPr>
              <w:t>Wspieranie inicjatyw ograniczających emisję</w:t>
            </w:r>
            <w:r w:rsidR="009316AA" w:rsidRPr="003478AF">
              <w:rPr>
                <w:rFonts w:cs="Arial"/>
                <w:sz w:val="18"/>
                <w:szCs w:val="18"/>
              </w:rPr>
              <w:t>.</w:t>
            </w:r>
          </w:p>
        </w:tc>
        <w:tc>
          <w:tcPr>
            <w:tcW w:w="2743" w:type="dxa"/>
            <w:vAlign w:val="center"/>
          </w:tcPr>
          <w:p w14:paraId="5E5AE76E" w14:textId="77777777" w:rsidR="00F901B6" w:rsidRPr="003478AF" w:rsidRDefault="00F901B6" w:rsidP="00E7414E">
            <w:pPr>
              <w:ind w:firstLine="0"/>
              <w:jc w:val="left"/>
              <w:rPr>
                <w:rFonts w:cs="Arial"/>
                <w:sz w:val="18"/>
                <w:szCs w:val="18"/>
              </w:rPr>
            </w:pPr>
            <w:r w:rsidRPr="003478AF">
              <w:rPr>
                <w:rFonts w:cs="Arial"/>
                <w:b/>
                <w:bCs/>
                <w:sz w:val="18"/>
                <w:szCs w:val="18"/>
              </w:rPr>
              <w:t>„</w:t>
            </w:r>
            <w:r w:rsidRPr="003478AF">
              <w:rPr>
                <w:rFonts w:cs="Arial"/>
                <w:sz w:val="18"/>
                <w:szCs w:val="18"/>
              </w:rPr>
              <w:t>Mój prąd”:</w:t>
            </w:r>
          </w:p>
          <w:p w14:paraId="606D4213" w14:textId="77777777" w:rsidR="00F901B6" w:rsidRPr="003478AF" w:rsidRDefault="00F901B6" w:rsidP="00E7414E">
            <w:pPr>
              <w:ind w:firstLine="0"/>
              <w:jc w:val="left"/>
              <w:rPr>
                <w:rFonts w:cs="Arial"/>
                <w:sz w:val="18"/>
                <w:szCs w:val="18"/>
              </w:rPr>
            </w:pPr>
            <w:r w:rsidRPr="003478AF">
              <w:rPr>
                <w:rFonts w:cs="Arial"/>
                <w:sz w:val="18"/>
                <w:szCs w:val="18"/>
              </w:rPr>
              <w:t>osoby fizyczne wytwarzające energię elektryczną na własne potrzeby</w:t>
            </w:r>
          </w:p>
          <w:p w14:paraId="5A8CB369" w14:textId="77777777" w:rsidR="00F901B6" w:rsidRPr="003478AF" w:rsidRDefault="00F901B6" w:rsidP="00E7414E">
            <w:pPr>
              <w:ind w:firstLine="0"/>
              <w:jc w:val="left"/>
              <w:rPr>
                <w:rFonts w:cs="Arial"/>
                <w:sz w:val="18"/>
                <w:szCs w:val="18"/>
              </w:rPr>
            </w:pPr>
          </w:p>
          <w:p w14:paraId="62CB9B2F" w14:textId="77777777" w:rsidR="00F901B6" w:rsidRPr="003478AF" w:rsidRDefault="00F901B6" w:rsidP="00E7414E">
            <w:pPr>
              <w:ind w:firstLine="0"/>
              <w:jc w:val="left"/>
              <w:rPr>
                <w:rFonts w:cs="Arial"/>
                <w:sz w:val="18"/>
                <w:szCs w:val="18"/>
              </w:rPr>
            </w:pPr>
            <w:r w:rsidRPr="003478AF">
              <w:rPr>
                <w:rFonts w:cs="Arial"/>
                <w:sz w:val="18"/>
                <w:szCs w:val="18"/>
              </w:rPr>
              <w:t>Bocian”: przedsiębiorstwa</w:t>
            </w:r>
          </w:p>
          <w:p w14:paraId="380D4453" w14:textId="77777777" w:rsidR="00F901B6" w:rsidRPr="003478AF" w:rsidRDefault="00F901B6" w:rsidP="00E7414E">
            <w:pPr>
              <w:ind w:firstLine="0"/>
              <w:jc w:val="left"/>
              <w:rPr>
                <w:rFonts w:cs="Arial"/>
                <w:sz w:val="18"/>
                <w:szCs w:val="18"/>
              </w:rPr>
            </w:pPr>
          </w:p>
          <w:p w14:paraId="7002ED5B" w14:textId="77777777" w:rsidR="00F901B6" w:rsidRPr="003478AF" w:rsidRDefault="00F901B6" w:rsidP="00E7414E">
            <w:pPr>
              <w:ind w:firstLine="0"/>
              <w:jc w:val="left"/>
              <w:rPr>
                <w:rFonts w:cs="Arial"/>
                <w:sz w:val="18"/>
                <w:szCs w:val="18"/>
              </w:rPr>
            </w:pPr>
            <w:r w:rsidRPr="003478AF">
              <w:rPr>
                <w:rFonts w:cs="Arial"/>
                <w:sz w:val="18"/>
                <w:szCs w:val="18"/>
              </w:rPr>
              <w:t>„Prosument”: osoby fizyczne, spółdzielnie mieszkaniowe, wspólnoty mieszkaniowe oraz jednostki samorządu terytorialnego.</w:t>
            </w:r>
          </w:p>
          <w:p w14:paraId="3B58A7A8" w14:textId="77777777" w:rsidR="00F901B6" w:rsidRPr="003478AF" w:rsidRDefault="00F901B6" w:rsidP="00E7414E">
            <w:pPr>
              <w:ind w:firstLine="0"/>
              <w:jc w:val="left"/>
              <w:rPr>
                <w:rFonts w:cs="Arial"/>
                <w:sz w:val="18"/>
                <w:szCs w:val="18"/>
              </w:rPr>
            </w:pPr>
          </w:p>
          <w:p w14:paraId="5324AB93" w14:textId="77777777" w:rsidR="00F901B6" w:rsidRPr="003478AF" w:rsidRDefault="00F901B6" w:rsidP="00E7414E">
            <w:pPr>
              <w:ind w:firstLine="0"/>
              <w:jc w:val="left"/>
              <w:rPr>
                <w:rFonts w:cs="Arial"/>
                <w:sz w:val="18"/>
                <w:szCs w:val="18"/>
              </w:rPr>
            </w:pPr>
            <w:r w:rsidRPr="003478AF">
              <w:rPr>
                <w:rFonts w:cs="Arial"/>
                <w:sz w:val="18"/>
                <w:szCs w:val="18"/>
              </w:rPr>
              <w:t xml:space="preserve">„Czyste powietrze”: właściciel lub współwłaściciel domu jednorodzinnego; właściciel lub współwłaściciel wydzielonego </w:t>
            </w:r>
            <w:r w:rsidRPr="003478AF">
              <w:rPr>
                <w:rFonts w:cs="Arial"/>
                <w:sz w:val="18"/>
                <w:szCs w:val="18"/>
              </w:rPr>
              <w:br/>
              <w:t>w budynku jednorodzinnym lokalu mieszkalnego z wyodrębnioną księgą wieczystą.</w:t>
            </w:r>
          </w:p>
          <w:p w14:paraId="40D7148C" w14:textId="77777777" w:rsidR="00F901B6" w:rsidRPr="003478AF" w:rsidRDefault="00F901B6" w:rsidP="00E7414E">
            <w:pPr>
              <w:ind w:firstLine="0"/>
              <w:jc w:val="left"/>
              <w:rPr>
                <w:rFonts w:cs="Arial"/>
                <w:sz w:val="18"/>
                <w:szCs w:val="18"/>
              </w:rPr>
            </w:pPr>
          </w:p>
          <w:p w14:paraId="163C1927" w14:textId="77777777" w:rsidR="00F901B6" w:rsidRPr="003478AF" w:rsidRDefault="00F901B6" w:rsidP="00E7414E">
            <w:pPr>
              <w:ind w:firstLine="0"/>
              <w:jc w:val="left"/>
              <w:rPr>
                <w:rFonts w:cs="Arial"/>
                <w:sz w:val="18"/>
                <w:szCs w:val="18"/>
              </w:rPr>
            </w:pPr>
            <w:r w:rsidRPr="003478AF">
              <w:rPr>
                <w:rFonts w:cs="Arial"/>
                <w:sz w:val="18"/>
                <w:szCs w:val="18"/>
              </w:rPr>
              <w:lastRenderedPageBreak/>
              <w:t>„Biogazownie w każdej gminie”: rolnicy</w:t>
            </w:r>
          </w:p>
        </w:tc>
      </w:tr>
      <w:tr w:rsidR="00F901B6" w:rsidRPr="003478AF" w14:paraId="0431D829" w14:textId="77777777" w:rsidTr="009316AA">
        <w:trPr>
          <w:trHeight w:val="283"/>
        </w:trPr>
        <w:tc>
          <w:tcPr>
            <w:tcW w:w="1980" w:type="dxa"/>
            <w:vAlign w:val="center"/>
          </w:tcPr>
          <w:p w14:paraId="2B7393C3" w14:textId="77777777" w:rsidR="00F901B6" w:rsidRPr="003478AF" w:rsidRDefault="00F901B6" w:rsidP="00E7414E">
            <w:pPr>
              <w:ind w:firstLine="0"/>
              <w:jc w:val="left"/>
              <w:rPr>
                <w:rFonts w:cs="Arial"/>
                <w:sz w:val="18"/>
                <w:szCs w:val="18"/>
              </w:rPr>
            </w:pPr>
            <w:r w:rsidRPr="003478AF">
              <w:rPr>
                <w:rFonts w:cs="Arial"/>
                <w:sz w:val="18"/>
                <w:szCs w:val="18"/>
              </w:rPr>
              <w:lastRenderedPageBreak/>
              <w:t>Program LIFE</w:t>
            </w:r>
          </w:p>
        </w:tc>
        <w:tc>
          <w:tcPr>
            <w:tcW w:w="3544" w:type="dxa"/>
            <w:vAlign w:val="center"/>
          </w:tcPr>
          <w:p w14:paraId="0BF87051" w14:textId="177AA117" w:rsidR="00F901B6" w:rsidRPr="003478AF" w:rsidRDefault="00027010" w:rsidP="00E7414E">
            <w:pPr>
              <w:ind w:firstLine="0"/>
              <w:jc w:val="left"/>
              <w:rPr>
                <w:rFonts w:cs="Arial"/>
                <w:sz w:val="18"/>
                <w:szCs w:val="18"/>
              </w:rPr>
            </w:pPr>
            <w:r w:rsidRPr="003478AF">
              <w:rPr>
                <w:rFonts w:cs="Arial"/>
                <w:sz w:val="18"/>
                <w:szCs w:val="18"/>
              </w:rPr>
              <w:t>Z</w:t>
            </w:r>
            <w:r w:rsidR="00F901B6" w:rsidRPr="003478AF">
              <w:rPr>
                <w:rFonts w:cs="Arial"/>
                <w:sz w:val="18"/>
                <w:szCs w:val="18"/>
              </w:rPr>
              <w:t>większeni</w:t>
            </w:r>
            <w:r w:rsidRPr="003478AF">
              <w:rPr>
                <w:rFonts w:cs="Arial"/>
                <w:sz w:val="18"/>
                <w:szCs w:val="18"/>
              </w:rPr>
              <w:t>e</w:t>
            </w:r>
            <w:r w:rsidR="00F901B6" w:rsidRPr="003478AF">
              <w:rPr>
                <w:rFonts w:cs="Arial"/>
                <w:sz w:val="18"/>
                <w:szCs w:val="18"/>
              </w:rPr>
              <w:t xml:space="preserve"> świadomości obywateli i ustanowienia nowych procesów zapobiegania marnotrawstwu. Przyczynił się on do powstania tzw. "pętli zamkniętej" w obszarach projektowania produktu, nowych procesów produkcyjnych, świadomości konsumentów.</w:t>
            </w:r>
          </w:p>
        </w:tc>
        <w:tc>
          <w:tcPr>
            <w:tcW w:w="2743" w:type="dxa"/>
            <w:vAlign w:val="center"/>
          </w:tcPr>
          <w:p w14:paraId="54F98A0C" w14:textId="77777777" w:rsidR="00F901B6" w:rsidRPr="003478AF" w:rsidRDefault="00F901B6" w:rsidP="00E7414E">
            <w:pPr>
              <w:ind w:firstLine="0"/>
              <w:jc w:val="left"/>
              <w:rPr>
                <w:rFonts w:cs="Arial"/>
                <w:sz w:val="18"/>
                <w:szCs w:val="18"/>
              </w:rPr>
            </w:pPr>
            <w:r w:rsidRPr="003478AF">
              <w:rPr>
                <w:rFonts w:cs="Arial"/>
                <w:sz w:val="18"/>
                <w:szCs w:val="18"/>
              </w:rPr>
              <w:t>osoby fizyczne prowadzące działalność gospodarczą, osoby prawne, państwowe lub samorządowe jednostki organizacyjne nieposiadające osobowości prawnej.</w:t>
            </w:r>
          </w:p>
        </w:tc>
      </w:tr>
      <w:tr w:rsidR="00F901B6" w:rsidRPr="003478AF" w14:paraId="00387703" w14:textId="77777777" w:rsidTr="009316AA">
        <w:trPr>
          <w:trHeight w:val="283"/>
        </w:trPr>
        <w:tc>
          <w:tcPr>
            <w:tcW w:w="1980" w:type="dxa"/>
            <w:vAlign w:val="center"/>
          </w:tcPr>
          <w:p w14:paraId="073E62A8" w14:textId="5682B736" w:rsidR="00F901B6" w:rsidRPr="003478AF" w:rsidRDefault="00F901B6" w:rsidP="00E7414E">
            <w:pPr>
              <w:ind w:firstLine="0"/>
              <w:jc w:val="left"/>
              <w:rPr>
                <w:rFonts w:cs="Arial"/>
                <w:sz w:val="18"/>
                <w:szCs w:val="18"/>
              </w:rPr>
            </w:pPr>
            <w:r w:rsidRPr="003478AF">
              <w:rPr>
                <w:rFonts w:cs="Arial"/>
                <w:sz w:val="18"/>
                <w:szCs w:val="18"/>
              </w:rPr>
              <w:t>Program M</w:t>
            </w:r>
            <w:r w:rsidR="006A12C4" w:rsidRPr="003478AF">
              <w:rPr>
                <w:rFonts w:cs="Arial"/>
                <w:sz w:val="18"/>
                <w:szCs w:val="18"/>
              </w:rPr>
              <w:t xml:space="preserve">inisterstwa </w:t>
            </w:r>
            <w:r w:rsidRPr="003478AF">
              <w:rPr>
                <w:rFonts w:cs="Arial"/>
                <w:sz w:val="18"/>
                <w:szCs w:val="18"/>
              </w:rPr>
              <w:t>K</w:t>
            </w:r>
            <w:r w:rsidR="006A12C4" w:rsidRPr="003478AF">
              <w:rPr>
                <w:rFonts w:cs="Arial"/>
                <w:sz w:val="18"/>
                <w:szCs w:val="18"/>
              </w:rPr>
              <w:t xml:space="preserve">limatu i </w:t>
            </w:r>
            <w:r w:rsidRPr="003478AF">
              <w:rPr>
                <w:rFonts w:cs="Arial"/>
                <w:sz w:val="18"/>
                <w:szCs w:val="18"/>
              </w:rPr>
              <w:t>Ś</w:t>
            </w:r>
            <w:r w:rsidR="006A12C4" w:rsidRPr="003478AF">
              <w:rPr>
                <w:rFonts w:cs="Arial"/>
                <w:sz w:val="18"/>
                <w:szCs w:val="18"/>
              </w:rPr>
              <w:t>rodowiska</w:t>
            </w:r>
            <w:r w:rsidRPr="003478AF">
              <w:rPr>
                <w:rFonts w:cs="Arial"/>
                <w:sz w:val="18"/>
                <w:szCs w:val="18"/>
              </w:rPr>
              <w:t xml:space="preserve"> – „Produkt w obiegu</w:t>
            </w:r>
          </w:p>
        </w:tc>
        <w:tc>
          <w:tcPr>
            <w:tcW w:w="3544" w:type="dxa"/>
            <w:vAlign w:val="center"/>
          </w:tcPr>
          <w:p w14:paraId="7F5B7EA0" w14:textId="77777777" w:rsidR="00F901B6" w:rsidRPr="003478AF" w:rsidRDefault="00F901B6" w:rsidP="00E7414E">
            <w:pPr>
              <w:ind w:firstLine="0"/>
              <w:jc w:val="left"/>
              <w:rPr>
                <w:rFonts w:cs="Arial"/>
                <w:sz w:val="18"/>
                <w:szCs w:val="18"/>
              </w:rPr>
            </w:pPr>
            <w:r w:rsidRPr="003478AF">
              <w:rPr>
                <w:rFonts w:cs="Arial"/>
                <w:sz w:val="18"/>
                <w:szCs w:val="18"/>
              </w:rPr>
              <w:t>Wytwarzanie produktów poprzez zaprojektowanie i wybór materiałów, który umożliwi ich powtórne wykorzystanie. Projektowane rozwiązanie dla danego produktu ma umożliwić jego ponowne włączenie do obiegu – po zakończeniu użytkowania w jego pierwotnej formie</w:t>
            </w:r>
          </w:p>
        </w:tc>
        <w:tc>
          <w:tcPr>
            <w:tcW w:w="2743" w:type="dxa"/>
            <w:vAlign w:val="center"/>
          </w:tcPr>
          <w:p w14:paraId="7415B7C8" w14:textId="77777777" w:rsidR="00F901B6" w:rsidRPr="003478AF" w:rsidRDefault="00F901B6" w:rsidP="00E7414E">
            <w:pPr>
              <w:ind w:firstLine="0"/>
              <w:jc w:val="left"/>
              <w:rPr>
                <w:rFonts w:cs="Arial"/>
                <w:sz w:val="18"/>
                <w:szCs w:val="18"/>
              </w:rPr>
            </w:pPr>
            <w:r w:rsidRPr="003478AF">
              <w:rPr>
                <w:rFonts w:cs="Arial"/>
                <w:sz w:val="18"/>
                <w:szCs w:val="18"/>
              </w:rPr>
              <w:t>Przedsiębiorstwa</w:t>
            </w:r>
          </w:p>
        </w:tc>
      </w:tr>
      <w:tr w:rsidR="00F901B6" w:rsidRPr="003478AF" w14:paraId="12849CDC" w14:textId="77777777" w:rsidTr="009316AA">
        <w:trPr>
          <w:trHeight w:val="283"/>
        </w:trPr>
        <w:tc>
          <w:tcPr>
            <w:tcW w:w="1980" w:type="dxa"/>
            <w:vAlign w:val="center"/>
          </w:tcPr>
          <w:p w14:paraId="113A4B3D" w14:textId="77777777" w:rsidR="00F901B6" w:rsidRPr="003478AF" w:rsidRDefault="00F901B6" w:rsidP="00E7414E">
            <w:pPr>
              <w:ind w:firstLine="0"/>
              <w:jc w:val="left"/>
              <w:rPr>
                <w:rFonts w:cs="Arial"/>
                <w:sz w:val="18"/>
                <w:szCs w:val="18"/>
              </w:rPr>
            </w:pPr>
            <w:r w:rsidRPr="003478AF">
              <w:rPr>
                <w:rFonts w:cs="Arial"/>
                <w:sz w:val="18"/>
                <w:szCs w:val="18"/>
              </w:rPr>
              <w:t>System aukcyjny</w:t>
            </w:r>
          </w:p>
          <w:p w14:paraId="04652FE4" w14:textId="77777777" w:rsidR="00F901B6" w:rsidRPr="003478AF" w:rsidRDefault="00F901B6" w:rsidP="00E7414E">
            <w:pPr>
              <w:ind w:firstLine="0"/>
              <w:jc w:val="left"/>
              <w:rPr>
                <w:rFonts w:cs="Arial"/>
                <w:sz w:val="18"/>
                <w:szCs w:val="18"/>
              </w:rPr>
            </w:pPr>
          </w:p>
        </w:tc>
        <w:tc>
          <w:tcPr>
            <w:tcW w:w="3544" w:type="dxa"/>
            <w:vAlign w:val="center"/>
          </w:tcPr>
          <w:p w14:paraId="38EAFFAC" w14:textId="77777777" w:rsidR="00F901B6" w:rsidRPr="003478AF" w:rsidRDefault="00F901B6" w:rsidP="00E7414E">
            <w:pPr>
              <w:ind w:firstLine="0"/>
              <w:jc w:val="left"/>
              <w:rPr>
                <w:rFonts w:cs="Arial"/>
                <w:sz w:val="18"/>
                <w:szCs w:val="18"/>
              </w:rPr>
            </w:pPr>
            <w:r w:rsidRPr="003478AF">
              <w:rPr>
                <w:rFonts w:cs="Arial"/>
                <w:sz w:val="18"/>
                <w:szCs w:val="18"/>
              </w:rPr>
              <w:t>Budowa instalacji OZE.</w:t>
            </w:r>
          </w:p>
          <w:p w14:paraId="2A5F3E36" w14:textId="77777777" w:rsidR="00F901B6" w:rsidRPr="003478AF" w:rsidRDefault="00F901B6" w:rsidP="00E7414E">
            <w:pPr>
              <w:ind w:firstLine="0"/>
              <w:jc w:val="left"/>
              <w:rPr>
                <w:rFonts w:cs="Arial"/>
                <w:sz w:val="18"/>
                <w:szCs w:val="18"/>
              </w:rPr>
            </w:pPr>
          </w:p>
          <w:p w14:paraId="22E269AC" w14:textId="77777777" w:rsidR="00F901B6" w:rsidRPr="003478AF" w:rsidRDefault="00F901B6" w:rsidP="00E7414E">
            <w:pPr>
              <w:ind w:firstLine="0"/>
              <w:jc w:val="left"/>
              <w:rPr>
                <w:rFonts w:cs="Arial"/>
                <w:sz w:val="18"/>
                <w:szCs w:val="18"/>
              </w:rPr>
            </w:pPr>
          </w:p>
        </w:tc>
        <w:tc>
          <w:tcPr>
            <w:tcW w:w="2743" w:type="dxa"/>
            <w:vAlign w:val="center"/>
          </w:tcPr>
          <w:p w14:paraId="62FCACF8" w14:textId="77777777" w:rsidR="00F901B6" w:rsidRPr="003478AF" w:rsidRDefault="00F901B6" w:rsidP="00E7414E">
            <w:pPr>
              <w:ind w:firstLine="0"/>
              <w:jc w:val="left"/>
              <w:rPr>
                <w:rFonts w:cs="Arial"/>
                <w:sz w:val="18"/>
                <w:szCs w:val="18"/>
              </w:rPr>
            </w:pPr>
            <w:r w:rsidRPr="003478AF">
              <w:rPr>
                <w:rFonts w:cs="Arial"/>
                <w:sz w:val="18"/>
                <w:szCs w:val="18"/>
              </w:rPr>
              <w:t>Przedsiębiorstwa</w:t>
            </w:r>
          </w:p>
        </w:tc>
      </w:tr>
      <w:tr w:rsidR="00F901B6" w:rsidRPr="003478AF" w14:paraId="232A7235" w14:textId="77777777" w:rsidTr="009316AA">
        <w:trPr>
          <w:trHeight w:val="283"/>
        </w:trPr>
        <w:tc>
          <w:tcPr>
            <w:tcW w:w="1980" w:type="dxa"/>
            <w:vAlign w:val="center"/>
          </w:tcPr>
          <w:p w14:paraId="04825395" w14:textId="77777777" w:rsidR="00F901B6" w:rsidRPr="003478AF" w:rsidRDefault="00F901B6" w:rsidP="00E7414E">
            <w:pPr>
              <w:ind w:firstLine="0"/>
              <w:jc w:val="left"/>
              <w:rPr>
                <w:rFonts w:cs="Arial"/>
                <w:sz w:val="18"/>
                <w:szCs w:val="18"/>
                <w:lang w:val="en-GB"/>
              </w:rPr>
            </w:pPr>
            <w:r w:rsidRPr="003478AF">
              <w:rPr>
                <w:rFonts w:cs="Arial"/>
                <w:sz w:val="18"/>
                <w:szCs w:val="18"/>
                <w:lang w:val="en-GB"/>
              </w:rPr>
              <w:t>Joint Initiative on Circular Economy - JICE</w:t>
            </w:r>
          </w:p>
        </w:tc>
        <w:tc>
          <w:tcPr>
            <w:tcW w:w="3544" w:type="dxa"/>
            <w:vAlign w:val="center"/>
          </w:tcPr>
          <w:p w14:paraId="16CD1C53" w14:textId="77777777" w:rsidR="00F901B6" w:rsidRPr="003478AF" w:rsidRDefault="00F901B6" w:rsidP="00E7414E">
            <w:pPr>
              <w:ind w:firstLine="0"/>
              <w:jc w:val="left"/>
              <w:rPr>
                <w:rFonts w:cs="Arial"/>
                <w:sz w:val="18"/>
                <w:szCs w:val="18"/>
              </w:rPr>
            </w:pPr>
            <w:r w:rsidRPr="003478AF">
              <w:rPr>
                <w:rFonts w:cs="Arial"/>
                <w:sz w:val="18"/>
                <w:szCs w:val="18"/>
              </w:rPr>
              <w:t xml:space="preserve">Wspólna inicjatywa na rzecz gospodarki o obiegu zamkniętym europejskich banków i instytucji rozwoju z sześciu krajów. </w:t>
            </w:r>
          </w:p>
          <w:p w14:paraId="55C46189" w14:textId="77777777" w:rsidR="00F901B6" w:rsidRPr="003478AF" w:rsidRDefault="00F901B6" w:rsidP="00E7414E">
            <w:pPr>
              <w:ind w:firstLine="0"/>
              <w:jc w:val="left"/>
              <w:rPr>
                <w:rFonts w:cs="Arial"/>
                <w:sz w:val="18"/>
                <w:szCs w:val="18"/>
              </w:rPr>
            </w:pPr>
          </w:p>
          <w:p w14:paraId="69DEA640" w14:textId="05592960" w:rsidR="00F901B6" w:rsidRPr="003478AF" w:rsidRDefault="00F901B6" w:rsidP="00E7414E">
            <w:pPr>
              <w:ind w:firstLine="0"/>
              <w:jc w:val="left"/>
              <w:rPr>
                <w:rFonts w:cs="Arial"/>
                <w:sz w:val="18"/>
                <w:szCs w:val="18"/>
              </w:rPr>
            </w:pPr>
            <w:r w:rsidRPr="003478AF">
              <w:rPr>
                <w:rFonts w:cs="Arial"/>
                <w:sz w:val="18"/>
                <w:szCs w:val="18"/>
              </w:rPr>
              <w:t>Finansowan</w:t>
            </w:r>
            <w:r w:rsidR="006A12C4" w:rsidRPr="003478AF">
              <w:rPr>
                <w:rFonts w:cs="Arial"/>
                <w:sz w:val="18"/>
                <w:szCs w:val="18"/>
              </w:rPr>
              <w:t>ie</w:t>
            </w:r>
            <w:r w:rsidRPr="003478AF">
              <w:rPr>
                <w:rFonts w:cs="Arial"/>
                <w:sz w:val="18"/>
                <w:szCs w:val="18"/>
              </w:rPr>
              <w:t xml:space="preserve"> projekt</w:t>
            </w:r>
            <w:r w:rsidR="006A12C4" w:rsidRPr="003478AF">
              <w:rPr>
                <w:rFonts w:cs="Arial"/>
                <w:sz w:val="18"/>
                <w:szCs w:val="18"/>
              </w:rPr>
              <w:t>ów</w:t>
            </w:r>
            <w:r w:rsidRPr="003478AF">
              <w:rPr>
                <w:rFonts w:cs="Arial"/>
                <w:sz w:val="18"/>
                <w:szCs w:val="18"/>
              </w:rPr>
              <w:t xml:space="preserve"> z różnych sektorów gospodarki. Były to inwestycje m.in. w rolnictwie, przemyśle i usługach, </w:t>
            </w:r>
            <w:hyperlink r:id="rId135" w:tgtFrame="_blank" w:history="1">
              <w:r w:rsidRPr="003478AF">
                <w:rPr>
                  <w:rStyle w:val="Hipercze"/>
                  <w:rFonts w:cs="Arial"/>
                  <w:color w:val="auto"/>
                  <w:sz w:val="18"/>
                  <w:szCs w:val="18"/>
                  <w:u w:val="none"/>
                </w:rPr>
                <w:t>mobilności</w:t>
              </w:r>
            </w:hyperlink>
            <w:r w:rsidRPr="003478AF">
              <w:rPr>
                <w:rFonts w:cs="Arial"/>
                <w:sz w:val="18"/>
                <w:szCs w:val="18"/>
              </w:rPr>
              <w:t xml:space="preserve">, </w:t>
            </w:r>
            <w:hyperlink r:id="rId136" w:tgtFrame="_blank" w:history="1">
              <w:r w:rsidRPr="003478AF">
                <w:rPr>
                  <w:rStyle w:val="Hipercze"/>
                  <w:rFonts w:cs="Arial"/>
                  <w:color w:val="auto"/>
                  <w:sz w:val="18"/>
                  <w:szCs w:val="18"/>
                  <w:u w:val="none"/>
                </w:rPr>
                <w:t>rozwoju miast</w:t>
              </w:r>
            </w:hyperlink>
            <w:r w:rsidRPr="003478AF">
              <w:rPr>
                <w:rFonts w:cs="Arial"/>
                <w:sz w:val="18"/>
                <w:szCs w:val="18"/>
              </w:rPr>
              <w:t xml:space="preserve">, gospodarce odpadami i gospodarce wodnej. Projekty objęły wszystkie etapy łańcucha wartości i </w:t>
            </w:r>
            <w:hyperlink r:id="rId137" w:tgtFrame="_blank" w:history="1">
              <w:r w:rsidRPr="003478AF">
                <w:rPr>
                  <w:rStyle w:val="Hipercze"/>
                  <w:rFonts w:cs="Arial"/>
                  <w:color w:val="auto"/>
                  <w:sz w:val="18"/>
                  <w:szCs w:val="18"/>
                  <w:u w:val="none"/>
                </w:rPr>
                <w:t>cyklu życia produktów</w:t>
              </w:r>
            </w:hyperlink>
            <w:r w:rsidRPr="003478AF">
              <w:rPr>
                <w:rFonts w:cs="Arial"/>
                <w:sz w:val="18"/>
                <w:szCs w:val="18"/>
              </w:rPr>
              <w:t xml:space="preserve"> – od fazy projektowania i produkcji do momentu przywracania wartości w obiegu zamkniętym.</w:t>
            </w:r>
          </w:p>
        </w:tc>
        <w:tc>
          <w:tcPr>
            <w:tcW w:w="2743" w:type="dxa"/>
            <w:vAlign w:val="center"/>
          </w:tcPr>
          <w:p w14:paraId="1D9CCB28" w14:textId="77777777" w:rsidR="00F901B6" w:rsidRPr="003478AF" w:rsidRDefault="00F901B6" w:rsidP="00E7414E">
            <w:pPr>
              <w:ind w:firstLine="0"/>
              <w:jc w:val="left"/>
              <w:rPr>
                <w:rFonts w:cs="Arial"/>
                <w:sz w:val="18"/>
                <w:szCs w:val="18"/>
              </w:rPr>
            </w:pPr>
            <w:r w:rsidRPr="003478AF">
              <w:rPr>
                <w:rFonts w:cs="Arial"/>
                <w:sz w:val="18"/>
                <w:szCs w:val="18"/>
              </w:rPr>
              <w:t>Przedsiębiorstwa</w:t>
            </w:r>
          </w:p>
        </w:tc>
      </w:tr>
    </w:tbl>
    <w:p w14:paraId="2E6C2955" w14:textId="489508FD" w:rsidR="00F901B6" w:rsidRPr="003478AF" w:rsidRDefault="00F901B6" w:rsidP="00986D40">
      <w:pPr>
        <w:pStyle w:val="AZRODLO"/>
      </w:pPr>
      <w:r w:rsidRPr="003478AF">
        <w:t>Źródło: Opracowanie własne</w:t>
      </w:r>
    </w:p>
    <w:p w14:paraId="067A5FB3" w14:textId="77777777" w:rsidR="00F901B6" w:rsidRPr="003478AF" w:rsidRDefault="00F901B6" w:rsidP="00F901B6">
      <w:pPr>
        <w:ind w:firstLine="0"/>
      </w:pPr>
    </w:p>
    <w:p w14:paraId="1FB603E3" w14:textId="7ECFA54A" w:rsidR="00F901B6" w:rsidRPr="003478AF" w:rsidRDefault="00F901B6" w:rsidP="00F901B6">
      <w:r w:rsidRPr="003478AF">
        <w:t>Ciekawą formą rozwoju inwestycji GOZ są: umowy Partnerstwa Publiczno</w:t>
      </w:r>
      <w:r w:rsidR="009605E0" w:rsidRPr="003478AF">
        <w:t>-</w:t>
      </w:r>
      <w:r w:rsidRPr="003478AF">
        <w:t>Prywatnego (PPP), funduszu venture capital (inwestycje na wczesnych stadiach rozwoju przedsiębiorstw).</w:t>
      </w:r>
    </w:p>
    <w:p w14:paraId="54220579" w14:textId="77777777" w:rsidR="00644042" w:rsidRPr="003478AF" w:rsidRDefault="00644042" w:rsidP="00F901B6"/>
    <w:p w14:paraId="6E643A5B" w14:textId="23421825" w:rsidR="00F901B6" w:rsidRPr="003478AF" w:rsidRDefault="00644042">
      <w:pPr>
        <w:pStyle w:val="Nagwek2"/>
      </w:pPr>
      <w:bookmarkStart w:id="99" w:name="_Toc82160007"/>
      <w:r w:rsidRPr="003478AF">
        <w:t xml:space="preserve">9.2. </w:t>
      </w:r>
      <w:r w:rsidR="00F901B6" w:rsidRPr="003478AF">
        <w:t>Wsparcie finansowe w kierunku GOZ w latach 2020-2027</w:t>
      </w:r>
      <w:bookmarkEnd w:id="99"/>
    </w:p>
    <w:p w14:paraId="5945DF6A" w14:textId="0A2A6380" w:rsidR="00F901B6" w:rsidRPr="003478AF" w:rsidRDefault="00F901B6" w:rsidP="00F901B6">
      <w:pPr>
        <w:rPr>
          <w:rFonts w:cs="Arial"/>
          <w:szCs w:val="20"/>
        </w:rPr>
      </w:pPr>
      <w:r w:rsidRPr="003478AF">
        <w:t xml:space="preserve">Wskazane w tabeli powyżej możliwe formy wsparcia inwestycji w obszarze GOZ według </w:t>
      </w:r>
      <w:r w:rsidR="00CB467B" w:rsidRPr="003478AF">
        <w:t>e</w:t>
      </w:r>
      <w:r w:rsidRPr="003478AF">
        <w:t>kspertów powinny być kontynuowane. Wśród nich przyjmuje się, że w perspektywie 2021-</w:t>
      </w:r>
      <w:r w:rsidRPr="003478AF">
        <w:rPr>
          <w:rFonts w:cs="Arial"/>
          <w:szCs w:val="20"/>
        </w:rPr>
        <w:t xml:space="preserve">2027 głównym źródłem finansowania GOZ będą fundusze europejskie. Należy zwrócić uwagę przede wszystkim na źródła finansowania typu: </w:t>
      </w:r>
    </w:p>
    <w:p w14:paraId="4789E426" w14:textId="41A633A6" w:rsidR="00F901B6" w:rsidRPr="003478AF" w:rsidRDefault="00F901B6" w:rsidP="00B13D49">
      <w:pPr>
        <w:pStyle w:val="pf1"/>
        <w:numPr>
          <w:ilvl w:val="0"/>
          <w:numId w:val="26"/>
        </w:numPr>
        <w:spacing w:before="0" w:beforeAutospacing="0" w:after="60" w:afterAutospacing="0" w:line="276" w:lineRule="auto"/>
        <w:ind w:left="714" w:hanging="357"/>
        <w:contextualSpacing/>
        <w:jc w:val="both"/>
        <w:rPr>
          <w:rFonts w:ascii="Arial" w:hAnsi="Arial" w:cs="Arial"/>
          <w:sz w:val="20"/>
          <w:szCs w:val="20"/>
        </w:rPr>
      </w:pPr>
      <w:r w:rsidRPr="003478AF">
        <w:rPr>
          <w:rStyle w:val="Pogrubienie"/>
          <w:rFonts w:ascii="Arial" w:hAnsi="Arial" w:cs="Arial"/>
          <w:b w:val="0"/>
          <w:bCs w:val="0"/>
          <w:sz w:val="20"/>
          <w:szCs w:val="20"/>
        </w:rPr>
        <w:t>Fundusze Europejskie na Infrastrukturę, Klimat, Środowisko 202</w:t>
      </w:r>
      <w:r w:rsidR="003E138A" w:rsidRPr="003478AF">
        <w:rPr>
          <w:rStyle w:val="Pogrubienie"/>
          <w:rFonts w:ascii="Arial" w:hAnsi="Arial" w:cs="Arial"/>
          <w:b w:val="0"/>
          <w:bCs w:val="0"/>
          <w:sz w:val="20"/>
          <w:szCs w:val="20"/>
        </w:rPr>
        <w:t>1</w:t>
      </w:r>
      <w:r w:rsidRPr="003478AF">
        <w:rPr>
          <w:rStyle w:val="Pogrubienie"/>
          <w:rFonts w:ascii="Arial" w:hAnsi="Arial" w:cs="Arial"/>
          <w:b w:val="0"/>
          <w:bCs w:val="0"/>
          <w:sz w:val="20"/>
          <w:szCs w:val="20"/>
        </w:rPr>
        <w:t>-2027 (FEnIKS)</w:t>
      </w:r>
      <w:r w:rsidRPr="003478AF">
        <w:rPr>
          <w:rFonts w:ascii="Arial" w:hAnsi="Arial" w:cs="Arial"/>
          <w:sz w:val="20"/>
          <w:szCs w:val="20"/>
        </w:rPr>
        <w:t>,</w:t>
      </w:r>
    </w:p>
    <w:p w14:paraId="10026AF6" w14:textId="77777777" w:rsidR="00F901B6" w:rsidRPr="003478AF" w:rsidRDefault="00F901B6" w:rsidP="00B13D49">
      <w:pPr>
        <w:pStyle w:val="pf1"/>
        <w:numPr>
          <w:ilvl w:val="0"/>
          <w:numId w:val="26"/>
        </w:numPr>
        <w:spacing w:before="0" w:beforeAutospacing="0" w:after="60" w:afterAutospacing="0" w:line="276" w:lineRule="auto"/>
        <w:ind w:left="714" w:hanging="357"/>
        <w:contextualSpacing/>
        <w:jc w:val="both"/>
        <w:rPr>
          <w:rFonts w:ascii="Arial" w:hAnsi="Arial" w:cs="Arial"/>
          <w:sz w:val="20"/>
          <w:szCs w:val="20"/>
        </w:rPr>
      </w:pPr>
      <w:r w:rsidRPr="003478AF">
        <w:rPr>
          <w:rFonts w:ascii="Arial" w:hAnsi="Arial" w:cs="Arial"/>
          <w:sz w:val="20"/>
          <w:szCs w:val="20"/>
        </w:rPr>
        <w:t>Fundusze Europejskie dla Nowoczesnej Gospodarki 2021-2027 (FENG),</w:t>
      </w:r>
    </w:p>
    <w:p w14:paraId="47CE1B16" w14:textId="2018317C" w:rsidR="00F901B6" w:rsidRPr="003478AF" w:rsidRDefault="00F901B6" w:rsidP="00B13D49">
      <w:pPr>
        <w:pStyle w:val="pf1"/>
        <w:numPr>
          <w:ilvl w:val="0"/>
          <w:numId w:val="26"/>
        </w:numPr>
        <w:spacing w:before="0" w:beforeAutospacing="0" w:after="60" w:afterAutospacing="0" w:line="276" w:lineRule="auto"/>
        <w:ind w:left="714" w:hanging="357"/>
        <w:contextualSpacing/>
        <w:jc w:val="both"/>
        <w:rPr>
          <w:rFonts w:ascii="Arial" w:hAnsi="Arial" w:cs="Arial"/>
          <w:sz w:val="20"/>
          <w:szCs w:val="20"/>
        </w:rPr>
      </w:pPr>
      <w:r w:rsidRPr="003478AF">
        <w:rPr>
          <w:rFonts w:ascii="Arial" w:hAnsi="Arial" w:cs="Arial"/>
          <w:sz w:val="20"/>
          <w:szCs w:val="20"/>
        </w:rPr>
        <w:t>Fundusze Europejskie dla Województwa Wielkopolski 2021-2027 (FEWW),</w:t>
      </w:r>
    </w:p>
    <w:p w14:paraId="01C0C6E6" w14:textId="1886A5D5" w:rsidR="003E138A" w:rsidRPr="003478AF" w:rsidRDefault="003E138A" w:rsidP="00B13D49">
      <w:pPr>
        <w:pStyle w:val="pf1"/>
        <w:numPr>
          <w:ilvl w:val="0"/>
          <w:numId w:val="26"/>
        </w:numPr>
        <w:spacing w:before="0" w:beforeAutospacing="0" w:after="60" w:afterAutospacing="0" w:line="276" w:lineRule="auto"/>
        <w:ind w:left="714" w:hanging="357"/>
        <w:contextualSpacing/>
        <w:jc w:val="both"/>
        <w:rPr>
          <w:rFonts w:ascii="Arial" w:hAnsi="Arial" w:cs="Arial"/>
          <w:sz w:val="20"/>
          <w:szCs w:val="20"/>
        </w:rPr>
      </w:pPr>
      <w:r w:rsidRPr="003478AF">
        <w:rPr>
          <w:rFonts w:ascii="Arial" w:hAnsi="Arial" w:cs="Arial"/>
          <w:sz w:val="20"/>
          <w:szCs w:val="20"/>
        </w:rPr>
        <w:t>Fundusze Europejskie na Rozwój Cyfr</w:t>
      </w:r>
      <w:r w:rsidR="006A12C4" w:rsidRPr="003478AF">
        <w:rPr>
          <w:rFonts w:ascii="Arial" w:hAnsi="Arial" w:cs="Arial"/>
          <w:sz w:val="20"/>
          <w:szCs w:val="20"/>
        </w:rPr>
        <w:t>owy</w:t>
      </w:r>
      <w:r w:rsidRPr="003478AF">
        <w:rPr>
          <w:rFonts w:ascii="Arial" w:hAnsi="Arial" w:cs="Arial"/>
          <w:sz w:val="20"/>
          <w:szCs w:val="20"/>
        </w:rPr>
        <w:t xml:space="preserve"> 2021-2027 (EFRC),</w:t>
      </w:r>
    </w:p>
    <w:p w14:paraId="48F1EBEA" w14:textId="77777777" w:rsidR="00F901B6" w:rsidRPr="003478AF" w:rsidRDefault="00F901B6" w:rsidP="00B13D49">
      <w:pPr>
        <w:pStyle w:val="pf1"/>
        <w:numPr>
          <w:ilvl w:val="0"/>
          <w:numId w:val="26"/>
        </w:numPr>
        <w:spacing w:before="0" w:beforeAutospacing="0" w:after="60" w:afterAutospacing="0" w:line="276" w:lineRule="auto"/>
        <w:ind w:left="714" w:hanging="357"/>
        <w:contextualSpacing/>
        <w:jc w:val="both"/>
        <w:rPr>
          <w:rFonts w:ascii="Arial" w:hAnsi="Arial" w:cs="Arial"/>
          <w:sz w:val="20"/>
          <w:szCs w:val="20"/>
        </w:rPr>
      </w:pPr>
      <w:r w:rsidRPr="003478AF">
        <w:rPr>
          <w:rFonts w:ascii="Arial" w:hAnsi="Arial" w:cs="Arial"/>
          <w:sz w:val="20"/>
          <w:szCs w:val="20"/>
        </w:rPr>
        <w:lastRenderedPageBreak/>
        <w:t>Horyzont Europa 2021-2027.</w:t>
      </w:r>
    </w:p>
    <w:p w14:paraId="03F45072" w14:textId="1676545E" w:rsidR="00F901B6" w:rsidRPr="003478AF" w:rsidRDefault="00F901B6" w:rsidP="00F901B6">
      <w:pPr>
        <w:pStyle w:val="pf1"/>
        <w:spacing w:before="0" w:beforeAutospacing="0" w:after="0" w:afterAutospacing="0" w:line="276" w:lineRule="auto"/>
        <w:ind w:firstLine="567"/>
        <w:jc w:val="both"/>
        <w:rPr>
          <w:rFonts w:ascii="Arial" w:hAnsi="Arial" w:cs="Arial"/>
          <w:sz w:val="20"/>
          <w:szCs w:val="20"/>
        </w:rPr>
      </w:pPr>
      <w:bookmarkStart w:id="100" w:name="_Hlk75910894"/>
      <w:r w:rsidRPr="003478AF">
        <w:rPr>
          <w:rFonts w:ascii="Arial" w:hAnsi="Arial" w:cs="Arial"/>
          <w:sz w:val="20"/>
          <w:szCs w:val="20"/>
        </w:rPr>
        <w:t xml:space="preserve">Działania wpisujące się w GOZ w funduszach unijnych po 2020 roku wpisują się </w:t>
      </w:r>
      <w:r w:rsidR="00075829" w:rsidRPr="003478AF">
        <w:rPr>
          <w:rFonts w:ascii="Arial" w:hAnsi="Arial" w:cs="Arial"/>
          <w:sz w:val="20"/>
          <w:szCs w:val="20"/>
        </w:rPr>
        <w:br/>
      </w:r>
      <w:r w:rsidRPr="003478AF">
        <w:rPr>
          <w:rFonts w:ascii="Arial" w:hAnsi="Arial" w:cs="Arial"/>
          <w:sz w:val="20"/>
          <w:szCs w:val="20"/>
        </w:rPr>
        <w:t>w priorytety wynikające z Europejskiego Zielonego Ładu</w:t>
      </w:r>
      <w:r w:rsidRPr="003478AF">
        <w:rPr>
          <w:rStyle w:val="Odwoanieprzypisudolnego"/>
          <w:rFonts w:ascii="Arial" w:hAnsi="Arial" w:cs="Arial"/>
          <w:sz w:val="20"/>
          <w:szCs w:val="20"/>
        </w:rPr>
        <w:footnoteReference w:id="147"/>
      </w:r>
      <w:r w:rsidRPr="003478AF">
        <w:rPr>
          <w:rFonts w:ascii="Arial" w:hAnsi="Arial" w:cs="Arial"/>
          <w:sz w:val="20"/>
          <w:szCs w:val="20"/>
        </w:rPr>
        <w:t xml:space="preserve">. </w:t>
      </w:r>
    </w:p>
    <w:bookmarkEnd w:id="100"/>
    <w:p w14:paraId="35007EBB" w14:textId="61FB94E9" w:rsidR="00242F68" w:rsidRPr="003478AF" w:rsidRDefault="00F901B6" w:rsidP="00242F68">
      <w:r w:rsidRPr="003478AF">
        <w:rPr>
          <w:rStyle w:val="Pogrubienie"/>
          <w:rFonts w:cs="Arial"/>
          <w:b w:val="0"/>
          <w:bCs w:val="0"/>
          <w:szCs w:val="20"/>
        </w:rPr>
        <w:t xml:space="preserve">FEnIKS to </w:t>
      </w:r>
      <w:r w:rsidRPr="003478AF">
        <w:rPr>
          <w:rFonts w:cs="Arial"/>
          <w:szCs w:val="20"/>
        </w:rPr>
        <w:t xml:space="preserve">następca Programu Infrastruktura i Środowisko 2014-2020. Program przyczyni się do rozwoju gospodarki niskoemisyjnej, ochrony środowiska oraz przeciwdziałania i adaptacji do zmian klimatu. FEnIKS wesprze również inwestycje transportowe oraz dofinansuje ochronę zdrowia i dziedzictwo kulturowe. </w:t>
      </w:r>
      <w:r w:rsidR="00242F68" w:rsidRPr="003478AF">
        <w:t>Zaznacza się w nim również konieczność przejścia na gospodarkę o obiegu zamkniętym oraz uznaje za zasadne dalsze wspieranie działań sprzyjających ochronie przyrody i różnorodności biologicznej.</w:t>
      </w:r>
    </w:p>
    <w:p w14:paraId="1E772288" w14:textId="6AAF9B5F" w:rsidR="00F901B6" w:rsidRPr="003478AF" w:rsidRDefault="00F30EBF" w:rsidP="00F901B6">
      <w:pPr>
        <w:rPr>
          <w:rFonts w:cs="Arial"/>
          <w:szCs w:val="20"/>
        </w:rPr>
      </w:pPr>
      <w:r w:rsidRPr="003478AF">
        <w:t xml:space="preserve">We wszystkich projektach finansowanych z </w:t>
      </w:r>
      <w:r w:rsidRPr="003478AF">
        <w:rPr>
          <w:rFonts w:cs="Arial"/>
          <w:szCs w:val="20"/>
        </w:rPr>
        <w:t>FEnIKS,</w:t>
      </w:r>
      <w:r w:rsidRPr="003478AF">
        <w:t xml:space="preserve"> w których będzie to zasadne </w:t>
      </w:r>
      <w:r w:rsidR="009605E0" w:rsidRPr="003478AF">
        <w:br/>
      </w:r>
      <w:r w:rsidRPr="003478AF">
        <w:t xml:space="preserve">i możliwe zostaną zastosowane rozwiązania w zakresie obiegu cyrkularnego (w tym efektywności energetycznej i użycia energii ze źródeł odnawialnych) jak również elementy sprzyjające adaptacji do zmiany klimatu i łagodzeniu jej skutków (w szczególności zielona </w:t>
      </w:r>
      <w:r w:rsidR="009605E0" w:rsidRPr="003478AF">
        <w:br/>
      </w:r>
      <w:r w:rsidRPr="003478AF">
        <w:t>i niebieska infrastruktura). Mogą być także uwzględniane dodatkowe elementy, jeżeli realizują szersze cele Polityki Spójności (np. zieleń, usuwanie barier architektonicznych, elementy budownictwa wynikające ze zmian klimatu).</w:t>
      </w:r>
      <w:r w:rsidR="006A12C4" w:rsidRPr="003478AF">
        <w:t xml:space="preserve"> </w:t>
      </w:r>
      <w:r w:rsidR="00F901B6" w:rsidRPr="003478AF">
        <w:rPr>
          <w:rFonts w:cs="Arial"/>
          <w:szCs w:val="20"/>
        </w:rPr>
        <w:t>Planowany budżet to ponad 25 mld euro.</w:t>
      </w:r>
    </w:p>
    <w:p w14:paraId="5B746B95" w14:textId="548F4AC7" w:rsidR="00F901B6" w:rsidRPr="003478AF" w:rsidRDefault="00F901B6" w:rsidP="00F901B6">
      <w:pPr>
        <w:rPr>
          <w:rFonts w:cs="Arial"/>
          <w:szCs w:val="20"/>
        </w:rPr>
      </w:pPr>
      <w:r w:rsidRPr="003478AF">
        <w:rPr>
          <w:rFonts w:cs="Arial"/>
          <w:szCs w:val="20"/>
        </w:rPr>
        <w:t xml:space="preserve">Głównym założeniem FENG jest wsparcie całego procesu B+R+I przedsiębiorstw na każdym etapie rozwoju, współpraca nauki i biznesu oraz koncentracja na krajowych inteligentnych specjalizacjach. W FENG znalazł się moduł „Zazielenienie przedsiębiorstw”, </w:t>
      </w:r>
      <w:r w:rsidR="00075829" w:rsidRPr="003478AF">
        <w:rPr>
          <w:rFonts w:cs="Arial"/>
          <w:szCs w:val="20"/>
        </w:rPr>
        <w:br/>
      </w:r>
      <w:r w:rsidRPr="003478AF">
        <w:rPr>
          <w:rFonts w:cs="Arial"/>
          <w:szCs w:val="20"/>
        </w:rPr>
        <w:t xml:space="preserve">z którego finansowane będą działania wpisane bezpośrednio w GOZ. Są to: </w:t>
      </w:r>
    </w:p>
    <w:p w14:paraId="1F0DC2B8" w14:textId="60E37942" w:rsidR="003B71A0" w:rsidRPr="003478AF" w:rsidRDefault="00F901B6" w:rsidP="00B13D49">
      <w:pPr>
        <w:pStyle w:val="pf1"/>
        <w:numPr>
          <w:ilvl w:val="0"/>
          <w:numId w:val="27"/>
        </w:numPr>
        <w:spacing w:before="0" w:beforeAutospacing="0" w:after="60" w:afterAutospacing="0" w:line="276" w:lineRule="auto"/>
        <w:ind w:left="714" w:hanging="357"/>
        <w:contextualSpacing/>
        <w:jc w:val="both"/>
        <w:rPr>
          <w:rFonts w:ascii="Arial" w:hAnsi="Arial" w:cs="Arial"/>
          <w:sz w:val="20"/>
          <w:szCs w:val="20"/>
          <w:lang w:val="en-AU"/>
        </w:rPr>
      </w:pPr>
      <w:r w:rsidRPr="003478AF">
        <w:rPr>
          <w:rFonts w:ascii="Arial" w:hAnsi="Arial" w:cs="Arial"/>
          <w:sz w:val="20"/>
          <w:szCs w:val="20"/>
          <w:lang w:val="en-GB"/>
        </w:rPr>
        <w:t>ekoprojektowanie (</w:t>
      </w:r>
      <w:r w:rsidR="003B71A0" w:rsidRPr="003478AF">
        <w:rPr>
          <w:rFonts w:ascii="Arial" w:hAnsi="Arial" w:cs="Arial"/>
          <w:sz w:val="20"/>
          <w:szCs w:val="20"/>
          <w:lang w:val="en-AU"/>
        </w:rPr>
        <w:t xml:space="preserve">ETV – </w:t>
      </w:r>
      <w:r w:rsidR="006A12C4" w:rsidRPr="003478AF">
        <w:rPr>
          <w:rFonts w:ascii="Arial" w:hAnsi="Arial" w:cs="Arial"/>
          <w:sz w:val="20"/>
          <w:szCs w:val="20"/>
          <w:lang w:val="en-AU"/>
        </w:rPr>
        <w:t xml:space="preserve">ang. </w:t>
      </w:r>
      <w:r w:rsidR="003B71A0" w:rsidRPr="003478AF">
        <w:rPr>
          <w:rFonts w:ascii="Arial" w:hAnsi="Arial" w:cs="Arial"/>
          <w:i/>
          <w:sz w:val="20"/>
          <w:szCs w:val="20"/>
          <w:lang w:val="en-AU"/>
        </w:rPr>
        <w:t>Environmental Technology  Verification</w:t>
      </w:r>
      <w:r w:rsidR="003B71A0" w:rsidRPr="003478AF">
        <w:rPr>
          <w:rFonts w:ascii="Arial" w:hAnsi="Arial" w:cs="Arial"/>
          <w:sz w:val="20"/>
          <w:szCs w:val="20"/>
          <w:lang w:val="en-AU"/>
        </w:rPr>
        <w:t xml:space="preserve">, LCA </w:t>
      </w:r>
      <w:r w:rsidR="006A12C4" w:rsidRPr="003478AF">
        <w:rPr>
          <w:rFonts w:ascii="Arial" w:hAnsi="Arial" w:cs="Arial"/>
          <w:sz w:val="20"/>
          <w:szCs w:val="20"/>
          <w:lang w:val="en-AU"/>
        </w:rPr>
        <w:t>–</w:t>
      </w:r>
      <w:r w:rsidR="003B71A0" w:rsidRPr="003478AF">
        <w:rPr>
          <w:rFonts w:ascii="Arial" w:hAnsi="Arial" w:cs="Arial"/>
          <w:sz w:val="20"/>
          <w:szCs w:val="20"/>
          <w:lang w:val="en-AU"/>
        </w:rPr>
        <w:t xml:space="preserve"> </w:t>
      </w:r>
      <w:r w:rsidR="006A12C4" w:rsidRPr="003478AF">
        <w:rPr>
          <w:rFonts w:ascii="Arial" w:hAnsi="Arial" w:cs="Arial"/>
          <w:sz w:val="20"/>
          <w:szCs w:val="20"/>
          <w:lang w:val="en-AU"/>
        </w:rPr>
        <w:t xml:space="preserve">ang. </w:t>
      </w:r>
      <w:r w:rsidR="003B71A0" w:rsidRPr="003478AF">
        <w:rPr>
          <w:rFonts w:ascii="Arial" w:hAnsi="Arial" w:cs="Arial"/>
          <w:i/>
          <w:sz w:val="20"/>
          <w:szCs w:val="20"/>
          <w:lang w:val="en-AU"/>
        </w:rPr>
        <w:t>Life Cycle Analysis</w:t>
      </w:r>
      <w:r w:rsidR="003B71A0" w:rsidRPr="003478AF">
        <w:rPr>
          <w:rFonts w:ascii="Arial" w:hAnsi="Arial" w:cs="Arial"/>
          <w:sz w:val="20"/>
          <w:szCs w:val="20"/>
          <w:lang w:val="en-AU"/>
        </w:rPr>
        <w:t xml:space="preserve">, PEF - </w:t>
      </w:r>
      <w:r w:rsidR="003B71A0" w:rsidRPr="003478AF">
        <w:rPr>
          <w:lang w:val="en-AU"/>
        </w:rPr>
        <w:t> </w:t>
      </w:r>
      <w:r w:rsidR="006A12C4" w:rsidRPr="003478AF">
        <w:rPr>
          <w:rFonts w:ascii="Arial" w:hAnsi="Arial" w:cs="Arial"/>
          <w:sz w:val="20"/>
          <w:szCs w:val="20"/>
          <w:lang w:val="en-AU"/>
        </w:rPr>
        <w:t xml:space="preserve">ang. </w:t>
      </w:r>
      <w:r w:rsidR="003B71A0" w:rsidRPr="003478AF">
        <w:rPr>
          <w:rFonts w:ascii="Arial" w:hAnsi="Arial" w:cs="Arial"/>
          <w:i/>
          <w:sz w:val="20"/>
          <w:szCs w:val="20"/>
          <w:lang w:val="en-AU"/>
        </w:rPr>
        <w:t>Product Environmental Footprint</w:t>
      </w:r>
      <w:r w:rsidR="003B71A0" w:rsidRPr="003478AF">
        <w:rPr>
          <w:rFonts w:ascii="Arial" w:hAnsi="Arial" w:cs="Arial"/>
          <w:sz w:val="20"/>
          <w:szCs w:val="20"/>
          <w:lang w:val="en-AU"/>
        </w:rPr>
        <w:t>),</w:t>
      </w:r>
    </w:p>
    <w:p w14:paraId="4AA04321" w14:textId="77777777" w:rsidR="00F901B6" w:rsidRPr="003478AF" w:rsidRDefault="00F901B6" w:rsidP="00B13D49">
      <w:pPr>
        <w:pStyle w:val="pf1"/>
        <w:numPr>
          <w:ilvl w:val="0"/>
          <w:numId w:val="27"/>
        </w:numPr>
        <w:spacing w:before="0" w:beforeAutospacing="0" w:after="60" w:afterAutospacing="0" w:line="276" w:lineRule="auto"/>
        <w:ind w:left="714" w:hanging="357"/>
        <w:contextualSpacing/>
        <w:jc w:val="both"/>
        <w:rPr>
          <w:rFonts w:ascii="Arial" w:hAnsi="Arial" w:cs="Arial"/>
          <w:sz w:val="20"/>
          <w:szCs w:val="20"/>
        </w:rPr>
      </w:pPr>
      <w:r w:rsidRPr="003478AF">
        <w:rPr>
          <w:rFonts w:ascii="Arial" w:hAnsi="Arial" w:cs="Arial"/>
          <w:sz w:val="20"/>
          <w:szCs w:val="20"/>
          <w:lang w:val="en-AU"/>
        </w:rPr>
        <w:t>zastępowanie materiałów pierwotnych</w:t>
      </w:r>
      <w:r w:rsidRPr="003478AF">
        <w:rPr>
          <w:rFonts w:ascii="Arial" w:hAnsi="Arial" w:cs="Arial"/>
          <w:sz w:val="20"/>
          <w:szCs w:val="20"/>
        </w:rPr>
        <w:t xml:space="preserve"> surowcami wtórnymi i produktami ubocznymi,</w:t>
      </w:r>
    </w:p>
    <w:p w14:paraId="013C2D19" w14:textId="77777777" w:rsidR="00F901B6" w:rsidRPr="003478AF" w:rsidRDefault="00F901B6" w:rsidP="00B13D49">
      <w:pPr>
        <w:pStyle w:val="pf1"/>
        <w:numPr>
          <w:ilvl w:val="0"/>
          <w:numId w:val="27"/>
        </w:numPr>
        <w:spacing w:before="0" w:beforeAutospacing="0" w:after="60" w:afterAutospacing="0" w:line="276" w:lineRule="auto"/>
        <w:ind w:left="714" w:hanging="357"/>
        <w:contextualSpacing/>
        <w:jc w:val="both"/>
        <w:rPr>
          <w:rFonts w:ascii="Arial" w:hAnsi="Arial" w:cs="Arial"/>
          <w:sz w:val="20"/>
          <w:szCs w:val="20"/>
        </w:rPr>
      </w:pPr>
      <w:r w:rsidRPr="003478AF">
        <w:rPr>
          <w:rFonts w:ascii="Arial" w:hAnsi="Arial" w:cs="Arial"/>
          <w:sz w:val="20"/>
          <w:szCs w:val="20"/>
        </w:rPr>
        <w:t>ponowne użycie zasobów wcześniej traktowanych jako odpad,</w:t>
      </w:r>
    </w:p>
    <w:p w14:paraId="7C9ABEF7" w14:textId="77777777" w:rsidR="00F901B6" w:rsidRPr="003478AF" w:rsidRDefault="00F901B6" w:rsidP="00B13D49">
      <w:pPr>
        <w:pStyle w:val="pf1"/>
        <w:numPr>
          <w:ilvl w:val="0"/>
          <w:numId w:val="27"/>
        </w:numPr>
        <w:spacing w:before="0" w:beforeAutospacing="0" w:after="60" w:afterAutospacing="0" w:line="276" w:lineRule="auto"/>
        <w:ind w:left="714" w:hanging="357"/>
        <w:contextualSpacing/>
        <w:jc w:val="both"/>
        <w:rPr>
          <w:rFonts w:ascii="Arial" w:hAnsi="Arial" w:cs="Arial"/>
          <w:sz w:val="20"/>
          <w:szCs w:val="20"/>
        </w:rPr>
      </w:pPr>
      <w:r w:rsidRPr="003478AF">
        <w:rPr>
          <w:rFonts w:ascii="Arial" w:hAnsi="Arial" w:cs="Arial"/>
          <w:sz w:val="20"/>
          <w:szCs w:val="20"/>
        </w:rPr>
        <w:t>zastępowanie lub redukcja szkodliwych materiałów w produktach.</w:t>
      </w:r>
    </w:p>
    <w:p w14:paraId="46832781" w14:textId="43B3107A" w:rsidR="002279D0" w:rsidRPr="003478AF" w:rsidRDefault="00F901B6" w:rsidP="00F901B6">
      <w:pPr>
        <w:pStyle w:val="NormalnyWeb"/>
        <w:rPr>
          <w:rFonts w:ascii="Arial" w:hAnsi="Arial" w:cs="Arial"/>
          <w:sz w:val="20"/>
          <w:szCs w:val="20"/>
        </w:rPr>
      </w:pPr>
      <w:r w:rsidRPr="003478AF">
        <w:rPr>
          <w:rFonts w:ascii="Arial" w:hAnsi="Arial" w:cs="Arial"/>
          <w:sz w:val="20"/>
          <w:szCs w:val="20"/>
        </w:rPr>
        <w:t>W Funduszach Europejskich dla Wielkopolski na lata 2021-2027 także przewidziano finansowania działań wpisujących się w GOZ. Są to obszary, podobnie jak w poprzednim programie na lata 2014-2020, dotyczące środowiska, energii oraz transportu. Przykładowo będą to projekty dotyczące poligonu energii wielomodalnej, produkcji wodoru, niskoemisyjnego taboru autobusowego.</w:t>
      </w:r>
    </w:p>
    <w:p w14:paraId="322E66DF" w14:textId="03756FCE" w:rsidR="003E138A" w:rsidRPr="003478AF" w:rsidRDefault="003E138A" w:rsidP="00175EF7">
      <w:pPr>
        <w:pStyle w:val="NormalnyWeb"/>
        <w:rPr>
          <w:rFonts w:cs="Arial"/>
          <w:szCs w:val="20"/>
          <w:lang w:eastAsia="pl-PL"/>
        </w:rPr>
      </w:pPr>
      <w:r w:rsidRPr="003478AF">
        <w:rPr>
          <w:rFonts w:ascii="Arial" w:hAnsi="Arial" w:cs="Arial"/>
          <w:sz w:val="20"/>
          <w:szCs w:val="20"/>
          <w:lang w:eastAsia="pl-PL"/>
        </w:rPr>
        <w:t>W Funduszach Europejskich na Rozwój Cyfrowy (następc</w:t>
      </w:r>
      <w:r w:rsidR="006A12C4" w:rsidRPr="003478AF">
        <w:rPr>
          <w:rFonts w:ascii="Arial" w:hAnsi="Arial" w:cs="Arial"/>
          <w:sz w:val="20"/>
          <w:szCs w:val="20"/>
          <w:lang w:eastAsia="pl-PL"/>
        </w:rPr>
        <w:t>a</w:t>
      </w:r>
      <w:r w:rsidRPr="003478AF">
        <w:rPr>
          <w:rFonts w:ascii="Arial" w:hAnsi="Arial" w:cs="Arial"/>
          <w:sz w:val="20"/>
          <w:szCs w:val="20"/>
          <w:lang w:eastAsia="pl-PL"/>
        </w:rPr>
        <w:t xml:space="preserve"> programu Polska Cyfrowa 2014-2020)</w:t>
      </w:r>
      <w:r w:rsidR="002279D0" w:rsidRPr="003478AF">
        <w:rPr>
          <w:rFonts w:ascii="Arial" w:hAnsi="Arial" w:cs="Arial"/>
          <w:sz w:val="20"/>
          <w:szCs w:val="20"/>
          <w:lang w:eastAsia="pl-PL"/>
        </w:rPr>
        <w:t xml:space="preserve"> </w:t>
      </w:r>
      <w:r w:rsidR="0080241B" w:rsidRPr="003478AF">
        <w:rPr>
          <w:rFonts w:ascii="Arial" w:hAnsi="Arial" w:cs="Arial"/>
          <w:sz w:val="20"/>
          <w:szCs w:val="20"/>
          <w:lang w:eastAsia="pl-PL"/>
        </w:rPr>
        <w:t xml:space="preserve">uwzględniono </w:t>
      </w:r>
      <w:r w:rsidR="002279D0" w:rsidRPr="003478AF">
        <w:rPr>
          <w:rFonts w:ascii="Arial" w:hAnsi="Arial" w:cs="Arial"/>
          <w:sz w:val="20"/>
          <w:szCs w:val="20"/>
        </w:rPr>
        <w:t xml:space="preserve">rozwiązania informatyczne </w:t>
      </w:r>
      <w:r w:rsidR="002279D0" w:rsidRPr="003478AF">
        <w:rPr>
          <w:rFonts w:ascii="Arial" w:hAnsi="Arial" w:cs="Arial"/>
          <w:sz w:val="20"/>
          <w:szCs w:val="20"/>
          <w:lang w:eastAsia="pl-PL"/>
        </w:rPr>
        <w:t>wpisują</w:t>
      </w:r>
      <w:r w:rsidR="0080241B" w:rsidRPr="003478AF">
        <w:rPr>
          <w:rFonts w:ascii="Arial" w:hAnsi="Arial" w:cs="Arial"/>
          <w:sz w:val="20"/>
          <w:szCs w:val="20"/>
          <w:lang w:eastAsia="pl-PL"/>
        </w:rPr>
        <w:t xml:space="preserve">ce </w:t>
      </w:r>
      <w:r w:rsidR="002279D0" w:rsidRPr="003478AF">
        <w:rPr>
          <w:rFonts w:ascii="Arial" w:hAnsi="Arial" w:cs="Arial"/>
          <w:sz w:val="20"/>
          <w:szCs w:val="20"/>
          <w:lang w:eastAsia="pl-PL"/>
        </w:rPr>
        <w:t xml:space="preserve">się w GOZ. Program </w:t>
      </w:r>
      <w:r w:rsidRPr="003478AF">
        <w:rPr>
          <w:rFonts w:ascii="Arial" w:hAnsi="Arial" w:cs="Arial"/>
          <w:sz w:val="20"/>
          <w:szCs w:val="20"/>
          <w:lang w:eastAsia="pl-PL"/>
        </w:rPr>
        <w:t xml:space="preserve">będzie koncentrował się przede wszystkim na: zwiększeniu dostępu do ultraszybkiego internetu szerokopasmowego, udostępnieniu zaawansowanych e-usług pozwalających w pełni na elektroniczne załatwienie spraw obywateli i przedsiębiorców, zapewnieniu cyberbezpieczeństwa w ramach nowego dedykowanego obszaru interwencji, rozwoju gospodarki opartej na danych, wykorzystującej najnowsze technologie cyfrowe, rozwoju współpracy międzysektorowej na rzecz tworzenia cyfrowych rozwiązań problemów społeczno-gospodarczych, wsparciu rozwoju zaawansowanych kompetencji cyfrowych, w tym również </w:t>
      </w:r>
      <w:r w:rsidR="009605E0" w:rsidRPr="003478AF">
        <w:rPr>
          <w:rFonts w:ascii="Arial" w:hAnsi="Arial" w:cs="Arial"/>
          <w:sz w:val="20"/>
          <w:szCs w:val="20"/>
          <w:lang w:eastAsia="pl-PL"/>
        </w:rPr>
        <w:br/>
      </w:r>
      <w:r w:rsidRPr="003478AF">
        <w:rPr>
          <w:rFonts w:ascii="Arial" w:hAnsi="Arial" w:cs="Arial"/>
          <w:sz w:val="20"/>
          <w:szCs w:val="20"/>
          <w:lang w:eastAsia="pl-PL"/>
        </w:rPr>
        <w:t>w obszarze cyberbezpieczeństwa dla jednostek samorządu terytorialnego (</w:t>
      </w:r>
      <w:r w:rsidR="00363517" w:rsidRPr="003478AF">
        <w:rPr>
          <w:rFonts w:ascii="Arial" w:hAnsi="Arial" w:cs="Arial"/>
          <w:sz w:val="20"/>
          <w:szCs w:val="20"/>
          <w:lang w:eastAsia="pl-PL"/>
        </w:rPr>
        <w:t>JST</w:t>
      </w:r>
      <w:r w:rsidRPr="003478AF">
        <w:rPr>
          <w:rFonts w:ascii="Arial" w:hAnsi="Arial" w:cs="Arial"/>
          <w:sz w:val="20"/>
          <w:szCs w:val="20"/>
          <w:lang w:eastAsia="pl-PL"/>
        </w:rPr>
        <w:t xml:space="preserve">) </w:t>
      </w:r>
      <w:r w:rsidR="009605E0" w:rsidRPr="003478AF">
        <w:rPr>
          <w:rFonts w:ascii="Arial" w:hAnsi="Arial" w:cs="Arial"/>
          <w:sz w:val="20"/>
          <w:szCs w:val="20"/>
          <w:lang w:eastAsia="pl-PL"/>
        </w:rPr>
        <w:br/>
      </w:r>
      <w:r w:rsidRPr="003478AF">
        <w:rPr>
          <w:rFonts w:ascii="Arial" w:hAnsi="Arial" w:cs="Arial"/>
          <w:sz w:val="20"/>
          <w:szCs w:val="20"/>
          <w:lang w:eastAsia="pl-PL"/>
        </w:rPr>
        <w:t>i przedsiębiorców.</w:t>
      </w:r>
    </w:p>
    <w:p w14:paraId="4022810F" w14:textId="61D8C038" w:rsidR="00F901B6" w:rsidRPr="003478AF" w:rsidRDefault="00F901B6" w:rsidP="00F901B6">
      <w:pPr>
        <w:pStyle w:val="NormalnyWeb"/>
        <w:rPr>
          <w:rFonts w:ascii="Arial" w:eastAsia="Times New Roman" w:hAnsi="Arial" w:cs="Arial"/>
          <w:sz w:val="20"/>
          <w:szCs w:val="20"/>
          <w:lang w:eastAsia="pl-PL"/>
        </w:rPr>
      </w:pPr>
      <w:r w:rsidRPr="003478AF">
        <w:rPr>
          <w:rFonts w:ascii="Arial" w:hAnsi="Arial" w:cs="Arial"/>
          <w:sz w:val="20"/>
          <w:szCs w:val="20"/>
        </w:rPr>
        <w:lastRenderedPageBreak/>
        <w:t>W</w:t>
      </w:r>
      <w:r w:rsidRPr="003478AF">
        <w:rPr>
          <w:rFonts w:ascii="Arial" w:eastAsia="Times New Roman" w:hAnsi="Arial" w:cs="Arial"/>
          <w:sz w:val="20"/>
          <w:szCs w:val="20"/>
          <w:lang w:eastAsia="pl-PL"/>
        </w:rPr>
        <w:t xml:space="preserve"> </w:t>
      </w:r>
      <w:r w:rsidR="006A12C4" w:rsidRPr="003478AF">
        <w:rPr>
          <w:rFonts w:ascii="Arial" w:eastAsia="Times New Roman" w:hAnsi="Arial" w:cs="Arial"/>
          <w:sz w:val="20"/>
          <w:szCs w:val="20"/>
          <w:lang w:eastAsia="pl-PL"/>
        </w:rPr>
        <w:t xml:space="preserve">ramach programu </w:t>
      </w:r>
      <w:r w:rsidRPr="003478AF">
        <w:rPr>
          <w:rFonts w:ascii="Arial" w:hAnsi="Arial" w:cs="Arial"/>
          <w:sz w:val="20"/>
          <w:szCs w:val="20"/>
        </w:rPr>
        <w:t>Horyzon</w:t>
      </w:r>
      <w:r w:rsidR="006A12C4" w:rsidRPr="003478AF">
        <w:rPr>
          <w:rFonts w:ascii="Arial" w:hAnsi="Arial" w:cs="Arial"/>
          <w:sz w:val="20"/>
          <w:szCs w:val="20"/>
        </w:rPr>
        <w:t>t</w:t>
      </w:r>
      <w:r w:rsidRPr="003478AF">
        <w:rPr>
          <w:rFonts w:ascii="Arial" w:hAnsi="Arial" w:cs="Arial"/>
          <w:sz w:val="20"/>
          <w:szCs w:val="20"/>
        </w:rPr>
        <w:t xml:space="preserve"> Europa 2021-2027 finansowane będą działania związane ze</w:t>
      </w:r>
      <w:r w:rsidRPr="003478AF">
        <w:rPr>
          <w:rFonts w:ascii="Arial" w:eastAsia="Times New Roman" w:hAnsi="Arial" w:cs="Arial"/>
          <w:sz w:val="20"/>
          <w:szCs w:val="20"/>
          <w:lang w:eastAsia="pl-PL"/>
        </w:rPr>
        <w:t xml:space="preserve"> zmianami klimatycznymi, popraw</w:t>
      </w:r>
      <w:r w:rsidRPr="003478AF">
        <w:rPr>
          <w:rFonts w:ascii="Arial" w:hAnsi="Arial" w:cs="Arial"/>
          <w:sz w:val="20"/>
          <w:szCs w:val="20"/>
        </w:rPr>
        <w:t>ą</w:t>
      </w:r>
      <w:r w:rsidRPr="003478AF">
        <w:rPr>
          <w:rFonts w:ascii="Arial" w:eastAsia="Times New Roman" w:hAnsi="Arial" w:cs="Arial"/>
          <w:sz w:val="20"/>
          <w:szCs w:val="20"/>
          <w:lang w:eastAsia="pl-PL"/>
        </w:rPr>
        <w:t xml:space="preserve"> konkurencyjności branży energetycznej i transportowej oraz jakości</w:t>
      </w:r>
      <w:r w:rsidRPr="003478AF">
        <w:rPr>
          <w:rFonts w:ascii="Arial" w:hAnsi="Arial" w:cs="Arial"/>
          <w:sz w:val="20"/>
          <w:szCs w:val="20"/>
        </w:rPr>
        <w:t>ą</w:t>
      </w:r>
      <w:r w:rsidRPr="003478AF">
        <w:rPr>
          <w:rFonts w:ascii="Arial" w:eastAsia="Times New Roman" w:hAnsi="Arial" w:cs="Arial"/>
          <w:sz w:val="20"/>
          <w:szCs w:val="20"/>
          <w:lang w:eastAsia="pl-PL"/>
        </w:rPr>
        <w:t xml:space="preserve"> usług, które te sektory dostarczają społeczeństwu.</w:t>
      </w:r>
      <w:r w:rsidRPr="003478AF">
        <w:rPr>
          <w:rFonts w:ascii="Arial" w:hAnsi="Arial" w:cs="Arial"/>
          <w:sz w:val="20"/>
          <w:szCs w:val="20"/>
        </w:rPr>
        <w:t xml:space="preserve"> F</w:t>
      </w:r>
      <w:r w:rsidRPr="003478AF">
        <w:rPr>
          <w:rFonts w:ascii="Arial" w:eastAsia="Times New Roman" w:hAnsi="Arial" w:cs="Arial"/>
          <w:sz w:val="20"/>
          <w:szCs w:val="20"/>
          <w:lang w:eastAsia="pl-PL"/>
        </w:rPr>
        <w:t xml:space="preserve">inansowane będą badania </w:t>
      </w:r>
      <w:r w:rsidR="009605E0" w:rsidRPr="003478AF">
        <w:rPr>
          <w:rFonts w:ascii="Arial" w:eastAsia="Times New Roman" w:hAnsi="Arial" w:cs="Arial"/>
          <w:sz w:val="20"/>
          <w:szCs w:val="20"/>
          <w:lang w:eastAsia="pl-PL"/>
        </w:rPr>
        <w:br/>
      </w:r>
      <w:r w:rsidRPr="003478AF">
        <w:rPr>
          <w:rFonts w:ascii="Arial" w:eastAsia="Times New Roman" w:hAnsi="Arial" w:cs="Arial"/>
          <w:sz w:val="20"/>
          <w:szCs w:val="20"/>
          <w:lang w:eastAsia="pl-PL"/>
        </w:rPr>
        <w:t>i innowacje dotyczące w szczególności:</w:t>
      </w:r>
    </w:p>
    <w:p w14:paraId="06BDF76A" w14:textId="77777777" w:rsidR="00F901B6" w:rsidRPr="003478AF" w:rsidRDefault="00F901B6" w:rsidP="00B13D49">
      <w:pPr>
        <w:numPr>
          <w:ilvl w:val="0"/>
          <w:numId w:val="28"/>
        </w:numPr>
        <w:spacing w:line="240" w:lineRule="auto"/>
        <w:ind w:left="714" w:hanging="357"/>
        <w:rPr>
          <w:rFonts w:eastAsia="Times New Roman" w:cs="Arial"/>
          <w:szCs w:val="20"/>
          <w:lang w:eastAsia="pl-PL"/>
        </w:rPr>
      </w:pPr>
      <w:r w:rsidRPr="003478AF">
        <w:rPr>
          <w:rFonts w:eastAsia="Times New Roman" w:cs="Arial"/>
          <w:szCs w:val="20"/>
          <w:lang w:eastAsia="pl-PL"/>
        </w:rPr>
        <w:t>nauki o klimacie i adaptacjach do zmian klimatu,</w:t>
      </w:r>
    </w:p>
    <w:p w14:paraId="40C9649D" w14:textId="77777777" w:rsidR="00F901B6" w:rsidRPr="003478AF" w:rsidRDefault="00F901B6" w:rsidP="00B13D49">
      <w:pPr>
        <w:numPr>
          <w:ilvl w:val="0"/>
          <w:numId w:val="28"/>
        </w:numPr>
        <w:spacing w:line="240" w:lineRule="auto"/>
        <w:ind w:left="714" w:hanging="357"/>
        <w:rPr>
          <w:rFonts w:eastAsia="Times New Roman" w:cs="Arial"/>
          <w:szCs w:val="20"/>
          <w:lang w:eastAsia="pl-PL"/>
        </w:rPr>
      </w:pPr>
      <w:r w:rsidRPr="003478AF">
        <w:rPr>
          <w:rFonts w:eastAsia="Times New Roman" w:cs="Arial"/>
          <w:szCs w:val="20"/>
          <w:lang w:eastAsia="pl-PL"/>
        </w:rPr>
        <w:t>odnawialnych źródeł energii,</w:t>
      </w:r>
    </w:p>
    <w:p w14:paraId="0925C357" w14:textId="77777777" w:rsidR="00F901B6" w:rsidRPr="003478AF" w:rsidRDefault="00F901B6" w:rsidP="00B13D49">
      <w:pPr>
        <w:numPr>
          <w:ilvl w:val="0"/>
          <w:numId w:val="28"/>
        </w:numPr>
        <w:spacing w:line="240" w:lineRule="auto"/>
        <w:ind w:left="714" w:hanging="357"/>
        <w:rPr>
          <w:rFonts w:eastAsia="Times New Roman" w:cs="Arial"/>
          <w:szCs w:val="20"/>
          <w:lang w:eastAsia="pl-PL"/>
        </w:rPr>
      </w:pPr>
      <w:r w:rsidRPr="003478AF">
        <w:rPr>
          <w:rFonts w:eastAsia="Times New Roman" w:cs="Arial"/>
          <w:szCs w:val="20"/>
          <w:lang w:eastAsia="pl-PL"/>
        </w:rPr>
        <w:t>systemów energetycznych, sieci i magazynowania energii,</w:t>
      </w:r>
    </w:p>
    <w:p w14:paraId="08C38E17" w14:textId="77777777" w:rsidR="00F901B6" w:rsidRPr="003478AF" w:rsidRDefault="00F901B6" w:rsidP="00B13D49">
      <w:pPr>
        <w:numPr>
          <w:ilvl w:val="0"/>
          <w:numId w:val="28"/>
        </w:numPr>
        <w:spacing w:line="240" w:lineRule="auto"/>
        <w:ind w:left="714" w:hanging="357"/>
        <w:rPr>
          <w:rFonts w:eastAsia="Times New Roman" w:cs="Arial"/>
          <w:szCs w:val="20"/>
          <w:lang w:eastAsia="pl-PL"/>
        </w:rPr>
      </w:pPr>
      <w:r w:rsidRPr="003478AF">
        <w:rPr>
          <w:rFonts w:eastAsia="Times New Roman" w:cs="Arial"/>
          <w:szCs w:val="20"/>
          <w:lang w:eastAsia="pl-PL"/>
        </w:rPr>
        <w:t>efektywności energetycznej i neutralności klimatycznej budynków,</w:t>
      </w:r>
    </w:p>
    <w:p w14:paraId="512EC5A5" w14:textId="77777777" w:rsidR="00F901B6" w:rsidRPr="003478AF" w:rsidRDefault="00F901B6" w:rsidP="00B13D49">
      <w:pPr>
        <w:numPr>
          <w:ilvl w:val="0"/>
          <w:numId w:val="28"/>
        </w:numPr>
        <w:spacing w:line="240" w:lineRule="auto"/>
        <w:ind w:left="714" w:hanging="357"/>
        <w:rPr>
          <w:rFonts w:eastAsia="Times New Roman" w:cs="Arial"/>
          <w:szCs w:val="20"/>
          <w:lang w:eastAsia="pl-PL"/>
        </w:rPr>
      </w:pPr>
      <w:r w:rsidRPr="003478AF">
        <w:rPr>
          <w:rFonts w:eastAsia="Times New Roman" w:cs="Arial"/>
          <w:szCs w:val="20"/>
          <w:lang w:eastAsia="pl-PL"/>
        </w:rPr>
        <w:t>transformacji energetycznej przemysłu,</w:t>
      </w:r>
    </w:p>
    <w:p w14:paraId="0A613B1D" w14:textId="77777777" w:rsidR="00F901B6" w:rsidRPr="003478AF" w:rsidRDefault="00F901B6" w:rsidP="00B13D49">
      <w:pPr>
        <w:numPr>
          <w:ilvl w:val="0"/>
          <w:numId w:val="28"/>
        </w:numPr>
        <w:spacing w:line="240" w:lineRule="auto"/>
        <w:ind w:left="714" w:hanging="357"/>
        <w:rPr>
          <w:rFonts w:eastAsia="Times New Roman" w:cs="Arial"/>
          <w:szCs w:val="20"/>
          <w:lang w:eastAsia="pl-PL"/>
        </w:rPr>
      </w:pPr>
      <w:r w:rsidRPr="003478AF">
        <w:rPr>
          <w:rFonts w:eastAsia="Times New Roman" w:cs="Arial"/>
          <w:szCs w:val="20"/>
          <w:lang w:eastAsia="pl-PL"/>
        </w:rPr>
        <w:t>bezemisyjnego transportu lądowego, powietrznego i wodnego,</w:t>
      </w:r>
    </w:p>
    <w:p w14:paraId="4F2577CA" w14:textId="77777777" w:rsidR="00F901B6" w:rsidRPr="003478AF" w:rsidRDefault="00F901B6" w:rsidP="00B13D49">
      <w:pPr>
        <w:numPr>
          <w:ilvl w:val="0"/>
          <w:numId w:val="28"/>
        </w:numPr>
        <w:spacing w:line="240" w:lineRule="auto"/>
        <w:ind w:left="714" w:hanging="357"/>
        <w:rPr>
          <w:rFonts w:eastAsia="Times New Roman" w:cs="Arial"/>
          <w:szCs w:val="20"/>
          <w:lang w:eastAsia="pl-PL"/>
        </w:rPr>
      </w:pPr>
      <w:r w:rsidRPr="003478AF">
        <w:rPr>
          <w:rFonts w:eastAsia="Times New Roman" w:cs="Arial"/>
          <w:szCs w:val="20"/>
          <w:lang w:eastAsia="pl-PL"/>
        </w:rPr>
        <w:t>bezpieczeństwa transportu, jego wpływu na zdrowie i środowisko,</w:t>
      </w:r>
    </w:p>
    <w:p w14:paraId="6B715952" w14:textId="77777777" w:rsidR="00F901B6" w:rsidRPr="003478AF" w:rsidRDefault="00F901B6" w:rsidP="00B13D49">
      <w:pPr>
        <w:numPr>
          <w:ilvl w:val="0"/>
          <w:numId w:val="28"/>
        </w:numPr>
        <w:spacing w:line="240" w:lineRule="auto"/>
        <w:ind w:left="714" w:hanging="357"/>
        <w:rPr>
          <w:rFonts w:eastAsia="Times New Roman" w:cs="Arial"/>
          <w:szCs w:val="20"/>
          <w:lang w:eastAsia="pl-PL"/>
        </w:rPr>
      </w:pPr>
      <w:r w:rsidRPr="003478AF">
        <w:rPr>
          <w:rFonts w:eastAsia="Times New Roman" w:cs="Arial"/>
          <w:szCs w:val="20"/>
          <w:lang w:eastAsia="pl-PL"/>
        </w:rPr>
        <w:t>transportu autonomicznego,</w:t>
      </w:r>
    </w:p>
    <w:p w14:paraId="767C8FEE" w14:textId="77777777" w:rsidR="00F901B6" w:rsidRPr="003478AF" w:rsidRDefault="00F901B6" w:rsidP="00B13D49">
      <w:pPr>
        <w:numPr>
          <w:ilvl w:val="0"/>
          <w:numId w:val="28"/>
        </w:numPr>
        <w:spacing w:line="240" w:lineRule="auto"/>
        <w:ind w:left="714" w:hanging="357"/>
        <w:rPr>
          <w:rFonts w:eastAsia="Times New Roman" w:cs="Arial"/>
          <w:szCs w:val="20"/>
          <w:lang w:eastAsia="pl-PL"/>
        </w:rPr>
      </w:pPr>
      <w:r w:rsidRPr="003478AF">
        <w:rPr>
          <w:rFonts w:eastAsia="Times New Roman" w:cs="Arial"/>
          <w:szCs w:val="20"/>
          <w:lang w:eastAsia="pl-PL"/>
        </w:rPr>
        <w:t>multimodalnych systemów transportu osób i towarów.</w:t>
      </w:r>
    </w:p>
    <w:p w14:paraId="23AA8217" w14:textId="77777777" w:rsidR="00F901B6" w:rsidRPr="003478AF" w:rsidRDefault="00F901B6" w:rsidP="00F901B6">
      <w:pPr>
        <w:rPr>
          <w:rFonts w:cs="Arial"/>
          <w:szCs w:val="20"/>
          <w:lang w:eastAsia="pl-PL"/>
        </w:rPr>
      </w:pPr>
      <w:r w:rsidRPr="003478AF">
        <w:rPr>
          <w:rFonts w:cs="Arial"/>
          <w:szCs w:val="20"/>
        </w:rPr>
        <w:t>W ciągu 7 lat (2021–2027) na nowatorskie badania i innowacyjne rozwiązania przeznaczone zostanie łącznie 95,5 mld euro.</w:t>
      </w:r>
    </w:p>
    <w:p w14:paraId="3BD18175" w14:textId="77777777" w:rsidR="00F901B6" w:rsidRPr="003478AF" w:rsidRDefault="00F901B6" w:rsidP="00F901B6"/>
    <w:p w14:paraId="6F603F31" w14:textId="3AF58574" w:rsidR="00F901B6" w:rsidRPr="003478AF" w:rsidRDefault="00BC2C92">
      <w:pPr>
        <w:pStyle w:val="Nagwek2"/>
      </w:pPr>
      <w:bookmarkStart w:id="101" w:name="_Toc82160008"/>
      <w:r w:rsidRPr="003478AF">
        <w:t xml:space="preserve">9.3. </w:t>
      </w:r>
      <w:r w:rsidR="00F901B6" w:rsidRPr="003478AF">
        <w:t>Inne propozycje wsparci</w:t>
      </w:r>
      <w:r w:rsidR="0080241B" w:rsidRPr="003478AF">
        <w:t>a</w:t>
      </w:r>
      <w:r w:rsidR="00F901B6" w:rsidRPr="003478AF">
        <w:t xml:space="preserve"> finansowego w kierunku GOZ</w:t>
      </w:r>
      <w:bookmarkEnd w:id="101"/>
      <w:r w:rsidR="00F901B6" w:rsidRPr="003478AF">
        <w:t xml:space="preserve"> </w:t>
      </w:r>
    </w:p>
    <w:p w14:paraId="75456D2F" w14:textId="0E0DE2C7" w:rsidR="00F901B6" w:rsidRPr="003478AF" w:rsidRDefault="00F901B6" w:rsidP="00F901B6">
      <w:r w:rsidRPr="003478AF">
        <w:t xml:space="preserve"> W ramach prowadzonych wywiadów z </w:t>
      </w:r>
      <w:r w:rsidR="00A14098" w:rsidRPr="003478AF">
        <w:t>e</w:t>
      </w:r>
      <w:r w:rsidRPr="003478AF">
        <w:t xml:space="preserve">kspertami zaproponowano możliwe do wdrożenia projekty </w:t>
      </w:r>
      <w:r w:rsidR="00303153" w:rsidRPr="003478AF">
        <w:t>w ramach nowego programu operacyjnego</w:t>
      </w:r>
      <w:r w:rsidR="0018788C" w:rsidRPr="003478AF">
        <w:t>.</w:t>
      </w:r>
      <w:r w:rsidRPr="003478AF">
        <w:t xml:space="preserve"> </w:t>
      </w:r>
    </w:p>
    <w:p w14:paraId="7DBC0C0C" w14:textId="77777777" w:rsidR="00F901B6" w:rsidRPr="003478AF" w:rsidRDefault="00F901B6" w:rsidP="00F901B6">
      <w:bookmarkStart w:id="102" w:name="_Hlk75911063"/>
      <w:r w:rsidRPr="003478AF">
        <w:t xml:space="preserve">W okresie programowania 2021-2027 powinny się znaleźć nowe kierunki działań wspierane ze środków unijnych, które należałoby wziąć pod uwagę w </w:t>
      </w:r>
      <w:r w:rsidRPr="003478AF">
        <w:rPr>
          <w:rFonts w:cs="Arial"/>
          <w:szCs w:val="20"/>
        </w:rPr>
        <w:t>FEWW</w:t>
      </w:r>
      <w:r w:rsidRPr="003478AF">
        <w:t xml:space="preserve">. Eksperci odnieśli się do kilku obszarów działalności: rolnictwa i przetwórstwa rolno-spożywczego, energetyki, odpadów, transportu, poprawy jakości powietrza, a także ekoprojektowania i innych. </w:t>
      </w:r>
    </w:p>
    <w:p w14:paraId="32271C33" w14:textId="77777777" w:rsidR="00F901B6" w:rsidRPr="003478AF" w:rsidRDefault="00F901B6" w:rsidP="00F901B6">
      <w:r w:rsidRPr="003478AF">
        <w:t>Dla rolnictwa wskazano, iż</w:t>
      </w:r>
      <w:r w:rsidRPr="003478AF">
        <w:rPr>
          <w:b/>
          <w:bCs/>
        </w:rPr>
        <w:t xml:space="preserve"> uprawa roślin energetycznych, biotechnologia </w:t>
      </w:r>
      <w:r w:rsidRPr="003478AF">
        <w:rPr>
          <w:b/>
          <w:bCs/>
        </w:rPr>
        <w:br/>
        <w:t>i modyfikacja genetyczna roślin</w:t>
      </w:r>
      <w:r w:rsidRPr="003478AF">
        <w:t xml:space="preserve"> pozwoli na wykorzystanie obszarów nieprodukcyjnych rolniczo. </w:t>
      </w:r>
    </w:p>
    <w:p w14:paraId="2171A37A" w14:textId="1ED31C5C" w:rsidR="00F901B6" w:rsidRPr="003478AF" w:rsidRDefault="00F901B6" w:rsidP="00F901B6">
      <w:r w:rsidRPr="003478AF">
        <w:t xml:space="preserve">Prace badawczo-rozwojowe w tym temacie powinny stanowić kierunek aktywności podejmowanych przez firmy z sektora energetycznego. Powinny one przeprowadzić analizę lokalnych zasobów i dostosować swoją działalność pod lokalny potencjał, minimalizując w ten sposób koszty związane z transportem i pozyskiwaniem surowców. Rośliny energetyczne są cennym surowcem do </w:t>
      </w:r>
      <w:r w:rsidRPr="003478AF">
        <w:rPr>
          <w:b/>
          <w:bCs/>
        </w:rPr>
        <w:t>produkcji biogazu</w:t>
      </w:r>
      <w:r w:rsidRPr="003478AF">
        <w:t>.</w:t>
      </w:r>
      <w:r w:rsidRPr="003478AF" w:rsidDel="00F64D78">
        <w:t xml:space="preserve"> </w:t>
      </w:r>
    </w:p>
    <w:p w14:paraId="1F9935B8" w14:textId="77777777" w:rsidR="00F901B6" w:rsidRPr="003478AF" w:rsidRDefault="00F901B6" w:rsidP="00F901B6">
      <w:r w:rsidRPr="003478AF">
        <w:t xml:space="preserve">Inwestowanie w przestawienie się na </w:t>
      </w:r>
      <w:r w:rsidRPr="003478AF">
        <w:rPr>
          <w:b/>
          <w:bCs/>
        </w:rPr>
        <w:t>rolnictwo</w:t>
      </w:r>
      <w:r w:rsidRPr="003478AF">
        <w:t xml:space="preserve"> </w:t>
      </w:r>
      <w:r w:rsidRPr="003478AF">
        <w:rPr>
          <w:b/>
          <w:bCs/>
        </w:rPr>
        <w:t>regeneracyjne</w:t>
      </w:r>
      <w:r w:rsidRPr="003478AF">
        <w:rPr>
          <w:rStyle w:val="Odwoanieprzypisudolnego"/>
        </w:rPr>
        <w:footnoteReference w:id="148"/>
      </w:r>
      <w:r w:rsidRPr="003478AF">
        <w:t xml:space="preserve"> może złagodzić wpływ systemu żywnościowego na środowisko, jednocześnie przyciągając konsumentów, którzy stają się coraz bardziej świadomi ekologicznie i żywieniowo. W połączeniu </w:t>
      </w:r>
      <w:r w:rsidRPr="003478AF">
        <w:br/>
        <w:t xml:space="preserve">z </w:t>
      </w:r>
      <w:r w:rsidRPr="003478AF">
        <w:rPr>
          <w:b/>
          <w:bCs/>
        </w:rPr>
        <w:t>infrastrukturą do redystrybucji żywności</w:t>
      </w:r>
      <w:r w:rsidRPr="003478AF">
        <w:t xml:space="preserve"> można osiągnąć większy obieg wartości </w:t>
      </w:r>
      <w:r w:rsidRPr="003478AF">
        <w:br/>
        <w:t>i efektywne wykorzystanie zasobów, co pomogłoby zmniejszyć obciążenie przemysłu związane z konsumpcją zasobów pierwotnych, jednocześnie poprawiając bezpieczeństwo żywnościowe.</w:t>
      </w:r>
    </w:p>
    <w:p w14:paraId="53AEA8BD" w14:textId="77777777" w:rsidR="00F901B6" w:rsidRPr="003478AF" w:rsidRDefault="00F901B6" w:rsidP="00F901B6">
      <w:r w:rsidRPr="003478AF">
        <w:t xml:space="preserve">Należy dodać, iż rolnictwo regeneracyjne znajdzie się w centrum działań realizowanych dla rolników w Polsce. Istotnym obszarem będzie rozpoczęcie analizy obiegu dwutlenku węgla w gospodarstwach. Celem badań jest optymalizacja obiegu składników odżywczych </w:t>
      </w:r>
      <w:r w:rsidRPr="003478AF">
        <w:lastRenderedPageBreak/>
        <w:t>i zwiększanie zawartości węgla organicznego w glebie. Obecnie działania w tym zakresie realizowane są tylko w województwie podkarpackim we współpracy z firmą Nestlé. </w:t>
      </w:r>
    </w:p>
    <w:p w14:paraId="6E8C2CC7" w14:textId="23F3CB11" w:rsidR="00F901B6" w:rsidRPr="003478AF" w:rsidRDefault="00F901B6" w:rsidP="00F901B6">
      <w:r w:rsidRPr="003478AF">
        <w:t xml:space="preserve">Dodatkowo </w:t>
      </w:r>
      <w:r w:rsidRPr="003478AF">
        <w:rPr>
          <w:b/>
          <w:bCs/>
        </w:rPr>
        <w:t>technologia cyfrowa i technologiczna</w:t>
      </w:r>
      <w:r w:rsidRPr="003478AF">
        <w:t xml:space="preserve"> zapewnią wgląd w jakość gleb oraz dobrostan upraw i zwierząt. Rolnictwo cyfrowe, czyli zbieranie, przechowywanie i analityka danych oraz podejmowanie decyzji w połączeniu z dużymi zbiorami danych i rozwiązaniami Internet </w:t>
      </w:r>
      <w:r w:rsidR="00F36B96" w:rsidRPr="003478AF">
        <w:t>R</w:t>
      </w:r>
      <w:r w:rsidRPr="003478AF">
        <w:t xml:space="preserve">zeczy (IoT), może być wykorzystywane na dużą skalę przez gospodarstwa rolne. Przykładem takich rozwiązań jest już testowana aplikacja mobilna AI „Nuru” w USA, która rozpoznaje choroby roślin i mierzy nawodnienie za pomocą maszyn i drona. </w:t>
      </w:r>
    </w:p>
    <w:p w14:paraId="129ED17F" w14:textId="77777777" w:rsidR="00F901B6" w:rsidRPr="003478AF" w:rsidRDefault="00F901B6" w:rsidP="00F901B6">
      <w:r w:rsidRPr="003478AF">
        <w:t>Technologie cyfrowe mogą również zapewnić dokładne dane pomiarowe dotyczące stosowanych techniki uprawy, zawartość składników odżywczych w glebie i wpływu na środowisko. Wśród innych przykładów wskazywano, iż połączenie cyfryzacji z Internetem rzeczy pozwoli na raportowanie danych o stanie żywności w transporcie. Może to również służyć jako pomoc w określeniu, czy niesprzedane produkty spożywcze mogą podlegać redystrybucji lub waloryzacji.</w:t>
      </w:r>
    </w:p>
    <w:p w14:paraId="71D7AAB5" w14:textId="62DC959A" w:rsidR="00F901B6" w:rsidRPr="003478AF" w:rsidRDefault="00F901B6" w:rsidP="00F901B6">
      <w:r w:rsidRPr="003478AF">
        <w:t xml:space="preserve">Dodatkowo cyfryzacja pozwala na zbudowanie platformy dedykowanej rolnictwu. Producenci mogą mieć ułatwiony i szybki dostęp bezpośrednio na rynki konsumenckie poprzez wirtualne rynki i sklepy online. Przykładem jest polski </w:t>
      </w:r>
      <w:r w:rsidR="00F36B96" w:rsidRPr="003478AF">
        <w:t xml:space="preserve">sklep internetowy </w:t>
      </w:r>
      <w:r w:rsidRPr="003478AF">
        <w:rPr>
          <w:i/>
          <w:iCs/>
        </w:rPr>
        <w:t>Sklepfirmowy.pl</w:t>
      </w:r>
      <w:r w:rsidRPr="003478AF">
        <w:t>, który przenosi powszechnie znaną koncepcję sklepu firmowego do Internetu, skupiając wielu producentów, szczególnie dostawców z sektora MŚP (lokalni producenci, regionalni przetwórcy, rzemieślnicy, mali przetwórcy, firmy rodzinne), oferujących specyficzne dla danego regionu wyroby.</w:t>
      </w:r>
    </w:p>
    <w:p w14:paraId="79BCDD15" w14:textId="77777777" w:rsidR="00F901B6" w:rsidRPr="003478AF" w:rsidRDefault="00F901B6" w:rsidP="00F901B6">
      <w:r w:rsidRPr="003478AF">
        <w:t xml:space="preserve">Zauważono, iż wiele trendów wykrytych podczas pandemii w sektorze spożywczym będzie kontynuowane w przyszłości. Świadomość zdrowotna konsumentów spowoduje wzrost popytu na </w:t>
      </w:r>
      <w:r w:rsidRPr="003478AF">
        <w:rPr>
          <w:b/>
          <w:bCs/>
        </w:rPr>
        <w:t>żywność lokalną, zdrową i certyfikowaną</w:t>
      </w:r>
      <w:r w:rsidRPr="003478AF">
        <w:t>.</w:t>
      </w:r>
    </w:p>
    <w:p w14:paraId="3CE3B429" w14:textId="45C1AC82" w:rsidR="00F901B6" w:rsidRPr="003478AF" w:rsidRDefault="00F901B6" w:rsidP="00F901B6">
      <w:r w:rsidRPr="003478AF">
        <w:t>W przypadku przemysłu spożywczego należy zwrócić uwagę na problem opakowań głównie z tworzyw sztucznych (odpady nierecyklowalne). W 2018 r</w:t>
      </w:r>
      <w:r w:rsidR="00AD02AA" w:rsidRPr="003478AF">
        <w:t>oku</w:t>
      </w:r>
      <w:r w:rsidRPr="003478AF">
        <w:t xml:space="preserve"> zebrano ich 1,9 mln ton</w:t>
      </w:r>
      <w:r w:rsidRPr="003478AF">
        <w:rPr>
          <w:rStyle w:val="Odwoanieprzypisudolnego"/>
        </w:rPr>
        <w:footnoteReference w:id="149"/>
      </w:r>
      <w:r w:rsidRPr="003478AF">
        <w:t xml:space="preserve">. Większość tworzyw sztucznych to poliolefiny i pochodne, czyli CH2 – wodór zostaje oderwany (powstaje czysty wodór) oraz koksik, który możemy spalić (przy okazji usuwając inne zanieczyszczenia). </w:t>
      </w:r>
    </w:p>
    <w:p w14:paraId="068363DC" w14:textId="77777777" w:rsidR="00F901B6" w:rsidRPr="003478AF" w:rsidRDefault="00F901B6" w:rsidP="00F901B6">
      <w:r w:rsidRPr="003478AF">
        <w:t xml:space="preserve">Najnowsze badania naukowe pozwoliły na opracowanie metody </w:t>
      </w:r>
      <w:r w:rsidRPr="003478AF">
        <w:rPr>
          <w:b/>
          <w:bCs/>
        </w:rPr>
        <w:t>przekształcania odpadów plastikowych w gaz wodorowy</w:t>
      </w:r>
      <w:r w:rsidRPr="003478AF">
        <w:t>, który można wykorzystać jako paliwo i czysty węgiel, bez emisji CO</w:t>
      </w:r>
      <w:r w:rsidRPr="003478AF">
        <w:rPr>
          <w:vertAlign w:val="subscript"/>
        </w:rPr>
        <w:t>2</w:t>
      </w:r>
      <w:r w:rsidRPr="003478AF">
        <w:t>, przy zastosowaniu mikrofal do aktywowania cząstek katalizatora, aby skutecznie „usunąć” wodór z polimerów</w:t>
      </w:r>
      <w:r w:rsidRPr="003478AF">
        <w:rPr>
          <w:rStyle w:val="Odwoanieprzypisudolnego"/>
        </w:rPr>
        <w:footnoteReference w:id="150"/>
      </w:r>
      <w:r w:rsidRPr="003478AF">
        <w:t xml:space="preserve">. </w:t>
      </w:r>
    </w:p>
    <w:p w14:paraId="799AB607" w14:textId="3E736746" w:rsidR="00F901B6" w:rsidRPr="003478AF" w:rsidRDefault="00F901B6" w:rsidP="00F901B6">
      <w:r w:rsidRPr="003478AF">
        <w:t xml:space="preserve">Odzysk wodoru z tworzyw sztucznych może być nowym trendem nie tylko na poziomie województwa wielkopolskiego. Zważywszy, iż obecnie zagospodarowanie energii z OZE </w:t>
      </w:r>
      <w:r w:rsidRPr="003478AF">
        <w:br/>
        <w:t xml:space="preserve">w produkcji wodoru nie jest nadal optymalne. Proces ten jest nadal energochłonny i kosztowny. Natomiast wodór „bio” – czyli </w:t>
      </w:r>
      <w:r w:rsidR="00F36B96" w:rsidRPr="003478AF">
        <w:t>produkcja</w:t>
      </w:r>
      <w:r w:rsidRPr="003478AF">
        <w:t xml:space="preserve"> wod</w:t>
      </w:r>
      <w:r w:rsidR="00F36B96" w:rsidRPr="003478AF">
        <w:t>oru</w:t>
      </w:r>
      <w:r w:rsidRPr="003478AF">
        <w:t xml:space="preserve"> z użyciem bakterii czy też alg nie jest także wystarczająco wydajnym procesem.</w:t>
      </w:r>
    </w:p>
    <w:p w14:paraId="3F4612D8" w14:textId="77777777" w:rsidR="00F901B6" w:rsidRPr="003478AF" w:rsidRDefault="00F901B6" w:rsidP="00F901B6">
      <w:r w:rsidRPr="003478AF">
        <w:t xml:space="preserve">Należy również wspomnieć o opakowaniach inteligentnych. Ich zadaniem jest informowanie potencjalnego nabywcy o stanie jakościowym zapakowanego produktu. Przydatność do spożycia jest monitorowana na wskaźnikach bazujących na zmianie barwy, która może następować w sposób ciągły. </w:t>
      </w:r>
    </w:p>
    <w:p w14:paraId="7E4DBC4F" w14:textId="77777777" w:rsidR="00F901B6" w:rsidRPr="003478AF" w:rsidRDefault="00F901B6" w:rsidP="00F901B6">
      <w:r w:rsidRPr="003478AF">
        <w:lastRenderedPageBreak/>
        <w:t>Opakowania inteligentne są niemalże jak urządzenia, które nadają prestiżu całemu przemysłowi. Trzeba mieć jednak na uwadze, że ze względu na wysokie koszty, idea ta może być zaimplementowana jedynie w wybranych segmentach rynku.</w:t>
      </w:r>
    </w:p>
    <w:p w14:paraId="073E2CB9" w14:textId="77777777" w:rsidR="00F901B6" w:rsidRPr="003478AF" w:rsidRDefault="00F901B6" w:rsidP="00F901B6">
      <w:r w:rsidRPr="003478AF">
        <w:t>Znalezienie odpowiedniej niszy przez przedsiębiorstwo może skutkować nie tylko ugruntowaniem pozycji na rynku krajowym, ale także ekspansją globalną. Przykładem firmy, która zdołała się wyspecjalizować w wybranej przez siebie dziedzinie jest Formika – producent wieczek aluminiowych dla przemysłu spożywczego, kosmetycznego i farmaceutycznego</w:t>
      </w:r>
      <w:r w:rsidRPr="003478AF">
        <w:rPr>
          <w:rStyle w:val="Odwoanieprzypisudolnego"/>
        </w:rPr>
        <w:footnoteReference w:id="151"/>
      </w:r>
      <w:r w:rsidRPr="003478AF">
        <w:t xml:space="preserve">. </w:t>
      </w:r>
    </w:p>
    <w:p w14:paraId="774658CC" w14:textId="77777777" w:rsidR="00F901B6" w:rsidRPr="003478AF" w:rsidRDefault="00F901B6" w:rsidP="00F901B6">
      <w:r w:rsidRPr="003478AF">
        <w:t>Oprócz inteligentnych opakowań zwraca się dużą uwagę na odpady ze sprzętu elektronicznego, ubrań, żywności, z budowy, remontów i demontaży oraz e-odpady.</w:t>
      </w:r>
    </w:p>
    <w:p w14:paraId="60C96EA9" w14:textId="74C634D0" w:rsidR="00F901B6" w:rsidRPr="003478AF" w:rsidRDefault="00F901B6" w:rsidP="00F901B6">
      <w:r w:rsidRPr="003478AF">
        <w:t xml:space="preserve">Promowane powinny być </w:t>
      </w:r>
      <w:r w:rsidRPr="003478AF">
        <w:rPr>
          <w:b/>
          <w:bCs/>
        </w:rPr>
        <w:t>akcje społeczne</w:t>
      </w:r>
      <w:r w:rsidRPr="003478AF">
        <w:t xml:space="preserve"> np. w zakresie dokonania naprawy sprzętu AGD i RTV oraz </w:t>
      </w:r>
      <w:r w:rsidR="00F36B96" w:rsidRPr="003478AF">
        <w:t>naprawy i modeyfikacje</w:t>
      </w:r>
      <w:r w:rsidRPr="003478AF">
        <w:t xml:space="preserve"> ubrań. Przykładowo na niewielką skalę organizowane są spotkania w Repair Café Piła, która był pierwszą tego typu akcją w Polsce</w:t>
      </w:r>
      <w:r w:rsidRPr="003478AF">
        <w:rPr>
          <w:b/>
          <w:bCs/>
        </w:rPr>
        <w:t>.</w:t>
      </w:r>
      <w:r w:rsidRPr="003478AF">
        <w:t xml:space="preserve"> Z kolei Centrum Ekonomii Współdzielenia Po-Dzielnia w Poznaniu organizuje akcję przekazania za darmo ubrań i butów.</w:t>
      </w:r>
    </w:p>
    <w:p w14:paraId="2AA7409B" w14:textId="72E4F5FD" w:rsidR="00F901B6" w:rsidRPr="003478AF" w:rsidRDefault="00F901B6" w:rsidP="00F901B6">
      <w:pPr>
        <w:rPr>
          <w:i/>
          <w:iCs/>
        </w:rPr>
      </w:pPr>
      <w:r w:rsidRPr="003478AF">
        <w:t>Podstawowym celem tych akcji jest łączenie społeczności lokalnej, przy równoczesnym wpływaniu na ekologiczną świadomość mieszkańców, czyli przedłużani</w:t>
      </w:r>
      <w:r w:rsidR="00F36B96" w:rsidRPr="003478AF">
        <w:t>e</w:t>
      </w:r>
      <w:r w:rsidRPr="003478AF">
        <w:t xml:space="preserve"> "życia" przedmiotów.</w:t>
      </w:r>
    </w:p>
    <w:p w14:paraId="6D6653C5" w14:textId="77777777" w:rsidR="00F901B6" w:rsidRPr="003478AF" w:rsidRDefault="00F901B6" w:rsidP="00F901B6">
      <w:r w:rsidRPr="003478AF">
        <w:t xml:space="preserve">W zakresie żywności powinny powstawać </w:t>
      </w:r>
      <w:r w:rsidRPr="003478AF">
        <w:rPr>
          <w:b/>
          <w:bCs/>
        </w:rPr>
        <w:t>banki żywności</w:t>
      </w:r>
      <w:r w:rsidRPr="003478AF">
        <w:t>. Wymaga to odpowiedniej infrastruktury, wyposażenia i logistyki, aby w sprawny sposób zebrać żywność nadającą się do spożytkowania.</w:t>
      </w:r>
    </w:p>
    <w:p w14:paraId="09A8A820" w14:textId="59614705" w:rsidR="00F901B6" w:rsidRPr="003478AF" w:rsidRDefault="00F901B6" w:rsidP="00F901B6">
      <w:r w:rsidRPr="003478AF">
        <w:t xml:space="preserve">W przypadku budownictwa technologie cyrkularne odgrywają fundamentalną rolę już na etapie </w:t>
      </w:r>
      <w:r w:rsidRPr="003478AF">
        <w:rPr>
          <w:b/>
          <w:bCs/>
        </w:rPr>
        <w:t>projektowania budynku</w:t>
      </w:r>
      <w:r w:rsidRPr="003478AF">
        <w:t>. Kolejne dotyczą informatyzacji, modularyzacji, prefabrykacj</w:t>
      </w:r>
      <w:r w:rsidR="00F36B96" w:rsidRPr="003478AF">
        <w:t>i</w:t>
      </w:r>
      <w:r w:rsidRPr="003478AF">
        <w:t>, now</w:t>
      </w:r>
      <w:r w:rsidR="00F36B96" w:rsidRPr="003478AF">
        <w:t>ych</w:t>
      </w:r>
      <w:r w:rsidRPr="003478AF">
        <w:t xml:space="preserve"> metod recyklingu i ponownego wykorzystania, innowacyjn</w:t>
      </w:r>
      <w:r w:rsidR="00F36B96" w:rsidRPr="003478AF">
        <w:t>ych</w:t>
      </w:r>
      <w:r w:rsidRPr="003478AF">
        <w:t xml:space="preserve"> materiał</w:t>
      </w:r>
      <w:r w:rsidR="00F36B96" w:rsidRPr="003478AF">
        <w:t>ów</w:t>
      </w:r>
      <w:r w:rsidRPr="003478AF">
        <w:t xml:space="preserve"> budowlan</w:t>
      </w:r>
      <w:r w:rsidR="00F36B96" w:rsidRPr="003478AF">
        <w:t xml:space="preserve">ych </w:t>
      </w:r>
      <w:r w:rsidRPr="003478AF">
        <w:t>i technologi</w:t>
      </w:r>
      <w:r w:rsidR="00F36B96" w:rsidRPr="003478AF">
        <w:t>i</w:t>
      </w:r>
      <w:r w:rsidRPr="003478AF">
        <w:t xml:space="preserve"> ograniczając</w:t>
      </w:r>
      <w:r w:rsidR="00F36B96" w:rsidRPr="003478AF">
        <w:t>ych</w:t>
      </w:r>
      <w:r w:rsidRPr="003478AF">
        <w:t xml:space="preserve"> zużycie wody i energii</w:t>
      </w:r>
      <w:r w:rsidR="00AC19D9" w:rsidRPr="003478AF">
        <w:t>, a w</w:t>
      </w:r>
      <w:r w:rsidRPr="003478AF">
        <w:t xml:space="preserve"> końcowym etapie traktowani</w:t>
      </w:r>
      <w:r w:rsidR="00F36B96" w:rsidRPr="003478AF">
        <w:t>e</w:t>
      </w:r>
      <w:r w:rsidRPr="003478AF">
        <w:t xml:space="preserve"> odpadu jako surowca.</w:t>
      </w:r>
    </w:p>
    <w:p w14:paraId="26469B55" w14:textId="77777777" w:rsidR="00F901B6" w:rsidRPr="003478AF" w:rsidRDefault="00F901B6" w:rsidP="00F901B6">
      <w:r w:rsidRPr="003478AF">
        <w:t>W przypadku pozostałych innowacyjnych rozwiązań w gospodarce odpadami wskazano:</w:t>
      </w:r>
    </w:p>
    <w:p w14:paraId="7DC1DF32" w14:textId="77777777" w:rsidR="00F901B6" w:rsidRPr="003478AF" w:rsidRDefault="00F901B6" w:rsidP="00B13D49">
      <w:pPr>
        <w:numPr>
          <w:ilvl w:val="0"/>
          <w:numId w:val="16"/>
        </w:numPr>
      </w:pPr>
      <w:r w:rsidRPr="003478AF">
        <w:t>Przeprojektowanie produktów w celu ułatwienia ich recyklingu po zakończeniu eksploatacji;</w:t>
      </w:r>
    </w:p>
    <w:p w14:paraId="119C80C5" w14:textId="77777777" w:rsidR="00F901B6" w:rsidRPr="003478AF" w:rsidRDefault="00F901B6" w:rsidP="00B13D49">
      <w:pPr>
        <w:numPr>
          <w:ilvl w:val="0"/>
          <w:numId w:val="16"/>
        </w:numPr>
      </w:pPr>
      <w:r w:rsidRPr="003478AF">
        <w:t>Zmniejszenie zawartości substancji niebezpiecznych w materiałach i produktach;</w:t>
      </w:r>
    </w:p>
    <w:p w14:paraId="3C04C5EE" w14:textId="77777777" w:rsidR="00F901B6" w:rsidRPr="003478AF" w:rsidRDefault="00F901B6" w:rsidP="00B13D49">
      <w:pPr>
        <w:numPr>
          <w:ilvl w:val="0"/>
          <w:numId w:val="16"/>
        </w:numPr>
      </w:pPr>
      <w:r w:rsidRPr="003478AF">
        <w:t>Zwiększenie odzysku wymienionych surowców krytycznych z e-odpadów (np. miedź, kobalt, srebro, złoto w przeciętnym smartfonie).</w:t>
      </w:r>
    </w:p>
    <w:p w14:paraId="1E2A166D" w14:textId="77777777" w:rsidR="00F901B6" w:rsidRPr="003478AF" w:rsidRDefault="00F901B6" w:rsidP="00F901B6">
      <w:r w:rsidRPr="003478AF">
        <w:t>Kolejny obszar dotyczy energetyki. Przedsiębiorstwa z sektorów energetycznego mogą odegrać dużą rolę w rozwoju gospodarki o obiegu zamkniętym. Wiele z osiągnięć technologicznych, które mogłyby przyspieszyć obieg zamknięty, znajduje się w sferze ich działalności. Obejmują one innowacje w zakresie składu i wydajności materiałów, elektryfikacji, produkcji wodoru, biochemii oraz wychwytywania i wykorzystywania dwutlenku węgla.</w:t>
      </w:r>
    </w:p>
    <w:p w14:paraId="4FAB1AB4" w14:textId="77777777" w:rsidR="00F901B6" w:rsidRPr="003478AF" w:rsidRDefault="00F901B6" w:rsidP="00F901B6">
      <w:r w:rsidRPr="003478AF">
        <w:t xml:space="preserve">Za kluczowy element energetyki uznano osiągniecie jak największego stopnia </w:t>
      </w:r>
      <w:r w:rsidRPr="003478AF">
        <w:rPr>
          <w:b/>
          <w:bCs/>
        </w:rPr>
        <w:t>wykorzystywania energii ze źródeł odnawialnych</w:t>
      </w:r>
      <w:r w:rsidRPr="003478AF">
        <w:t xml:space="preserve">. Nie może też zabraknąć procesów oszczędzania i optymalizacji zużycia energii. Z kolei </w:t>
      </w:r>
      <w:r w:rsidRPr="003478AF">
        <w:rPr>
          <w:b/>
          <w:bCs/>
        </w:rPr>
        <w:t>magazynowanie energii</w:t>
      </w:r>
      <w:r w:rsidRPr="003478AF">
        <w:t xml:space="preserve"> zapewnia bezpieczną pracę sytemu elektroenergetycznego. Na dużą skalę budowane są farmy wiatrowe (np. farma Wiatrowe, m.in. 30 MW „Przykona” i fotowoltaiczne, m.in. 100 MW PV Mitra), stąd konieczność budowy magazynów.</w:t>
      </w:r>
    </w:p>
    <w:p w14:paraId="722C53B0" w14:textId="77777777" w:rsidR="00F901B6" w:rsidRPr="003478AF" w:rsidRDefault="00F901B6" w:rsidP="00F901B6">
      <w:r w:rsidRPr="003478AF">
        <w:lastRenderedPageBreak/>
        <w:t>Magazynowanie energii to nie tylko technologie „konwencjonalne”, np. litowo-jonowe lub litowo-polimerowe, ale również proces elektrolizy i akumulowanie wodoru. Ten nośnik energii będzie odgrywał coraz większą rolę. Wodór pozyskać można na kilka sposobów.</w:t>
      </w:r>
    </w:p>
    <w:p w14:paraId="29938126" w14:textId="77777777" w:rsidR="00F901B6" w:rsidRPr="003478AF" w:rsidRDefault="00F901B6" w:rsidP="00F901B6">
      <w:r w:rsidRPr="003478AF">
        <w:t xml:space="preserve">Pierwsze dwa, już funkcjonujące na skalę przemysłową, bazują na przetwarzaniu gazu ziemnego w procesie reformingu lub zgazowania węgla. </w:t>
      </w:r>
    </w:p>
    <w:p w14:paraId="1ACE4C2C" w14:textId="77777777" w:rsidR="00F901B6" w:rsidRPr="003478AF" w:rsidRDefault="00F901B6" w:rsidP="00F901B6">
      <w:r w:rsidRPr="003478AF">
        <w:t>Potencjał rozpowszechnienia technologii wodorowej stanowi wykorzystanie nadprodukcji energii elektrycznej generowanej w OZE do procesów elektrolizy. Powstały w ten sposób „zielony wodór” znalazłby zastosowanie w wysokosprawnych procesach produkcji energii elektrycznej i ciepła.</w:t>
      </w:r>
    </w:p>
    <w:p w14:paraId="774D04C1" w14:textId="3293E7A8" w:rsidR="00F901B6" w:rsidRPr="003478AF" w:rsidRDefault="00F901B6" w:rsidP="00F901B6">
      <w:r w:rsidRPr="003478AF">
        <w:t xml:space="preserve">Pomocna w rozwoju energetyki będzie cyfryzacja podobnie jak w innych branżach. </w:t>
      </w:r>
      <w:r w:rsidR="00075829" w:rsidRPr="003478AF">
        <w:br/>
      </w:r>
      <w:r w:rsidRPr="003478AF">
        <w:t xml:space="preserve">W tym przypadku przede wszystkim Big Data przyczyni się do rozwoju budowy nowoczesnej energetyki opartej na danych, w zakresie np. zapotrzebowania na energię i ciepło, dynamiki zmian zużycia energii, przemian struktur popytowo-podażowych, obszarów aukcyjnych inwestycji, zmian demograficznych i usieciowienia. </w:t>
      </w:r>
    </w:p>
    <w:p w14:paraId="60BC58F9" w14:textId="77777777" w:rsidR="00F901B6" w:rsidRPr="003478AF" w:rsidRDefault="00F901B6" w:rsidP="00F901B6">
      <w:r w:rsidRPr="003478AF">
        <w:t xml:space="preserve">Nadal powinny być realizowane inwestycje w </w:t>
      </w:r>
      <w:r w:rsidRPr="003478AF">
        <w:rPr>
          <w:b/>
          <w:bCs/>
        </w:rPr>
        <w:t>panele słoneczne</w:t>
      </w:r>
      <w:r w:rsidRPr="003478AF">
        <w:t xml:space="preserve"> na budynkach oraz </w:t>
      </w:r>
      <w:r w:rsidRPr="003478AF">
        <w:rPr>
          <w:b/>
          <w:bCs/>
        </w:rPr>
        <w:t xml:space="preserve">systemy monitorowania budynków </w:t>
      </w:r>
      <w:r w:rsidRPr="003478AF">
        <w:t>w celu</w:t>
      </w:r>
      <w:r w:rsidRPr="003478AF">
        <w:rPr>
          <w:b/>
          <w:bCs/>
        </w:rPr>
        <w:t xml:space="preserve"> </w:t>
      </w:r>
      <w:r w:rsidRPr="003478AF">
        <w:t>efektywnego zarządzania procesami zużycia energii. Systemy tego typu pozwalają na prowadzenie monitoringu zużycia energii elektrycznej, energii cieplnej, zimnej i ciepłej wody, gazu, sprężonego powietrza oraz temperatury.</w:t>
      </w:r>
    </w:p>
    <w:p w14:paraId="34AE21D9" w14:textId="0CA0226A" w:rsidR="00F901B6" w:rsidRPr="003478AF" w:rsidRDefault="00F901B6" w:rsidP="00F901B6">
      <w:r w:rsidRPr="003478AF">
        <w:t>W transporcie mowa jest</w:t>
      </w:r>
      <w:r w:rsidR="00AC19D9" w:rsidRPr="003478AF">
        <w:t>,</w:t>
      </w:r>
      <w:r w:rsidRPr="003478AF">
        <w:t xml:space="preserve"> oprócz pojazdów elektrycznyc</w:t>
      </w:r>
      <w:r w:rsidR="00363517" w:rsidRPr="003478AF">
        <w:t>h</w:t>
      </w:r>
      <w:r w:rsidR="00AC19D9" w:rsidRPr="003478AF">
        <w:t>,</w:t>
      </w:r>
      <w:r w:rsidRPr="003478AF">
        <w:t xml:space="preserve"> także</w:t>
      </w:r>
      <w:r w:rsidR="00363517" w:rsidRPr="003478AF">
        <w:t xml:space="preserve"> o</w:t>
      </w:r>
      <w:r w:rsidRPr="003478AF">
        <w:t xml:space="preserve"> tych </w:t>
      </w:r>
      <w:r w:rsidR="00363517" w:rsidRPr="003478AF">
        <w:t>zasilanych wodorem</w:t>
      </w:r>
      <w:r w:rsidRPr="003478AF">
        <w:t xml:space="preserve">. </w:t>
      </w:r>
      <w:r w:rsidRPr="003478AF">
        <w:rPr>
          <w:b/>
          <w:bCs/>
        </w:rPr>
        <w:t xml:space="preserve">Inwestycje wodorowe w Wielkopolsce powinny być skoncentrowane </w:t>
      </w:r>
      <w:r w:rsidR="009605E0" w:rsidRPr="003478AF">
        <w:rPr>
          <w:b/>
          <w:bCs/>
        </w:rPr>
        <w:br/>
      </w:r>
      <w:r w:rsidR="00AC19D9" w:rsidRPr="003478AF">
        <w:rPr>
          <w:b/>
          <w:bCs/>
        </w:rPr>
        <w:t>w systemach autobusowych i kolejowych</w:t>
      </w:r>
      <w:r w:rsidRPr="003478AF">
        <w:t xml:space="preserve">. Pierwsze kroki w tym zakresie zostały już poczynione. W przypadku pociągów planowana jest </w:t>
      </w:r>
      <w:r w:rsidR="00AC19D9" w:rsidRPr="003478AF">
        <w:t xml:space="preserve">inwestycja związana z obsługą </w:t>
      </w:r>
      <w:r w:rsidRPr="003478AF">
        <w:t>tras</w:t>
      </w:r>
      <w:r w:rsidR="00AC19D9" w:rsidRPr="003478AF">
        <w:t>y</w:t>
      </w:r>
      <w:r w:rsidRPr="003478AF">
        <w:t xml:space="preserve"> Poznań-W</w:t>
      </w:r>
      <w:r w:rsidR="000741D9" w:rsidRPr="003478AF">
        <w:t>ą</w:t>
      </w:r>
      <w:r w:rsidRPr="003478AF">
        <w:t xml:space="preserve">growiec. Z kolei miasto Poznań </w:t>
      </w:r>
      <w:r w:rsidR="00AC19D9" w:rsidRPr="003478AF">
        <w:t>planuje zakup miejskich</w:t>
      </w:r>
      <w:r w:rsidRPr="003478AF">
        <w:t xml:space="preserve"> autobus</w:t>
      </w:r>
      <w:r w:rsidR="00AC19D9" w:rsidRPr="003478AF">
        <w:t>ów</w:t>
      </w:r>
      <w:r w:rsidRPr="003478AF">
        <w:t xml:space="preserve"> wodorow</w:t>
      </w:r>
      <w:r w:rsidR="00AC19D9" w:rsidRPr="003478AF">
        <w:t>ych</w:t>
      </w:r>
      <w:r w:rsidRPr="003478AF">
        <w:t>. Ważne będzie również dostosowanie infrastruktury pod mobilne stacje tankowania.</w:t>
      </w:r>
    </w:p>
    <w:p w14:paraId="1755500F" w14:textId="77777777" w:rsidR="00F901B6" w:rsidRPr="003478AF" w:rsidRDefault="00F901B6" w:rsidP="00F901B6">
      <w:r w:rsidRPr="003478AF">
        <w:t>Inne obszary, które będą istotne dla Wielkopolski związane są z przemysłem meblarskim,</w:t>
      </w:r>
      <w:r w:rsidRPr="003478AF">
        <w:rPr>
          <w:b/>
          <w:bCs/>
        </w:rPr>
        <w:t xml:space="preserve"> </w:t>
      </w:r>
      <w:r w:rsidRPr="003478AF">
        <w:t xml:space="preserve">produkcją maszyn i urządzeń oraz elektromobilnością. </w:t>
      </w:r>
    </w:p>
    <w:p w14:paraId="3EED1B34" w14:textId="70590D53" w:rsidR="00F901B6" w:rsidRPr="003478AF" w:rsidRDefault="00F901B6" w:rsidP="00F901B6">
      <w:r w:rsidRPr="003478AF">
        <w:t xml:space="preserve">Jednym z kluczowych czynników rozwoju w przemyśle meblarskim może okazać się </w:t>
      </w:r>
      <w:r w:rsidRPr="003478AF">
        <w:rPr>
          <w:b/>
          <w:bCs/>
        </w:rPr>
        <w:t>automatyzacja i robotyzacja procesów produkcji</w:t>
      </w:r>
      <w:r w:rsidRPr="003478AF">
        <w:t xml:space="preserve">, zwłaszcza w obliczu braków na rynku pracy wykwalifikowanej kadry. Zautomatyzowanie produkcji wpływa nie tylko na większą wydajność i lepszą jakość produktu, ale również na zmniejszenie zużycia zasobów ważnych </w:t>
      </w:r>
      <w:r w:rsidRPr="003478AF">
        <w:br/>
        <w:t>z punktu widzenia ochrony środowiska, np. wod</w:t>
      </w:r>
      <w:r w:rsidR="00AC19D9" w:rsidRPr="003478AF">
        <w:t>y</w:t>
      </w:r>
      <w:r w:rsidRPr="003478AF">
        <w:t xml:space="preserve">. </w:t>
      </w:r>
    </w:p>
    <w:p w14:paraId="293965DF" w14:textId="77777777" w:rsidR="00F901B6" w:rsidRPr="003478AF" w:rsidRDefault="00F901B6" w:rsidP="00F901B6">
      <w:r w:rsidRPr="003478AF">
        <w:t xml:space="preserve">W zakresie produkcji maszyn i urządzeń należy zwrócić uwagę na rosnącą popularność </w:t>
      </w:r>
      <w:r w:rsidRPr="003478AF">
        <w:rPr>
          <w:b/>
          <w:bCs/>
        </w:rPr>
        <w:t>odnawialnych źródeł energii</w:t>
      </w:r>
      <w:r w:rsidRPr="003478AF">
        <w:t xml:space="preserve">, poprzez projektowanie, opracowywanie i produkcję technologii wykorzystujących OZE do produkcji energii, tj. paneli fotowoltaicznych, turbin wiatrowych, turbin wodnych. Zwiększenie zaangażowania regionu w tym zakresie mogłoby zwiększyć konkurencyjność polskich dostawców na rynkach międzynarodowych. Drugim ważnym aspektem jest </w:t>
      </w:r>
      <w:r w:rsidRPr="003478AF">
        <w:rPr>
          <w:b/>
          <w:bCs/>
        </w:rPr>
        <w:t>cyfryzacja i integracja elektroniczna nowych maszyn i urządzeń</w:t>
      </w:r>
      <w:r w:rsidRPr="003478AF">
        <w:t xml:space="preserve"> </w:t>
      </w:r>
      <w:r w:rsidRPr="003478AF">
        <w:br/>
        <w:t xml:space="preserve">w ramach koncepcji Internetu Rzeczy. Wyposażenie coraz większej ilości urządzeń elektronicznych w nowoczesne oprogramowanie pozwalające na zdalne sterowanie </w:t>
      </w:r>
      <w:r w:rsidRPr="003478AF">
        <w:br/>
        <w:t xml:space="preserve">i bezprzewodową komunikację, pozwala zwiększyć efektywność i obniżyć zużycie zasobów </w:t>
      </w:r>
      <w:r w:rsidRPr="003478AF">
        <w:br/>
        <w:t>i energii.</w:t>
      </w:r>
    </w:p>
    <w:p w14:paraId="1A05D689" w14:textId="499CBC51" w:rsidR="00F901B6" w:rsidRPr="003478AF" w:rsidRDefault="00F901B6" w:rsidP="00F901B6">
      <w:r w:rsidRPr="003478AF">
        <w:t xml:space="preserve">W zakresie </w:t>
      </w:r>
      <w:r w:rsidRPr="003478AF">
        <w:rPr>
          <w:b/>
          <w:bCs/>
        </w:rPr>
        <w:t>elektromobilności</w:t>
      </w:r>
      <w:r w:rsidRPr="003478AF">
        <w:t xml:space="preserve"> </w:t>
      </w:r>
      <w:bookmarkEnd w:id="102"/>
      <w:r w:rsidRPr="003478AF">
        <w:t xml:space="preserve">należy rozwijać infrastrukturę dla pojazdów elektrycznych. Na świecie istnieje obecnie silny trend zmiany z pojazdów z silnikami spalinowymi w kierunku pojazdów elektrycznych. Rozwój rynku pojazdów </w:t>
      </w:r>
      <w:r w:rsidR="00AC19D9" w:rsidRPr="003478AF">
        <w:t>elektrycznych (</w:t>
      </w:r>
      <w:r w:rsidRPr="003478AF">
        <w:t>EV</w:t>
      </w:r>
      <w:r w:rsidR="00AC19D9" w:rsidRPr="003478AF">
        <w:t xml:space="preserve"> – ang. </w:t>
      </w:r>
      <w:r w:rsidR="00AC19D9" w:rsidRPr="003478AF">
        <w:rPr>
          <w:i/>
        </w:rPr>
        <w:t>electric vehicle</w:t>
      </w:r>
      <w:r w:rsidR="00AC19D9" w:rsidRPr="003478AF">
        <w:t>)</w:t>
      </w:r>
      <w:r w:rsidRPr="003478AF">
        <w:t xml:space="preserve"> jest silnie uzależniony od dostępności stacji ładowania. Ilość tego typu </w:t>
      </w:r>
      <w:r w:rsidRPr="003478AF">
        <w:lastRenderedPageBreak/>
        <w:t>samochodów osobowych dynamicznie rośnie w ostatnich latach. Szeroko propagowane jest między innymi tworzenie stref w miastach z możliwością wjazdu jedynie dla samochodów EV, co ma wspierać działania w celu poprawy jakości powietrza. Zachęty dla nowych nabywców samochodów elektrycznych obejmują również m.in. udostępnianie do ruchu tzw. buspasów.</w:t>
      </w:r>
    </w:p>
    <w:p w14:paraId="6D03F3EC" w14:textId="77777777" w:rsidR="00F901B6" w:rsidRPr="003478AF" w:rsidRDefault="00F901B6" w:rsidP="00F901B6">
      <w:r w:rsidRPr="003478AF">
        <w:t xml:space="preserve">Rozwój innowacji dla każdego z omawianych obszarów wymaga współpracy </w:t>
      </w:r>
      <w:r w:rsidRPr="003478AF">
        <w:br/>
        <w:t>z jednostkami naukowymi. Powinny być realizowane interdyscyplinarne projekty badawczo-rozwojowe. Dofinansowania nadal wymaga infrastruktura badawczo-rozwojowa.</w:t>
      </w:r>
    </w:p>
    <w:p w14:paraId="4BB1A0BE" w14:textId="77777777" w:rsidR="00F901B6" w:rsidRPr="003478AF" w:rsidRDefault="00F901B6" w:rsidP="00F901B6">
      <w:r w:rsidRPr="003478AF">
        <w:t xml:space="preserve">Wiele z proponowanych kierunków rozwoju województwa wielkopolskiego dotyczyło wszystkich analizowanych obszarów. Wielu ekspertów podkreślało bardzo dużą rolę jaką ma do odegrania </w:t>
      </w:r>
      <w:r w:rsidRPr="003478AF">
        <w:rPr>
          <w:b/>
          <w:bCs/>
        </w:rPr>
        <w:t>ekoprojektowanie.</w:t>
      </w:r>
      <w:r w:rsidRPr="003478AF">
        <w:t xml:space="preserve"> Produkty, w tym również opakowania, powinny zostać zaprojektowane w taki sposób, aby nadawały się do recyklingu lub ponownego użycia, dzięki czemu łatwiejsze i mniej kosztowne staje się gospodarowanie odpadami, zarówno w wymiarze ekonomicznym, jak również środowiskowym i społecznym. Mowa jest o</w:t>
      </w:r>
      <w:r w:rsidRPr="003478AF">
        <w:rPr>
          <w:rStyle w:val="Odwoanieprzypisudolnego"/>
        </w:rPr>
        <w:footnoteReference w:id="152"/>
      </w:r>
      <w:r w:rsidRPr="003478AF">
        <w:t>:</w:t>
      </w:r>
    </w:p>
    <w:p w14:paraId="7870642C" w14:textId="77777777" w:rsidR="00F901B6" w:rsidRPr="003478AF" w:rsidRDefault="00F901B6" w:rsidP="00B13D49">
      <w:pPr>
        <w:numPr>
          <w:ilvl w:val="0"/>
          <w:numId w:val="14"/>
        </w:numPr>
      </w:pPr>
      <w:r w:rsidRPr="003478AF">
        <w:t>Tworzeniu zasobooszczędnych i efektywnych energetycznie wyrobów nowych, ulepszonych, przerobionych czy odnowionych</w:t>
      </w:r>
    </w:p>
    <w:p w14:paraId="0ABFF34F" w14:textId="77777777" w:rsidR="00F901B6" w:rsidRPr="003478AF" w:rsidRDefault="00F901B6" w:rsidP="00B13D49">
      <w:pPr>
        <w:numPr>
          <w:ilvl w:val="0"/>
          <w:numId w:val="14"/>
        </w:numPr>
      </w:pPr>
      <w:r w:rsidRPr="003478AF">
        <w:t>Tworzeniu wyrobów z zastosowaniem surowców odzyskanych z odpadów i ścieków</w:t>
      </w:r>
    </w:p>
    <w:p w14:paraId="00E5D2FA" w14:textId="77777777" w:rsidR="00F901B6" w:rsidRPr="003478AF" w:rsidRDefault="00F901B6" w:rsidP="00B13D49">
      <w:pPr>
        <w:numPr>
          <w:ilvl w:val="0"/>
          <w:numId w:val="14"/>
        </w:numPr>
      </w:pPr>
      <w:r w:rsidRPr="003478AF">
        <w:t>Zwiększaniu trwałości i wydłużenie życia stosowanych urządzeń oraz wyrobów</w:t>
      </w:r>
    </w:p>
    <w:p w14:paraId="0BDB79EB" w14:textId="77777777" w:rsidR="00F901B6" w:rsidRPr="003478AF" w:rsidRDefault="00F901B6" w:rsidP="00B13D49">
      <w:pPr>
        <w:numPr>
          <w:ilvl w:val="0"/>
          <w:numId w:val="14"/>
        </w:numPr>
      </w:pPr>
      <w:r w:rsidRPr="003478AF">
        <w:t xml:space="preserve">Zapewnianiu zamienników dla substancji niebezpiecznych, skomplikowanych </w:t>
      </w:r>
      <w:r w:rsidRPr="003478AF">
        <w:br/>
        <w:t>i uciążliwych w procesie recyklingu</w:t>
      </w:r>
    </w:p>
    <w:p w14:paraId="7DE0EF94" w14:textId="77777777" w:rsidR="00F901B6" w:rsidRPr="003478AF" w:rsidRDefault="00F901B6" w:rsidP="00B13D49">
      <w:pPr>
        <w:numPr>
          <w:ilvl w:val="0"/>
          <w:numId w:val="14"/>
        </w:numPr>
      </w:pPr>
      <w:r w:rsidRPr="003478AF">
        <w:t>Rozwoju substytutów dla surowców nieodnawialnych i wody</w:t>
      </w:r>
    </w:p>
    <w:p w14:paraId="395409D9" w14:textId="5F7E9E0C" w:rsidR="00F901B6" w:rsidRPr="003478AF" w:rsidRDefault="00F901B6" w:rsidP="00B13D49">
      <w:pPr>
        <w:numPr>
          <w:ilvl w:val="0"/>
          <w:numId w:val="14"/>
        </w:numPr>
      </w:pPr>
      <w:r w:rsidRPr="003478AF">
        <w:t xml:space="preserve">Zapewnianiu nowego zastosowania </w:t>
      </w:r>
      <w:r w:rsidR="00A85042" w:rsidRPr="003478AF">
        <w:t>lub</w:t>
      </w:r>
      <w:r w:rsidRPr="003478AF">
        <w:t xml:space="preserve"> ponownego wykorzystania wyrobów, ich części, materiałów.</w:t>
      </w:r>
    </w:p>
    <w:p w14:paraId="680A9C7A" w14:textId="77777777" w:rsidR="00F901B6" w:rsidRPr="003478AF" w:rsidRDefault="00F901B6" w:rsidP="00F901B6">
      <w:r w:rsidRPr="003478AF">
        <w:t xml:space="preserve">Kolejna równie ważna kwestia rozwoju GOZ dotyczy </w:t>
      </w:r>
      <w:r w:rsidRPr="003478AF">
        <w:rPr>
          <w:b/>
          <w:bCs/>
        </w:rPr>
        <w:t>edukacji i wzrost świadomości społeczeństwa</w:t>
      </w:r>
      <w:r w:rsidRPr="003478AF">
        <w:t>.</w:t>
      </w:r>
    </w:p>
    <w:p w14:paraId="7A21DB91" w14:textId="01AFBC1C" w:rsidR="00F901B6" w:rsidRPr="003478AF" w:rsidRDefault="00F901B6" w:rsidP="00F901B6">
      <w:r w:rsidRPr="003478AF">
        <w:t xml:space="preserve">Wdrażanie rozwiązań GOZ jest utrudnione przez szereg barier. Eksperci wskazują, że największą z nich jest niska świadomość uczestników rynku – zarówno przedsiębiorców jak </w:t>
      </w:r>
      <w:r w:rsidRPr="003478AF">
        <w:br/>
        <w:t>i konsumentów. Kampanie informacyjne powinny być kierowane do szeroko rozumianej opinii publicznej. Należy wskazywać zarówno na ekonomiczny, społeczny oraz środowiskowy wymiar wykorzystania zasobów.</w:t>
      </w:r>
      <w:r w:rsidR="00E5109D" w:rsidRPr="003478AF">
        <w:t xml:space="preserve"> </w:t>
      </w:r>
    </w:p>
    <w:p w14:paraId="7FF1556A" w14:textId="12D83A50" w:rsidR="00F901B6" w:rsidRPr="003478AF" w:rsidRDefault="00F901B6" w:rsidP="00F901B6">
      <w:r w:rsidRPr="003478AF">
        <w:t>Pozostałe wskazania w zakresie GOZ dotyczyły certyfikowania firm na poziomie regionalnym, tworzeni</w:t>
      </w:r>
      <w:r w:rsidR="001774C5" w:rsidRPr="003478AF">
        <w:t>a</w:t>
      </w:r>
      <w:r w:rsidRPr="003478AF">
        <w:t xml:space="preserve"> baz danych firm, organizowani</w:t>
      </w:r>
      <w:r w:rsidR="001774C5" w:rsidRPr="003478AF">
        <w:t>a</w:t>
      </w:r>
      <w:r w:rsidRPr="003478AF">
        <w:t xml:space="preserve"> międzynarodowych wydarzeń i wizyt studyjnych. Na poziomie lokalnym (gminy/miasta) zaproponowano możliwość dofinansowania planów GOZ. Mogłyby to być Mapy drogowe GOZ gmin, które chcą zorganizować swój system zarządzania odpadami w taki sposób, by produkować ich jak najmniej. Gminy nie mają obowiązku posiadania Map drogowych GOZ jednak jest to niezbędne, aby nowy model gospodarczy miał kompleksową i spójną podstawę oraz realizowany był na wszystkich szczeblach – począwszy od unijnego, poprzez państwa członkowskie, a skończywszy na regionach, województwach i gminach.</w:t>
      </w:r>
    </w:p>
    <w:p w14:paraId="48103EA4" w14:textId="0C41CFBB" w:rsidR="00F901B6" w:rsidRPr="003478AF" w:rsidRDefault="00F901B6" w:rsidP="00F901B6">
      <w:r w:rsidRPr="003478AF">
        <w:t>Niektórzy ze wskazanych odbiorców będą mogli aplikować o środki fi</w:t>
      </w:r>
      <w:r w:rsidR="00DB5DB9" w:rsidRPr="003478AF">
        <w:t>n</w:t>
      </w:r>
      <w:r w:rsidRPr="003478AF">
        <w:t>an</w:t>
      </w:r>
      <w:r w:rsidR="00DB5DB9" w:rsidRPr="003478AF">
        <w:t>s</w:t>
      </w:r>
      <w:r w:rsidRPr="003478AF">
        <w:t>owe w nowym okresie programowania w Wielkopolsce, tym samy</w:t>
      </w:r>
      <w:r w:rsidR="00DB5DB9" w:rsidRPr="003478AF">
        <w:t>m</w:t>
      </w:r>
      <w:r w:rsidRPr="003478AF">
        <w:t xml:space="preserve"> należałoby dopracować kryteria wyboru projektów z danej dziedziny. Poniżej przedstawiono przykładowe kryteria wyboru projektów. Przy czym należy wziąć pod uwagę, iż powinny one korespondować z zakresem projektu np. </w:t>
      </w:r>
      <w:r w:rsidRPr="003478AF">
        <w:lastRenderedPageBreak/>
        <w:t>odpady komunalne, OZE, itp. Istotne będzie nawiązanie kryteriów do zaproponowanych wskaźników do konkursu (więcej rozdz. 7).</w:t>
      </w:r>
    </w:p>
    <w:p w14:paraId="323FFDFC" w14:textId="04753A88" w:rsidR="00F901B6" w:rsidRPr="003478AF" w:rsidRDefault="00F901B6" w:rsidP="00F901B6">
      <w:r w:rsidRPr="003478AF">
        <w:t>Poniżej zaproponowano przykładowe kryteria nawiązujące do GOZ, które można wykorzystać w przygotowywaniu kryteriów danego konkursu. Przykładowo mogą to być</w:t>
      </w:r>
      <w:r w:rsidR="002B5A18" w:rsidRPr="003478AF">
        <w:t xml:space="preserve"> następujące zasady wsparcia</w:t>
      </w:r>
      <w:r w:rsidRPr="003478AF">
        <w:t>:</w:t>
      </w:r>
    </w:p>
    <w:p w14:paraId="5BFF6F4E" w14:textId="178221A1" w:rsidR="00F901B6" w:rsidRPr="003478AF" w:rsidRDefault="00F901B6" w:rsidP="00B13D49">
      <w:pPr>
        <w:numPr>
          <w:ilvl w:val="0"/>
          <w:numId w:val="17"/>
        </w:numPr>
      </w:pPr>
      <w:r w:rsidRPr="003478AF">
        <w:t xml:space="preserve">Projekt zawiera wyczerpująco opisane idee GOZ dotyczące cyklu życia produktu </w:t>
      </w:r>
      <w:r w:rsidR="00075829" w:rsidRPr="003478AF">
        <w:br/>
      </w:r>
      <w:r w:rsidRPr="003478AF">
        <w:t xml:space="preserve">tj. projektowanie, wytwarzanie, użytkowanie, zagospodarowanie odpadów </w:t>
      </w:r>
      <w:r w:rsidR="00A85042" w:rsidRPr="003478AF">
        <w:t>lub</w:t>
      </w:r>
      <w:r w:rsidRPr="003478AF">
        <w:t xml:space="preserve"> model biznesowy</w:t>
      </w:r>
    </w:p>
    <w:p w14:paraId="715DFD77" w14:textId="77777777" w:rsidR="00F901B6" w:rsidRPr="003478AF" w:rsidRDefault="00F901B6" w:rsidP="00B13D49">
      <w:pPr>
        <w:numPr>
          <w:ilvl w:val="0"/>
          <w:numId w:val="17"/>
        </w:numPr>
      </w:pPr>
      <w:r w:rsidRPr="003478AF">
        <w:t>Realizacja projektu powoduje:</w:t>
      </w:r>
    </w:p>
    <w:p w14:paraId="3DD1C148" w14:textId="7650ED36" w:rsidR="00F901B6" w:rsidRPr="003478AF" w:rsidRDefault="00F901B6" w:rsidP="00B13D49">
      <w:pPr>
        <w:numPr>
          <w:ilvl w:val="0"/>
          <w:numId w:val="18"/>
        </w:numPr>
      </w:pPr>
      <w:r w:rsidRPr="003478AF">
        <w:t>zwiększeni</w:t>
      </w:r>
      <w:r w:rsidR="002B5A18" w:rsidRPr="003478AF">
        <w:t>e</w:t>
      </w:r>
      <w:r w:rsidRPr="003478AF">
        <w:t xml:space="preserve"> ilości surowców możliwych do ponownego wykorzystania lub</w:t>
      </w:r>
    </w:p>
    <w:p w14:paraId="32F0B528" w14:textId="19A914A6" w:rsidR="00F901B6" w:rsidRPr="003478AF" w:rsidRDefault="00F901B6" w:rsidP="00B13D49">
      <w:pPr>
        <w:numPr>
          <w:ilvl w:val="0"/>
          <w:numId w:val="18"/>
        </w:numPr>
      </w:pPr>
      <w:r w:rsidRPr="003478AF">
        <w:t>zmniejszeni</w:t>
      </w:r>
      <w:r w:rsidR="002B5A18" w:rsidRPr="003478AF">
        <w:t>e</w:t>
      </w:r>
      <w:r w:rsidRPr="003478AF">
        <w:t xml:space="preserve"> ilości surowców wykorzystywanych przez podmiot w procesach bezpośrednio związanych z jego działalnością lub </w:t>
      </w:r>
    </w:p>
    <w:p w14:paraId="57629CBE" w14:textId="0689EAAB" w:rsidR="00F901B6" w:rsidRPr="003478AF" w:rsidRDefault="00F901B6" w:rsidP="00B13D49">
      <w:pPr>
        <w:numPr>
          <w:ilvl w:val="0"/>
          <w:numId w:val="18"/>
        </w:numPr>
      </w:pPr>
      <w:r w:rsidRPr="003478AF">
        <w:t>zmniejszeni</w:t>
      </w:r>
      <w:r w:rsidR="002B5A18" w:rsidRPr="003478AF">
        <w:t>e</w:t>
      </w:r>
      <w:r w:rsidRPr="003478AF">
        <w:t xml:space="preserve"> ilości surowców będących pozostałością po procesach związanych z działalnością podmiotu</w:t>
      </w:r>
      <w:r w:rsidRPr="003478AF">
        <w:rPr>
          <w:rStyle w:val="Odwoanieprzypisudolnego"/>
        </w:rPr>
        <w:footnoteReference w:id="153"/>
      </w:r>
      <w:r w:rsidRPr="003478AF">
        <w:t xml:space="preserve"> lub</w:t>
      </w:r>
    </w:p>
    <w:p w14:paraId="7D23FD5C" w14:textId="73FC44BC" w:rsidR="00F901B6" w:rsidRPr="003478AF" w:rsidRDefault="00F901B6" w:rsidP="00B13D49">
      <w:pPr>
        <w:numPr>
          <w:ilvl w:val="0"/>
          <w:numId w:val="18"/>
        </w:numPr>
      </w:pPr>
      <w:r w:rsidRPr="003478AF">
        <w:t>ogranicz</w:t>
      </w:r>
      <w:r w:rsidR="002B5A18" w:rsidRPr="003478AF">
        <w:t>a</w:t>
      </w:r>
      <w:r w:rsidRPr="003478AF">
        <w:t>nie wodochłonności procesu produkcyjnego lub</w:t>
      </w:r>
    </w:p>
    <w:p w14:paraId="68BBB88B" w14:textId="2FE5DD5A" w:rsidR="00F901B6" w:rsidRPr="003478AF" w:rsidRDefault="00F901B6" w:rsidP="00B13D49">
      <w:pPr>
        <w:numPr>
          <w:ilvl w:val="0"/>
          <w:numId w:val="18"/>
        </w:numPr>
      </w:pPr>
      <w:r w:rsidRPr="003478AF">
        <w:t>ogranicz</w:t>
      </w:r>
      <w:r w:rsidR="002B5A18" w:rsidRPr="003478AF">
        <w:t>a</w:t>
      </w:r>
      <w:r w:rsidRPr="003478AF">
        <w:t>nie lub uniknięcie emisji dwutlenku węgla.</w:t>
      </w:r>
    </w:p>
    <w:p w14:paraId="04A38BBC" w14:textId="59AE164D" w:rsidR="00F901B6" w:rsidRPr="003478AF" w:rsidRDefault="00F901B6" w:rsidP="00B13D49">
      <w:pPr>
        <w:numPr>
          <w:ilvl w:val="0"/>
          <w:numId w:val="17"/>
        </w:numPr>
      </w:pPr>
      <w:r w:rsidRPr="003478AF">
        <w:t xml:space="preserve">Cena ilościowa i jakościowa uwzględniająca skalę oddziaływania na środowisko </w:t>
      </w:r>
      <w:r w:rsidR="00075829" w:rsidRPr="003478AF">
        <w:br/>
      </w:r>
      <w:r w:rsidRPr="003478AF">
        <w:t>i opłacalność proponowanych rozwiązań. Pod uwagę brane będą też efekty spowodowane przez projekt u innych podmiotów niż wnioskodawca.</w:t>
      </w:r>
    </w:p>
    <w:p w14:paraId="1134599B" w14:textId="069A63C3" w:rsidR="00F901B6" w:rsidRPr="003478AF" w:rsidRDefault="00F901B6" w:rsidP="00B13D49">
      <w:pPr>
        <w:numPr>
          <w:ilvl w:val="0"/>
          <w:numId w:val="17"/>
        </w:numPr>
      </w:pPr>
      <w:r w:rsidRPr="003478AF">
        <w:t xml:space="preserve">Realizacja projektu powoduje zwiększenie udział energii ze źródeł odnawialnych </w:t>
      </w:r>
      <w:r w:rsidR="00075829" w:rsidRPr="003478AF">
        <w:br/>
      </w:r>
      <w:r w:rsidRPr="003478AF">
        <w:t>w końcowym zużyciu energii</w:t>
      </w:r>
      <w:r w:rsidRPr="003478AF">
        <w:rPr>
          <w:i/>
          <w:iCs/>
        </w:rPr>
        <w:t xml:space="preserve"> </w:t>
      </w:r>
      <w:r w:rsidRPr="003478AF">
        <w:t>brutto</w:t>
      </w:r>
    </w:p>
    <w:p w14:paraId="205E4C87" w14:textId="77777777" w:rsidR="00F901B6" w:rsidRPr="003478AF" w:rsidRDefault="00F901B6" w:rsidP="00B13D49">
      <w:pPr>
        <w:numPr>
          <w:ilvl w:val="0"/>
          <w:numId w:val="17"/>
        </w:numPr>
      </w:pPr>
      <w:r w:rsidRPr="003478AF">
        <w:t>Realizacja projektu powoduje zwiększenie ilości ponownie wykorzystanych oczyszczonych ścieków.</w:t>
      </w:r>
    </w:p>
    <w:p w14:paraId="5CAA99E1" w14:textId="77777777" w:rsidR="00F901B6" w:rsidRPr="003478AF" w:rsidRDefault="00F901B6" w:rsidP="00B13D49">
      <w:pPr>
        <w:numPr>
          <w:ilvl w:val="0"/>
          <w:numId w:val="17"/>
        </w:numPr>
      </w:pPr>
      <w:r w:rsidRPr="003478AF">
        <w:t xml:space="preserve">Utworzenie nowych miejsc pracy wdrażających politykę GOZ. </w:t>
      </w:r>
    </w:p>
    <w:p w14:paraId="17DE277B" w14:textId="77777777" w:rsidR="00F901B6" w:rsidRPr="003478AF" w:rsidRDefault="00F901B6" w:rsidP="00B13D49">
      <w:pPr>
        <w:numPr>
          <w:ilvl w:val="0"/>
          <w:numId w:val="17"/>
        </w:numPr>
      </w:pPr>
      <w:r w:rsidRPr="003478AF">
        <w:t>Działania informacyjno-edukacyjne – zidentyfikowano grupę docelową, zaplanowane działania są adekwatne do potrzeb grupy docelowej, zapewniają skuteczne dotarcie do niej, są powiązane z pozostałymi działaniami ujętymi w projekcie.</w:t>
      </w:r>
    </w:p>
    <w:p w14:paraId="409D4BE3" w14:textId="77777777" w:rsidR="00F901B6" w:rsidRPr="003478AF" w:rsidRDefault="00F901B6" w:rsidP="00F901B6">
      <w:pPr>
        <w:ind w:firstLine="0"/>
      </w:pPr>
    </w:p>
    <w:p w14:paraId="75ED8CE6" w14:textId="77777777" w:rsidR="00073078" w:rsidRPr="003478AF" w:rsidRDefault="00073078">
      <w:pPr>
        <w:spacing w:line="240" w:lineRule="auto"/>
        <w:ind w:firstLine="0"/>
        <w:jc w:val="left"/>
      </w:pPr>
      <w:r w:rsidRPr="003478AF">
        <w:br w:type="page"/>
      </w:r>
    </w:p>
    <w:p w14:paraId="53D53233" w14:textId="77777777" w:rsidR="00C977E8" w:rsidRPr="003478AF" w:rsidRDefault="00C977E8" w:rsidP="00C977E8"/>
    <w:p w14:paraId="0C3E1552" w14:textId="580F08E6" w:rsidR="00E662C5" w:rsidRPr="003478AF" w:rsidRDefault="00073078">
      <w:pPr>
        <w:pStyle w:val="Nagwek1"/>
      </w:pPr>
      <w:bookmarkStart w:id="103" w:name="_Toc82160009"/>
      <w:r w:rsidRPr="003478AF">
        <w:t>Podsumowanie</w:t>
      </w:r>
      <w:bookmarkEnd w:id="103"/>
    </w:p>
    <w:p w14:paraId="02A5250A" w14:textId="69CB63AF" w:rsidR="00971902" w:rsidRPr="003478AF" w:rsidRDefault="00971902" w:rsidP="00B13D49">
      <w:pPr>
        <w:pStyle w:val="Akapitzlist"/>
        <w:numPr>
          <w:ilvl w:val="0"/>
          <w:numId w:val="31"/>
        </w:numPr>
        <w:spacing w:after="40"/>
        <w:ind w:left="714" w:hanging="357"/>
      </w:pPr>
      <w:r w:rsidRPr="003478AF">
        <w:t>Gospodarka obiegu zamkniętego dąży do jak najdłuższego utrzymania w obiegu gospodarczym materiałów, surowców i wartości produktu oraz minimalizacji ilości wytworzonych odpadów. Realizacja tych celów w Wielkopolsce znajduje się na stosunkowo niskim poziomie. Eksperci i przedstawiciele firm stwierdzili, że w celu poprawy tego stanu konieczne jest wprowadzenie odpowiednich regulacji prawnych, zachęt finansowych. Konieczna jest także edukacja społeczeństwa.</w:t>
      </w:r>
    </w:p>
    <w:p w14:paraId="148A9008" w14:textId="77777777" w:rsidR="00971902" w:rsidRPr="003478AF" w:rsidRDefault="00971902" w:rsidP="00B13D49">
      <w:pPr>
        <w:pStyle w:val="Akapitzlist"/>
        <w:numPr>
          <w:ilvl w:val="0"/>
          <w:numId w:val="31"/>
        </w:numPr>
        <w:spacing w:after="40"/>
        <w:ind w:left="714" w:hanging="357"/>
        <w:rPr>
          <w:rFonts w:cs="Arial"/>
          <w:szCs w:val="20"/>
        </w:rPr>
      </w:pPr>
      <w:r w:rsidRPr="003478AF">
        <w:rPr>
          <w:rFonts w:cs="Arial"/>
          <w:szCs w:val="20"/>
        </w:rPr>
        <w:t>Realizacja założeń GOZ jest utrudniona przez zróżnicowane bariery. Wśród głównych ograniczeń zarówno na poziomie krajowym, jak i regionalnym wymienia się te związane z brakiem świadomości (mentalne), organizacyjne, finansowe, prawne, kadrowe (kompetencje), rynkowe oraz infrastrukturalne (technologiczne).</w:t>
      </w:r>
    </w:p>
    <w:p w14:paraId="22C43A82" w14:textId="07A6FBFC" w:rsidR="00971902" w:rsidRPr="003478AF" w:rsidRDefault="00971902" w:rsidP="00B13D49">
      <w:pPr>
        <w:pStyle w:val="Akapitzlist"/>
        <w:numPr>
          <w:ilvl w:val="0"/>
          <w:numId w:val="31"/>
        </w:numPr>
        <w:spacing w:after="40"/>
        <w:ind w:left="714" w:hanging="357"/>
      </w:pPr>
      <w:r w:rsidRPr="003478AF">
        <w:t>Ekoprojektowanie produktów uznano za bardzo ważny etap w GOZ, a także zwiększeni</w:t>
      </w:r>
      <w:r w:rsidR="00F91F56" w:rsidRPr="003478AF">
        <w:t>e</w:t>
      </w:r>
      <w:r w:rsidRPr="003478AF">
        <w:t xml:space="preserve"> efektywności i innowacyjności procesu produkcji. W celu realizacji tych założeń konieczn</w:t>
      </w:r>
      <w:r w:rsidR="00F91F56" w:rsidRPr="003478AF">
        <w:t>y</w:t>
      </w:r>
      <w:r w:rsidRPr="003478AF">
        <w:t xml:space="preserve"> jest </w:t>
      </w:r>
      <w:r w:rsidR="00F91F56" w:rsidRPr="003478AF">
        <w:t>wzrost</w:t>
      </w:r>
      <w:r w:rsidRPr="003478AF">
        <w:t xml:space="preserve"> trwałości, możliwości napraw i recyklingu produktów oraz zwiększenie zastosowania rozszerzonej odpowiedzialności producenta. </w:t>
      </w:r>
    </w:p>
    <w:p w14:paraId="5D054F29" w14:textId="5D7AF604" w:rsidR="00971902" w:rsidRPr="003478AF" w:rsidRDefault="00971902" w:rsidP="00B13D49">
      <w:pPr>
        <w:pStyle w:val="Akapitzlist"/>
        <w:numPr>
          <w:ilvl w:val="0"/>
          <w:numId w:val="31"/>
        </w:numPr>
        <w:spacing w:after="40"/>
        <w:ind w:left="714" w:hanging="357"/>
      </w:pPr>
      <w:r w:rsidRPr="003478AF">
        <w:t xml:space="preserve">Przedsiębiorcy, którzy dostrzegą przewagę konkurencyjną we wdrożeniu zasad gospodarki o obiegu zamkniętym (GOZ), zastosują jej założenia w swoim biznesie. </w:t>
      </w:r>
      <w:r w:rsidR="009605E0" w:rsidRPr="003478AF">
        <w:br/>
      </w:r>
      <w:r w:rsidRPr="003478AF">
        <w:rPr>
          <w:rFonts w:cs="Arial"/>
          <w:szCs w:val="20"/>
        </w:rPr>
        <w:t>W uzyskiwaniu przewagi konkurencyjnej pomocne będzie stopniowe wprowadzanie nowych usług/produktów, zatrudnienie czy też zaangażowanie wysoko wyspecjalizowanej kadry i automatyzacja procesu produkcyjnego.</w:t>
      </w:r>
    </w:p>
    <w:p w14:paraId="564EB356" w14:textId="7FDC9E24" w:rsidR="00971902" w:rsidRPr="003478AF" w:rsidRDefault="00971902" w:rsidP="00B13D49">
      <w:pPr>
        <w:pStyle w:val="Tekstkomentarza"/>
        <w:numPr>
          <w:ilvl w:val="0"/>
          <w:numId w:val="31"/>
        </w:numPr>
        <w:spacing w:after="40" w:line="276" w:lineRule="auto"/>
        <w:ind w:left="714" w:hanging="357"/>
        <w:contextualSpacing/>
        <w:rPr>
          <w:rFonts w:ascii="Arial" w:hAnsi="Arial" w:cs="Arial"/>
        </w:rPr>
      </w:pPr>
      <w:r w:rsidRPr="003478AF">
        <w:rPr>
          <w:rFonts w:ascii="Arial" w:hAnsi="Arial" w:cs="Arial"/>
        </w:rPr>
        <w:t xml:space="preserve">Według ekspertów to właśnie gospodarka odpadami komunalnymi i przemysłowymi jest kluczowym elementem wpisującym się we wszystkie branże np. odpady </w:t>
      </w:r>
      <w:r w:rsidR="00F91F56" w:rsidRPr="003478AF">
        <w:rPr>
          <w:rFonts w:ascii="Arial" w:hAnsi="Arial" w:cs="Arial"/>
        </w:rPr>
        <w:br/>
      </w:r>
      <w:r w:rsidRPr="003478AF">
        <w:rPr>
          <w:rFonts w:ascii="Arial" w:hAnsi="Arial" w:cs="Arial"/>
        </w:rPr>
        <w:t xml:space="preserve">z produkcji mebli w przetwórstwie przemysłowym. Wśród pozostałych wymieniono: energetykę (biogazownie, produkcja wodoru), gospodarkę zasobami, produkcję przemysłową, rolnictwo i przemysł rolno-spożywczy, zrównoważone budownictwo </w:t>
      </w:r>
      <w:r w:rsidR="00F91F56" w:rsidRPr="003478AF">
        <w:rPr>
          <w:rFonts w:ascii="Arial" w:hAnsi="Arial" w:cs="Arial"/>
        </w:rPr>
        <w:br/>
      </w:r>
      <w:r w:rsidRPr="003478AF">
        <w:rPr>
          <w:rFonts w:ascii="Arial" w:hAnsi="Arial" w:cs="Arial"/>
        </w:rPr>
        <w:t xml:space="preserve">i transport, a także edukację. Ponadto podkreślano znaczenie Przemysłu 4.0 </w:t>
      </w:r>
      <w:r w:rsidR="00F91F56" w:rsidRPr="003478AF">
        <w:rPr>
          <w:rFonts w:ascii="Arial" w:hAnsi="Arial" w:cs="Arial"/>
        </w:rPr>
        <w:br/>
      </w:r>
      <w:r w:rsidRPr="003478AF">
        <w:rPr>
          <w:rFonts w:ascii="Arial" w:hAnsi="Arial" w:cs="Arial"/>
        </w:rPr>
        <w:t xml:space="preserve">i </w:t>
      </w:r>
      <w:bookmarkStart w:id="104" w:name="_Hlk77089649"/>
      <w:r w:rsidRPr="003478AF">
        <w:rPr>
          <w:rFonts w:ascii="Arial" w:hAnsi="Arial" w:cs="Arial"/>
        </w:rPr>
        <w:t>komplementarne z nim rozwiązania informatyczne np. Big Data, które również mają zastosowanie we wszystkich analizowanych branżach</w:t>
      </w:r>
      <w:bookmarkEnd w:id="104"/>
      <w:r w:rsidRPr="003478AF">
        <w:rPr>
          <w:rFonts w:ascii="Arial" w:hAnsi="Arial" w:cs="Arial"/>
        </w:rPr>
        <w:t>.</w:t>
      </w:r>
    </w:p>
    <w:p w14:paraId="7BC3EB13" w14:textId="744542E7" w:rsidR="00971902" w:rsidRPr="003478AF" w:rsidRDefault="00971902" w:rsidP="00B13D49">
      <w:pPr>
        <w:pStyle w:val="Tekstkomentarza"/>
        <w:numPr>
          <w:ilvl w:val="0"/>
          <w:numId w:val="31"/>
        </w:numPr>
        <w:spacing w:after="40" w:line="276" w:lineRule="auto"/>
        <w:ind w:left="714" w:hanging="357"/>
        <w:contextualSpacing/>
        <w:rPr>
          <w:rFonts w:ascii="Arial" w:hAnsi="Arial" w:cs="Arial"/>
        </w:rPr>
      </w:pPr>
      <w:r w:rsidRPr="003478AF">
        <w:rPr>
          <w:rFonts w:ascii="Arial" w:hAnsi="Arial" w:cs="Arial"/>
        </w:rPr>
        <w:t>Innowacje</w:t>
      </w:r>
      <w:r w:rsidR="001604DF" w:rsidRPr="003478AF">
        <w:rPr>
          <w:rFonts w:ascii="Arial" w:hAnsi="Arial" w:cs="Arial"/>
        </w:rPr>
        <w:t xml:space="preserve"> </w:t>
      </w:r>
      <w:r w:rsidRPr="003478AF">
        <w:rPr>
          <w:rFonts w:ascii="Arial" w:hAnsi="Arial" w:cs="Arial"/>
        </w:rPr>
        <w:t>pozw</w:t>
      </w:r>
      <w:r w:rsidR="00C817F6" w:rsidRPr="003478AF">
        <w:rPr>
          <w:rFonts w:ascii="Arial" w:hAnsi="Arial" w:cs="Arial"/>
        </w:rPr>
        <w:t>alają</w:t>
      </w:r>
      <w:r w:rsidRPr="003478AF">
        <w:rPr>
          <w:rFonts w:ascii="Arial" w:hAnsi="Arial" w:cs="Arial"/>
        </w:rPr>
        <w:t xml:space="preserve"> na transformację do zasobooszczędnego modelu GOZ.  Na podstawie wywiadów przeprowadzonych z ekspertami wskazano trzy kierunki rozwoju innowacyjności w województwie wielkopolskim. Są to: przetwarzania bioodpadów na energię i biopaliwa, ekologiczne budownictwo i inteligentne opakowania.</w:t>
      </w:r>
    </w:p>
    <w:p w14:paraId="02B89641" w14:textId="71FE721E" w:rsidR="00971902" w:rsidRPr="003478AF" w:rsidRDefault="00971902" w:rsidP="00B13D49">
      <w:pPr>
        <w:pStyle w:val="Tekstkomentarza"/>
        <w:numPr>
          <w:ilvl w:val="0"/>
          <w:numId w:val="31"/>
        </w:numPr>
        <w:spacing w:after="40" w:line="276" w:lineRule="auto"/>
        <w:ind w:left="714" w:hanging="357"/>
        <w:contextualSpacing/>
        <w:rPr>
          <w:rFonts w:ascii="Arial" w:hAnsi="Arial" w:cs="Arial"/>
        </w:rPr>
      </w:pPr>
      <w:r w:rsidRPr="003478AF">
        <w:rPr>
          <w:rFonts w:ascii="Arial" w:hAnsi="Arial" w:cs="Arial"/>
        </w:rPr>
        <w:t xml:space="preserve">Działania wpisujące się w GOZ w funduszach unijnych po 2020 roku powinny wpisywać się w priorytety wynikające z Europejskiego Zielonego Ładu. Dofinasowanie powinno być przeznaczane na </w:t>
      </w:r>
    </w:p>
    <w:p w14:paraId="7E68EBDD" w14:textId="77777777" w:rsidR="00971902" w:rsidRPr="003478AF" w:rsidRDefault="00971902" w:rsidP="00B13D49">
      <w:pPr>
        <w:pStyle w:val="Akapitzlist"/>
        <w:numPr>
          <w:ilvl w:val="0"/>
          <w:numId w:val="32"/>
        </w:numPr>
        <w:spacing w:after="160" w:line="259" w:lineRule="auto"/>
        <w:ind w:left="1037" w:hanging="328"/>
        <w:jc w:val="left"/>
      </w:pPr>
      <w:r w:rsidRPr="003478AF">
        <w:t>efektywność energetyczną, w tym termomodernizację, systemy ciepłownicze, wymiany źródeł ciepła;</w:t>
      </w:r>
    </w:p>
    <w:p w14:paraId="1A2D7C98" w14:textId="77777777" w:rsidR="00971902" w:rsidRPr="003478AF" w:rsidRDefault="00971902" w:rsidP="00B13D49">
      <w:pPr>
        <w:pStyle w:val="Akapitzlist"/>
        <w:numPr>
          <w:ilvl w:val="0"/>
          <w:numId w:val="32"/>
        </w:numPr>
        <w:spacing w:after="160" w:line="259" w:lineRule="auto"/>
        <w:ind w:left="1037" w:hanging="328"/>
        <w:jc w:val="left"/>
      </w:pPr>
      <w:r w:rsidRPr="003478AF">
        <w:t>wsparcie produkcji energii OZE, w tym źródła na magazyny energii;</w:t>
      </w:r>
    </w:p>
    <w:p w14:paraId="5E118EA3" w14:textId="77777777" w:rsidR="00971902" w:rsidRPr="003478AF" w:rsidRDefault="00971902" w:rsidP="00B13D49">
      <w:pPr>
        <w:pStyle w:val="Akapitzlist"/>
        <w:numPr>
          <w:ilvl w:val="0"/>
          <w:numId w:val="32"/>
        </w:numPr>
        <w:spacing w:after="160" w:line="259" w:lineRule="auto"/>
        <w:ind w:left="1037" w:hanging="328"/>
        <w:jc w:val="left"/>
      </w:pPr>
      <w:r w:rsidRPr="003478AF">
        <w:t>wsparcie inteligentnych rozwiązań w infrastrukturze energetycznej, w tym inteligentne sieci elektroenergetyczne i gazowe, magazynowanie energii;</w:t>
      </w:r>
    </w:p>
    <w:p w14:paraId="6299DEA0" w14:textId="77777777" w:rsidR="00971902" w:rsidRPr="003478AF" w:rsidRDefault="00971902" w:rsidP="00B13D49">
      <w:pPr>
        <w:pStyle w:val="Akapitzlist"/>
        <w:numPr>
          <w:ilvl w:val="0"/>
          <w:numId w:val="32"/>
        </w:numPr>
        <w:spacing w:after="160" w:line="259" w:lineRule="auto"/>
        <w:ind w:left="1037" w:hanging="328"/>
        <w:jc w:val="left"/>
      </w:pPr>
      <w:r w:rsidRPr="003478AF">
        <w:t>przystosowanie do zmian klimatu, w tym ochronę przed suszą i powodzią;</w:t>
      </w:r>
    </w:p>
    <w:p w14:paraId="43FE910B" w14:textId="77777777" w:rsidR="00971902" w:rsidRPr="003478AF" w:rsidRDefault="00971902" w:rsidP="00B13D49">
      <w:pPr>
        <w:pStyle w:val="Akapitzlist"/>
        <w:numPr>
          <w:ilvl w:val="0"/>
          <w:numId w:val="32"/>
        </w:numPr>
        <w:spacing w:after="160" w:line="259" w:lineRule="auto"/>
        <w:ind w:left="1037" w:hanging="328"/>
        <w:jc w:val="left"/>
      </w:pPr>
      <w:r w:rsidRPr="003478AF">
        <w:t>gospodarkę odpadami i efektywne wykorzystanie zasobów, w tym zbiórkę odpadów, recykling, GOZ;</w:t>
      </w:r>
    </w:p>
    <w:p w14:paraId="180F2293" w14:textId="77777777" w:rsidR="00971902" w:rsidRPr="003478AF" w:rsidRDefault="00971902" w:rsidP="00B13D49">
      <w:pPr>
        <w:pStyle w:val="Akapitzlist"/>
        <w:numPr>
          <w:ilvl w:val="0"/>
          <w:numId w:val="32"/>
        </w:numPr>
        <w:spacing w:after="160" w:line="259" w:lineRule="auto"/>
        <w:ind w:left="1037" w:hanging="328"/>
        <w:jc w:val="left"/>
      </w:pPr>
      <w:r w:rsidRPr="003478AF">
        <w:lastRenderedPageBreak/>
        <w:t>zrównoważoną gospodarkę wodno-ściekową;</w:t>
      </w:r>
    </w:p>
    <w:p w14:paraId="17AE1122" w14:textId="77777777" w:rsidR="00971902" w:rsidRPr="003478AF" w:rsidRDefault="00971902" w:rsidP="00B13D49">
      <w:pPr>
        <w:pStyle w:val="Akapitzlist"/>
        <w:numPr>
          <w:ilvl w:val="0"/>
          <w:numId w:val="32"/>
        </w:numPr>
        <w:spacing w:after="160" w:line="259" w:lineRule="auto"/>
        <w:ind w:left="1037" w:hanging="328"/>
        <w:jc w:val="left"/>
      </w:pPr>
      <w:r w:rsidRPr="003478AF">
        <w:t>ochronę dziedzictwa przyrodniczego i różnorodność biologiczną;</w:t>
      </w:r>
    </w:p>
    <w:p w14:paraId="0BD413E1" w14:textId="20C55E66" w:rsidR="00971902" w:rsidRPr="003478AF" w:rsidRDefault="00971902" w:rsidP="00B13D49">
      <w:pPr>
        <w:pStyle w:val="Akapitzlist"/>
        <w:numPr>
          <w:ilvl w:val="0"/>
          <w:numId w:val="32"/>
        </w:numPr>
        <w:spacing w:after="160" w:line="259" w:lineRule="auto"/>
        <w:ind w:left="1037" w:hanging="328"/>
        <w:rPr>
          <w:rFonts w:cs="Arial"/>
          <w:szCs w:val="20"/>
        </w:rPr>
      </w:pPr>
      <w:r w:rsidRPr="003478AF">
        <w:rPr>
          <w:rFonts w:cs="Arial"/>
          <w:szCs w:val="20"/>
        </w:rPr>
        <w:t>transport niskoemisyjny i mobilność miejską, w tym transport publiczny w miastach i na obszarach podmiejskich wraz z systemem stacji ładowania, infrastrukturą paliw alternatywnych, infrastrukturą dla ruchu.</w:t>
      </w:r>
    </w:p>
    <w:p w14:paraId="620B6000" w14:textId="4431F62F" w:rsidR="00971902" w:rsidRPr="003478AF" w:rsidRDefault="00971902" w:rsidP="00B13D49">
      <w:pPr>
        <w:pStyle w:val="Akapitzlist"/>
        <w:numPr>
          <w:ilvl w:val="0"/>
          <w:numId w:val="33"/>
        </w:numPr>
        <w:spacing w:after="40"/>
        <w:ind w:left="714" w:hanging="357"/>
      </w:pPr>
      <w:r w:rsidRPr="003478AF">
        <w:t>W Wielkopolsce dofinansowywane powinny być inwestycje związane z uprawami roślin energetycznych, biotechnologią i modyfikacją genetyczną roślin</w:t>
      </w:r>
      <w:r w:rsidR="00032107" w:rsidRPr="003478AF">
        <w:t>, co</w:t>
      </w:r>
      <w:r w:rsidRPr="003478AF">
        <w:t xml:space="preserve"> pozwoli na wykorzystanie obszarów nieprodukcyjnych rolniczo; produkcją biogazu</w:t>
      </w:r>
      <w:r w:rsidR="00032107" w:rsidRPr="003478AF">
        <w:t>;</w:t>
      </w:r>
      <w:r w:rsidRPr="003478AF">
        <w:t xml:space="preserve"> rolnictw</w:t>
      </w:r>
      <w:r w:rsidR="00032107" w:rsidRPr="003478AF">
        <w:t xml:space="preserve">em </w:t>
      </w:r>
      <w:r w:rsidRPr="003478AF">
        <w:t>regeneracyjn</w:t>
      </w:r>
      <w:r w:rsidR="00032107" w:rsidRPr="003478AF">
        <w:t>ym;</w:t>
      </w:r>
      <w:r w:rsidRPr="003478AF">
        <w:t xml:space="preserve"> infrastrukturą do redystrybucji żywności</w:t>
      </w:r>
      <w:r w:rsidR="00032107" w:rsidRPr="003478AF">
        <w:t>;</w:t>
      </w:r>
      <w:r w:rsidRPr="003478AF">
        <w:t xml:space="preserve"> technologiami cyfrowymi </w:t>
      </w:r>
      <w:r w:rsidR="009605E0" w:rsidRPr="003478AF">
        <w:br/>
      </w:r>
      <w:r w:rsidRPr="003478AF">
        <w:t>i technologicznymi</w:t>
      </w:r>
      <w:r w:rsidR="00032107" w:rsidRPr="003478AF">
        <w:t>;</w:t>
      </w:r>
      <w:r w:rsidRPr="003478AF">
        <w:t xml:space="preserve"> żywnością lokalną</w:t>
      </w:r>
      <w:r w:rsidR="00032107" w:rsidRPr="003478AF">
        <w:t>,</w:t>
      </w:r>
      <w:r w:rsidRPr="003478AF">
        <w:t xml:space="preserve"> certyfikowaną</w:t>
      </w:r>
      <w:r w:rsidR="00032107" w:rsidRPr="003478AF">
        <w:t>;</w:t>
      </w:r>
      <w:r w:rsidRPr="003478AF">
        <w:t xml:space="preserve"> przekształcaniem odpadów plastikowych w gaz wodorowy</w:t>
      </w:r>
      <w:r w:rsidR="00032107" w:rsidRPr="003478AF">
        <w:t>;</w:t>
      </w:r>
      <w:r w:rsidRPr="003478AF">
        <w:t xml:space="preserve"> OZE</w:t>
      </w:r>
      <w:r w:rsidR="00032107" w:rsidRPr="003478AF">
        <w:t xml:space="preserve">; paliwami alternatywnymi, </w:t>
      </w:r>
      <w:r w:rsidRPr="003478AF">
        <w:t xml:space="preserve">w tym </w:t>
      </w:r>
      <w:r w:rsidR="00032107" w:rsidRPr="003478AF">
        <w:t xml:space="preserve">z </w:t>
      </w:r>
      <w:r w:rsidRPr="003478AF">
        <w:t>wod</w:t>
      </w:r>
      <w:r w:rsidR="00032107" w:rsidRPr="003478AF">
        <w:t>o</w:t>
      </w:r>
      <w:r w:rsidRPr="003478AF">
        <w:t>r</w:t>
      </w:r>
      <w:r w:rsidR="00032107" w:rsidRPr="003478AF">
        <w:t>em;</w:t>
      </w:r>
      <w:r w:rsidRPr="003478AF">
        <w:t xml:space="preserve"> magazynowaniem energii</w:t>
      </w:r>
      <w:r w:rsidR="00032107" w:rsidRPr="003478AF">
        <w:t>;</w:t>
      </w:r>
      <w:r w:rsidRPr="003478AF">
        <w:t xml:space="preserve"> automatyzacją i robotyzacją procesów produkcji</w:t>
      </w:r>
      <w:r w:rsidR="00032107" w:rsidRPr="003478AF">
        <w:t xml:space="preserve">; </w:t>
      </w:r>
      <w:r w:rsidRPr="003478AF">
        <w:t>elektromobilnością.</w:t>
      </w:r>
      <w:r w:rsidR="0076696C" w:rsidRPr="003478AF">
        <w:t xml:space="preserve"> </w:t>
      </w:r>
    </w:p>
    <w:p w14:paraId="3647C3F1" w14:textId="77777777" w:rsidR="00025ABA" w:rsidRPr="003478AF" w:rsidRDefault="00025ABA" w:rsidP="00B13D49">
      <w:pPr>
        <w:pStyle w:val="Akapitzlist"/>
        <w:numPr>
          <w:ilvl w:val="0"/>
          <w:numId w:val="33"/>
        </w:numPr>
        <w:spacing w:after="40"/>
        <w:ind w:left="714" w:hanging="357"/>
        <w:rPr>
          <w:rFonts w:cs="Arial"/>
          <w:szCs w:val="20"/>
        </w:rPr>
      </w:pPr>
      <w:r w:rsidRPr="003478AF">
        <w:rPr>
          <w:rFonts w:cs="Arial"/>
          <w:szCs w:val="20"/>
        </w:rPr>
        <w:t>Zaproponowane wskaźniki oceny GOZ na poziomie regionu mogą mieć istotne znaczenie dla oceny sytuacji województwa, ale również dalszego strategicznego planowania działań GOZ w obszarze wspierania m.in. ważnych branż przemysłu, innowacyjności, edukacji.</w:t>
      </w:r>
    </w:p>
    <w:p w14:paraId="7A34D548" w14:textId="2EFCEF14" w:rsidR="00025ABA" w:rsidRPr="003478AF" w:rsidRDefault="00025ABA" w:rsidP="00B13D49">
      <w:pPr>
        <w:pStyle w:val="NormalnyWeb"/>
        <w:numPr>
          <w:ilvl w:val="0"/>
          <w:numId w:val="33"/>
        </w:numPr>
        <w:spacing w:after="40"/>
        <w:ind w:left="714" w:hanging="357"/>
        <w:contextualSpacing/>
        <w:rPr>
          <w:rFonts w:ascii="Arial" w:hAnsi="Arial" w:cs="Arial"/>
          <w:sz w:val="20"/>
          <w:szCs w:val="20"/>
        </w:rPr>
      </w:pPr>
      <w:r w:rsidRPr="003478AF">
        <w:rPr>
          <w:rFonts w:ascii="Arial" w:hAnsi="Arial" w:cs="Arial"/>
          <w:sz w:val="20"/>
          <w:szCs w:val="20"/>
        </w:rPr>
        <w:t xml:space="preserve">Dalsze badania w GOZ w Wielkopolsce powinny dotyczyć </w:t>
      </w:r>
      <w:r w:rsidRPr="003478AF">
        <w:rPr>
          <w:rFonts w:ascii="Arial" w:eastAsia="Times New Roman" w:hAnsi="Arial" w:cs="Arial"/>
          <w:sz w:val="20"/>
          <w:szCs w:val="20"/>
          <w:lang w:eastAsia="pl-PL"/>
        </w:rPr>
        <w:t xml:space="preserve">edukacji, podnoszenia świadomości społeczeństwa np. kampanie informacyjne. GOZ nie powinien być </w:t>
      </w:r>
      <w:r w:rsidR="00AD02AA" w:rsidRPr="003478AF">
        <w:rPr>
          <w:rFonts w:ascii="Arial" w:eastAsia="Times New Roman" w:hAnsi="Arial" w:cs="Arial"/>
          <w:sz w:val="20"/>
          <w:szCs w:val="20"/>
          <w:lang w:eastAsia="pl-PL"/>
        </w:rPr>
        <w:t>z</w:t>
      </w:r>
      <w:r w:rsidRPr="003478AF">
        <w:rPr>
          <w:rFonts w:ascii="Arial" w:eastAsia="Times New Roman" w:hAnsi="Arial" w:cs="Arial"/>
          <w:sz w:val="20"/>
          <w:szCs w:val="20"/>
          <w:lang w:eastAsia="pl-PL"/>
        </w:rPr>
        <w:t>wiązan</w:t>
      </w:r>
      <w:r w:rsidR="00AD02AA" w:rsidRPr="003478AF">
        <w:rPr>
          <w:rFonts w:ascii="Arial" w:eastAsia="Times New Roman" w:hAnsi="Arial" w:cs="Arial"/>
          <w:sz w:val="20"/>
          <w:szCs w:val="20"/>
          <w:lang w:eastAsia="pl-PL"/>
        </w:rPr>
        <w:t>y</w:t>
      </w:r>
      <w:r w:rsidRPr="003478AF">
        <w:rPr>
          <w:rFonts w:ascii="Arial" w:eastAsia="Times New Roman" w:hAnsi="Arial" w:cs="Arial"/>
          <w:sz w:val="20"/>
          <w:szCs w:val="20"/>
          <w:lang w:eastAsia="pl-PL"/>
        </w:rPr>
        <w:t xml:space="preserve"> </w:t>
      </w:r>
      <w:r w:rsidR="00AD02AA" w:rsidRPr="003478AF">
        <w:rPr>
          <w:rFonts w:ascii="Arial" w:eastAsia="Times New Roman" w:hAnsi="Arial" w:cs="Arial"/>
          <w:sz w:val="20"/>
          <w:szCs w:val="20"/>
          <w:lang w:eastAsia="pl-PL"/>
        </w:rPr>
        <w:t>wyłącznie</w:t>
      </w:r>
      <w:r w:rsidRPr="003478AF">
        <w:rPr>
          <w:rFonts w:ascii="Arial" w:eastAsia="Times New Roman" w:hAnsi="Arial" w:cs="Arial"/>
          <w:sz w:val="20"/>
          <w:szCs w:val="20"/>
          <w:lang w:eastAsia="pl-PL"/>
        </w:rPr>
        <w:t xml:space="preserve"> z zagadnieniem odpadów i recyklingu. Należy zwrócić uwagę </w:t>
      </w:r>
      <w:r w:rsidR="00AD02AA" w:rsidRPr="003478AF">
        <w:rPr>
          <w:rFonts w:ascii="Arial" w:eastAsia="Times New Roman" w:hAnsi="Arial" w:cs="Arial"/>
          <w:sz w:val="20"/>
          <w:szCs w:val="20"/>
          <w:lang w:eastAsia="pl-PL"/>
        </w:rPr>
        <w:t xml:space="preserve">chociażby </w:t>
      </w:r>
      <w:r w:rsidRPr="003478AF">
        <w:rPr>
          <w:rFonts w:ascii="Arial" w:eastAsia="Times New Roman" w:hAnsi="Arial" w:cs="Arial"/>
          <w:sz w:val="20"/>
          <w:szCs w:val="20"/>
          <w:lang w:eastAsia="pl-PL"/>
        </w:rPr>
        <w:t xml:space="preserve">na: ekoprojektowanie, </w:t>
      </w:r>
      <w:r w:rsidR="00AD02AA" w:rsidRPr="003478AF">
        <w:rPr>
          <w:rFonts w:ascii="Arial" w:eastAsia="Times New Roman" w:hAnsi="Arial" w:cs="Arial"/>
          <w:sz w:val="20"/>
          <w:szCs w:val="20"/>
          <w:lang w:eastAsia="pl-PL"/>
        </w:rPr>
        <w:t xml:space="preserve">wykorzystanie </w:t>
      </w:r>
      <w:r w:rsidRPr="003478AF">
        <w:rPr>
          <w:rFonts w:ascii="Arial" w:eastAsia="Times New Roman" w:hAnsi="Arial" w:cs="Arial"/>
          <w:sz w:val="20"/>
          <w:szCs w:val="20"/>
          <w:lang w:eastAsia="pl-PL"/>
        </w:rPr>
        <w:t>now</w:t>
      </w:r>
      <w:r w:rsidR="00AD02AA" w:rsidRPr="003478AF">
        <w:rPr>
          <w:rFonts w:ascii="Arial" w:eastAsia="Times New Roman" w:hAnsi="Arial" w:cs="Arial"/>
          <w:sz w:val="20"/>
          <w:szCs w:val="20"/>
          <w:lang w:eastAsia="pl-PL"/>
        </w:rPr>
        <w:t>ych</w:t>
      </w:r>
      <w:r w:rsidRPr="003478AF">
        <w:rPr>
          <w:rFonts w:ascii="Arial" w:eastAsia="Times New Roman" w:hAnsi="Arial" w:cs="Arial"/>
          <w:sz w:val="20"/>
          <w:szCs w:val="20"/>
          <w:lang w:eastAsia="pl-PL"/>
        </w:rPr>
        <w:t xml:space="preserve"> źród</w:t>
      </w:r>
      <w:r w:rsidR="00AD02AA" w:rsidRPr="003478AF">
        <w:rPr>
          <w:rFonts w:ascii="Arial" w:eastAsia="Times New Roman" w:hAnsi="Arial" w:cs="Arial"/>
          <w:sz w:val="20"/>
          <w:szCs w:val="20"/>
          <w:lang w:eastAsia="pl-PL"/>
        </w:rPr>
        <w:t>eł</w:t>
      </w:r>
      <w:r w:rsidRPr="003478AF">
        <w:rPr>
          <w:rFonts w:ascii="Arial" w:eastAsia="Times New Roman" w:hAnsi="Arial" w:cs="Arial"/>
          <w:sz w:val="20"/>
          <w:szCs w:val="20"/>
          <w:lang w:eastAsia="pl-PL"/>
        </w:rPr>
        <w:t xml:space="preserve"> energii i efektywność energetyczn</w:t>
      </w:r>
      <w:r w:rsidR="00AD02AA" w:rsidRPr="003478AF">
        <w:rPr>
          <w:rFonts w:ascii="Arial" w:eastAsia="Times New Roman" w:hAnsi="Arial" w:cs="Arial"/>
          <w:sz w:val="20"/>
          <w:szCs w:val="20"/>
          <w:lang w:eastAsia="pl-PL"/>
        </w:rPr>
        <w:t xml:space="preserve">ą, </w:t>
      </w:r>
      <w:r w:rsidRPr="003478AF">
        <w:rPr>
          <w:rFonts w:ascii="Arial" w:eastAsia="Times New Roman" w:hAnsi="Arial" w:cs="Arial"/>
          <w:sz w:val="20"/>
          <w:szCs w:val="20"/>
          <w:lang w:eastAsia="pl-PL"/>
        </w:rPr>
        <w:t xml:space="preserve">zielone zamówienia publiczne. </w:t>
      </w:r>
      <w:r w:rsidRPr="003478AF">
        <w:rPr>
          <w:rFonts w:ascii="Arial" w:hAnsi="Arial" w:cs="Arial"/>
          <w:sz w:val="20"/>
          <w:szCs w:val="20"/>
        </w:rPr>
        <w:t>Dodatkowo uwarunkowania specyficzne województwa</w:t>
      </w:r>
      <w:r w:rsidR="00F91F56" w:rsidRPr="003478AF">
        <w:rPr>
          <w:rFonts w:ascii="Arial" w:hAnsi="Arial" w:cs="Arial"/>
          <w:sz w:val="20"/>
          <w:szCs w:val="20"/>
        </w:rPr>
        <w:t xml:space="preserve"> i</w:t>
      </w:r>
      <w:r w:rsidRPr="003478AF">
        <w:rPr>
          <w:rFonts w:ascii="Arial" w:hAnsi="Arial" w:cs="Arial"/>
          <w:sz w:val="20"/>
          <w:szCs w:val="20"/>
        </w:rPr>
        <w:t xml:space="preserve"> jego charakterystyk</w:t>
      </w:r>
      <w:r w:rsidR="00F91F56" w:rsidRPr="003478AF">
        <w:rPr>
          <w:rFonts w:ascii="Arial" w:hAnsi="Arial" w:cs="Arial"/>
          <w:sz w:val="20"/>
          <w:szCs w:val="20"/>
        </w:rPr>
        <w:t>a</w:t>
      </w:r>
      <w:r w:rsidRPr="003478AF">
        <w:rPr>
          <w:rFonts w:ascii="Arial" w:hAnsi="Arial" w:cs="Arial"/>
          <w:sz w:val="20"/>
          <w:szCs w:val="20"/>
        </w:rPr>
        <w:t xml:space="preserve"> gospodarcz</w:t>
      </w:r>
      <w:r w:rsidR="00F91F56" w:rsidRPr="003478AF">
        <w:rPr>
          <w:rFonts w:ascii="Arial" w:hAnsi="Arial" w:cs="Arial"/>
          <w:sz w:val="20"/>
          <w:szCs w:val="20"/>
        </w:rPr>
        <w:t>a</w:t>
      </w:r>
      <w:r w:rsidRPr="003478AF">
        <w:rPr>
          <w:rFonts w:ascii="Arial" w:hAnsi="Arial" w:cs="Arial"/>
          <w:sz w:val="20"/>
          <w:szCs w:val="20"/>
        </w:rPr>
        <w:t xml:space="preserve"> sprzyjają wybranym gałęziom przemysł</w:t>
      </w:r>
      <w:r w:rsidR="00AD02AA" w:rsidRPr="003478AF">
        <w:rPr>
          <w:rFonts w:ascii="Arial" w:hAnsi="Arial" w:cs="Arial"/>
          <w:sz w:val="20"/>
          <w:szCs w:val="20"/>
        </w:rPr>
        <w:t>u, tj.</w:t>
      </w:r>
      <w:r w:rsidRPr="003478AF">
        <w:rPr>
          <w:rFonts w:ascii="Arial" w:hAnsi="Arial" w:cs="Arial"/>
          <w:sz w:val="20"/>
          <w:szCs w:val="20"/>
        </w:rPr>
        <w:t xml:space="preserve"> rolnictwo, przetwórstwo rolno-spożywcze. Ich przekształcenie </w:t>
      </w:r>
      <w:r w:rsidR="009605E0" w:rsidRPr="003478AF">
        <w:rPr>
          <w:rFonts w:ascii="Arial" w:hAnsi="Arial" w:cs="Arial"/>
          <w:sz w:val="20"/>
          <w:szCs w:val="20"/>
        </w:rPr>
        <w:br/>
      </w:r>
      <w:r w:rsidRPr="003478AF">
        <w:rPr>
          <w:rFonts w:ascii="Arial" w:hAnsi="Arial" w:cs="Arial"/>
          <w:sz w:val="20"/>
          <w:szCs w:val="20"/>
        </w:rPr>
        <w:t>w kierunku GOZ będzie wymagać niejednokrotnie inwestycji. Czynnik ten bez zewnętrznego wsparcia może się okazać trudny.</w:t>
      </w:r>
    </w:p>
    <w:p w14:paraId="16049330" w14:textId="77C6D068" w:rsidR="007630B4" w:rsidRPr="003478AF" w:rsidRDefault="007630B4">
      <w:pPr>
        <w:spacing w:line="240" w:lineRule="auto"/>
        <w:ind w:firstLine="0"/>
        <w:jc w:val="left"/>
        <w:rPr>
          <w:rFonts w:cs="Arial"/>
          <w:szCs w:val="20"/>
        </w:rPr>
      </w:pPr>
      <w:r w:rsidRPr="003478AF">
        <w:rPr>
          <w:rFonts w:cs="Arial"/>
          <w:szCs w:val="20"/>
        </w:rPr>
        <w:br w:type="page"/>
      </w:r>
    </w:p>
    <w:p w14:paraId="21360E29" w14:textId="77777777" w:rsidR="007630B4" w:rsidRPr="003478AF" w:rsidRDefault="007630B4" w:rsidP="007630B4">
      <w:pPr>
        <w:pStyle w:val="NormalnyWeb"/>
        <w:spacing w:after="40"/>
        <w:contextualSpacing/>
        <w:rPr>
          <w:rFonts w:ascii="Arial" w:hAnsi="Arial" w:cs="Arial"/>
          <w:sz w:val="20"/>
          <w:szCs w:val="20"/>
        </w:rPr>
      </w:pPr>
    </w:p>
    <w:p w14:paraId="475E412A" w14:textId="77777777" w:rsidR="00E35192" w:rsidRPr="00194CA4" w:rsidRDefault="00E35192" w:rsidP="00194CA4">
      <w:pPr>
        <w:pStyle w:val="Nagwek3"/>
      </w:pPr>
      <w:bookmarkStart w:id="105" w:name="_Toc43300333"/>
      <w:bookmarkStart w:id="106" w:name="_Toc82160010"/>
      <w:r w:rsidRPr="00194CA4">
        <w:t>Bibliografia</w:t>
      </w:r>
      <w:bookmarkEnd w:id="105"/>
      <w:bookmarkEnd w:id="106"/>
    </w:p>
    <w:p w14:paraId="711709E9" w14:textId="23E83B6C" w:rsidR="00AD02AA" w:rsidRPr="003478AF" w:rsidRDefault="00AD02AA" w:rsidP="00AD02AA">
      <w:pPr>
        <w:ind w:left="426" w:hanging="426"/>
        <w:rPr>
          <w:rFonts w:eastAsia="Times New Roman" w:cs="Arial"/>
          <w:color w:val="000000"/>
          <w:sz w:val="18"/>
          <w:szCs w:val="18"/>
          <w:lang w:val="en-GB" w:eastAsia="pl-PL"/>
        </w:rPr>
      </w:pPr>
      <w:r w:rsidRPr="003478AF">
        <w:rPr>
          <w:rFonts w:eastAsia="Times New Roman" w:cs="Arial"/>
          <w:color w:val="000000"/>
          <w:sz w:val="18"/>
          <w:szCs w:val="18"/>
          <w:lang w:val="en-GB" w:eastAsia="pl-PL"/>
        </w:rPr>
        <w:t>A. De Jesus, P. Antunes,</w:t>
      </w:r>
      <w:r w:rsidR="00FE614B" w:rsidRPr="003478AF">
        <w:rPr>
          <w:rFonts w:eastAsia="Times New Roman" w:cs="Arial"/>
          <w:color w:val="000000"/>
          <w:sz w:val="18"/>
          <w:szCs w:val="18"/>
          <w:lang w:val="en-GB" w:eastAsia="pl-PL"/>
        </w:rPr>
        <w:t> r.</w:t>
      </w:r>
      <w:r w:rsidRPr="003478AF">
        <w:rPr>
          <w:rFonts w:eastAsia="Times New Roman" w:cs="Arial"/>
          <w:color w:val="000000"/>
          <w:sz w:val="18"/>
          <w:szCs w:val="18"/>
          <w:lang w:val="en-GB" w:eastAsia="pl-PL"/>
        </w:rPr>
        <w:t xml:space="preserve"> Santos, S. Mendonça (2018), Eco-innovation in the transition to a circular economy: An analytical literature review. J. Clean. Prod., 172, 2999–3018</w:t>
      </w:r>
    </w:p>
    <w:p w14:paraId="1BE4213D" w14:textId="6AD61C6B" w:rsidR="00AD02AA" w:rsidRPr="003478AF" w:rsidRDefault="00AD02AA" w:rsidP="00AD02AA">
      <w:pPr>
        <w:ind w:left="426" w:hanging="426"/>
        <w:rPr>
          <w:rFonts w:eastAsia="Times New Roman" w:cs="Arial"/>
          <w:color w:val="000000"/>
          <w:sz w:val="18"/>
          <w:szCs w:val="18"/>
          <w:lang w:val="en-GB" w:eastAsia="pl-PL"/>
        </w:rPr>
      </w:pPr>
      <w:r w:rsidRPr="003478AF">
        <w:rPr>
          <w:rFonts w:eastAsia="Times New Roman" w:cs="Arial"/>
          <w:color w:val="000000"/>
          <w:sz w:val="18"/>
          <w:szCs w:val="18"/>
          <w:lang w:val="en-US" w:eastAsia="pl-PL"/>
        </w:rPr>
        <w:t xml:space="preserve">A.E.Ghaly, V.V.Ramakrishnan, M.S.Brooks, S.M.Budge, D.Dave (2013), Fish processing wastes </w:t>
      </w:r>
      <w:r w:rsidR="00FE614B" w:rsidRPr="003478AF">
        <w:rPr>
          <w:rFonts w:eastAsia="Times New Roman" w:cs="Arial"/>
          <w:color w:val="000000"/>
          <w:sz w:val="18"/>
          <w:szCs w:val="18"/>
          <w:lang w:val="en-US" w:eastAsia="pl-PL"/>
        </w:rPr>
        <w:br/>
      </w:r>
      <w:r w:rsidRPr="003478AF">
        <w:rPr>
          <w:rFonts w:eastAsia="Times New Roman" w:cs="Arial"/>
          <w:color w:val="000000"/>
          <w:sz w:val="18"/>
          <w:szCs w:val="18"/>
          <w:lang w:val="en-US" w:eastAsia="pl-PL"/>
        </w:rPr>
        <w:t>as a potential source of proteins amino acids and oils: a critical review, Journal of Microbial and Biochemical Technology, 5(4), 107-129</w:t>
      </w:r>
    </w:p>
    <w:p w14:paraId="19DBE2BA" w14:textId="72BE7DEE" w:rsidR="00AD02AA" w:rsidRPr="003478AF" w:rsidRDefault="00AD02AA" w:rsidP="00AD02AA">
      <w:pPr>
        <w:ind w:left="426" w:hanging="426"/>
        <w:rPr>
          <w:rFonts w:eastAsia="Times New Roman" w:cs="Arial"/>
          <w:color w:val="000000"/>
          <w:sz w:val="18"/>
          <w:szCs w:val="18"/>
          <w:lang w:val="en-GB" w:eastAsia="pl-PL"/>
        </w:rPr>
      </w:pPr>
      <w:r w:rsidRPr="003478AF">
        <w:rPr>
          <w:rFonts w:eastAsia="Times New Roman" w:cs="Arial"/>
          <w:color w:val="000000"/>
          <w:sz w:val="18"/>
          <w:szCs w:val="18"/>
          <w:lang w:val="en-US" w:eastAsia="pl-PL"/>
        </w:rPr>
        <w:t>A.J.Van der Goot, P.J.M.Pelgrom, J.A.M.Berghout, M.E.J.Geerts, L.Jankowiak, N.A.Hardt, J. Keijer, M.A.I. Schutyser, C.V. Nikiforidis,</w:t>
      </w:r>
      <w:r w:rsidR="00FE614B" w:rsidRPr="003478AF">
        <w:rPr>
          <w:rFonts w:eastAsia="Times New Roman" w:cs="Arial"/>
          <w:color w:val="000000"/>
          <w:sz w:val="18"/>
          <w:szCs w:val="18"/>
          <w:lang w:val="en-US" w:eastAsia="pl-PL"/>
        </w:rPr>
        <w:t> r.</w:t>
      </w:r>
      <w:r w:rsidRPr="003478AF">
        <w:rPr>
          <w:rFonts w:eastAsia="Times New Roman" w:cs="Arial"/>
          <w:color w:val="000000"/>
          <w:sz w:val="18"/>
          <w:szCs w:val="18"/>
          <w:lang w:val="en-US" w:eastAsia="pl-PL"/>
        </w:rPr>
        <w:t xml:space="preserve">M. Boom (2016), Concepts for further sustainable production </w:t>
      </w:r>
      <w:r w:rsidR="00FE614B" w:rsidRPr="003478AF">
        <w:rPr>
          <w:rFonts w:eastAsia="Times New Roman" w:cs="Arial"/>
          <w:color w:val="000000"/>
          <w:sz w:val="18"/>
          <w:szCs w:val="18"/>
          <w:lang w:val="en-US" w:eastAsia="pl-PL"/>
        </w:rPr>
        <w:br/>
      </w:r>
      <w:r w:rsidRPr="003478AF">
        <w:rPr>
          <w:rFonts w:eastAsia="Times New Roman" w:cs="Arial"/>
          <w:color w:val="000000"/>
          <w:sz w:val="18"/>
          <w:szCs w:val="18"/>
          <w:lang w:val="en-US" w:eastAsia="pl-PL"/>
        </w:rPr>
        <w:t>of foods, Journal of Food Engineering, 168, 42-51</w:t>
      </w:r>
    </w:p>
    <w:p w14:paraId="2395AA93" w14:textId="77777777" w:rsidR="00AD02AA" w:rsidRPr="003478AF" w:rsidRDefault="00AD02AA" w:rsidP="00AD02AA">
      <w:pPr>
        <w:ind w:left="426" w:hanging="426"/>
        <w:rPr>
          <w:rFonts w:eastAsia="Times New Roman" w:cs="Arial"/>
          <w:color w:val="000000"/>
          <w:sz w:val="18"/>
          <w:szCs w:val="18"/>
          <w:lang w:val="en-GB" w:eastAsia="pl-PL"/>
        </w:rPr>
      </w:pPr>
      <w:r w:rsidRPr="003478AF">
        <w:rPr>
          <w:rFonts w:eastAsia="Times New Roman" w:cs="Arial"/>
          <w:color w:val="000000"/>
          <w:sz w:val="18"/>
          <w:szCs w:val="18"/>
          <w:lang w:val="en-US" w:eastAsia="pl-PL"/>
        </w:rPr>
        <w:t>A.Rózek, I.Achaerandio, C.Güell, F.López, M.Ferrando (2010), Use of commercial grape phenolic extracts to supplement solid foodstuff, LWT- Food Science and Technology, 43, 623-631</w:t>
      </w:r>
    </w:p>
    <w:p w14:paraId="3FBD9B4D" w14:textId="019A9283" w:rsidR="00AD02AA" w:rsidRPr="003478AF" w:rsidRDefault="00AD02AA" w:rsidP="00AD02AA">
      <w:pPr>
        <w:ind w:left="426" w:hanging="426"/>
        <w:rPr>
          <w:rFonts w:eastAsia="Times New Roman" w:cs="Arial"/>
          <w:color w:val="000000"/>
          <w:sz w:val="18"/>
          <w:szCs w:val="18"/>
          <w:lang w:eastAsia="pl-PL"/>
        </w:rPr>
      </w:pPr>
      <w:r w:rsidRPr="003478AF">
        <w:rPr>
          <w:rFonts w:eastAsia="Times New Roman" w:cs="Arial"/>
          <w:color w:val="000000"/>
          <w:sz w:val="18"/>
          <w:szCs w:val="18"/>
          <w:lang w:eastAsia="pl-PL"/>
        </w:rPr>
        <w:t xml:space="preserve">Aktualizacja Programu usuwania azbestu i wyrobów zawierających azbest dla województwa wielkopolskiego. Załącznik do uchwały Nr XXXVII/889/17 Sejmiku Województwa Wielkopolskiego </w:t>
      </w:r>
      <w:r w:rsidR="00FE614B" w:rsidRPr="003478AF">
        <w:rPr>
          <w:rFonts w:eastAsia="Times New Roman" w:cs="Arial"/>
          <w:color w:val="000000"/>
          <w:sz w:val="18"/>
          <w:szCs w:val="18"/>
          <w:lang w:eastAsia="pl-PL"/>
        </w:rPr>
        <w:br/>
      </w:r>
      <w:r w:rsidRPr="003478AF">
        <w:rPr>
          <w:rFonts w:eastAsia="Times New Roman" w:cs="Arial"/>
          <w:color w:val="000000"/>
          <w:sz w:val="18"/>
          <w:szCs w:val="18"/>
          <w:lang w:eastAsia="pl-PL"/>
        </w:rPr>
        <w:t>z dnia 23 października 2017 roku. Poznań 2017</w:t>
      </w:r>
    </w:p>
    <w:p w14:paraId="67FBA0E7" w14:textId="77777777" w:rsidR="00AD02AA" w:rsidRPr="003478AF" w:rsidRDefault="00AD02AA" w:rsidP="00AD02AA">
      <w:pPr>
        <w:ind w:left="426" w:hanging="426"/>
        <w:rPr>
          <w:rFonts w:eastAsia="Times New Roman" w:cs="Arial"/>
          <w:color w:val="000000"/>
          <w:sz w:val="18"/>
          <w:szCs w:val="18"/>
          <w:lang w:val="en-GB" w:eastAsia="pl-PL"/>
        </w:rPr>
      </w:pPr>
      <w:r w:rsidRPr="003478AF">
        <w:rPr>
          <w:rFonts w:eastAsia="Times New Roman" w:cs="Arial"/>
          <w:color w:val="000000"/>
          <w:sz w:val="18"/>
          <w:szCs w:val="18"/>
          <w:lang w:val="en-GB" w:eastAsia="pl-PL"/>
        </w:rPr>
        <w:t>B. Miloš Rajković, D. Popović Minić, D. Milinčić, M. Zdravković (2020) Circular economy in food industry, Zastita Materijala 61 (3) 229 - 250</w:t>
      </w:r>
    </w:p>
    <w:p w14:paraId="3B58A625" w14:textId="432CE413" w:rsidR="00AD02AA" w:rsidRPr="003478AF" w:rsidRDefault="00AD02AA" w:rsidP="00AD02AA">
      <w:pPr>
        <w:ind w:left="426" w:hanging="426"/>
        <w:rPr>
          <w:rFonts w:eastAsia="Times New Roman" w:cs="Arial"/>
          <w:color w:val="000000"/>
          <w:sz w:val="18"/>
          <w:szCs w:val="18"/>
          <w:lang w:eastAsia="pl-PL"/>
        </w:rPr>
      </w:pPr>
      <w:r w:rsidRPr="003478AF">
        <w:rPr>
          <w:rFonts w:eastAsia="Times New Roman" w:cs="Arial"/>
          <w:color w:val="000000"/>
          <w:sz w:val="18"/>
          <w:szCs w:val="18"/>
          <w:lang w:eastAsia="pl-PL"/>
        </w:rPr>
        <w:t>Bank Światowy (2018), What a Waste 2.0: A Global Snapshot of Solid Waste Management to 2050” [„Góra śmieci 2.0: Przegląd gospodarki odpadami stałymi na świecie do 2050</w:t>
      </w:r>
      <w:r w:rsidR="00FE614B" w:rsidRPr="003478AF">
        <w:rPr>
          <w:rFonts w:eastAsia="Times New Roman" w:cs="Arial"/>
          <w:color w:val="000000"/>
          <w:sz w:val="18"/>
          <w:szCs w:val="18"/>
          <w:lang w:eastAsia="pl-PL"/>
        </w:rPr>
        <w:t> r.</w:t>
      </w:r>
      <w:r w:rsidRPr="003478AF">
        <w:rPr>
          <w:rFonts w:eastAsia="Times New Roman" w:cs="Arial"/>
          <w:color w:val="000000"/>
          <w:sz w:val="18"/>
          <w:szCs w:val="18"/>
          <w:lang w:eastAsia="pl-PL"/>
        </w:rPr>
        <w:t>”].</w:t>
      </w:r>
    </w:p>
    <w:p w14:paraId="52EAA651" w14:textId="77777777" w:rsidR="00AD02AA" w:rsidRPr="003478AF" w:rsidRDefault="00AD02AA" w:rsidP="00AD02AA">
      <w:pPr>
        <w:ind w:left="426" w:hanging="426"/>
        <w:rPr>
          <w:rFonts w:eastAsia="Times New Roman" w:cs="Arial"/>
          <w:color w:val="000000"/>
          <w:sz w:val="18"/>
          <w:szCs w:val="18"/>
          <w:lang w:eastAsia="pl-PL"/>
        </w:rPr>
      </w:pPr>
      <w:r w:rsidRPr="003478AF">
        <w:rPr>
          <w:rFonts w:eastAsia="Times New Roman" w:cs="Arial"/>
          <w:color w:val="000000"/>
          <w:sz w:val="18"/>
          <w:szCs w:val="18"/>
          <w:lang w:eastAsia="pl-PL"/>
        </w:rPr>
        <w:t>Biała księga transportu: Plan utworzenia jednolitego europejskiego obszaru transportu dążenie do osiągnięcia konkurencyjnego - i zasobooszczędnego systemu transportu.</w:t>
      </w:r>
    </w:p>
    <w:p w14:paraId="0EFB5934" w14:textId="77777777" w:rsidR="00AD02AA" w:rsidRPr="003478AF" w:rsidRDefault="00AD02AA" w:rsidP="00AD02AA">
      <w:pPr>
        <w:ind w:left="426" w:hanging="426"/>
        <w:rPr>
          <w:rFonts w:eastAsia="Times New Roman" w:cs="Arial"/>
          <w:color w:val="000000"/>
          <w:sz w:val="18"/>
          <w:szCs w:val="18"/>
          <w:lang w:val="en-GB" w:eastAsia="pl-PL"/>
        </w:rPr>
      </w:pPr>
      <w:r w:rsidRPr="003478AF">
        <w:rPr>
          <w:rFonts w:eastAsia="Times New Roman" w:cs="Arial"/>
          <w:color w:val="000000"/>
          <w:sz w:val="18"/>
          <w:szCs w:val="18"/>
          <w:lang w:val="en-GB" w:eastAsia="pl-PL"/>
        </w:rPr>
        <w:t>C. Jiang, J. Zhang (2016) Evaluation of Regional Circular Economy Based on Matter Element Analysis. Procedia Environ. Sci., 11, 637–642</w:t>
      </w:r>
    </w:p>
    <w:p w14:paraId="5B99E952" w14:textId="77777777" w:rsidR="00AD02AA" w:rsidRPr="003478AF" w:rsidRDefault="00AD02AA" w:rsidP="00AD02AA">
      <w:pPr>
        <w:ind w:left="426" w:hanging="426"/>
        <w:rPr>
          <w:rFonts w:eastAsia="Times New Roman" w:cs="Arial"/>
          <w:color w:val="000000"/>
          <w:sz w:val="18"/>
          <w:szCs w:val="18"/>
          <w:lang w:val="en-GB" w:eastAsia="pl-PL"/>
        </w:rPr>
      </w:pPr>
      <w:r w:rsidRPr="003478AF">
        <w:rPr>
          <w:rFonts w:eastAsia="Times New Roman" w:cs="Arial"/>
          <w:color w:val="000000"/>
          <w:sz w:val="18"/>
          <w:szCs w:val="18"/>
          <w:lang w:val="en-US" w:eastAsia="pl-PL"/>
        </w:rPr>
        <w:t>C.Galanakis (2012), Recovery of high addedvalue components from food wastes: conventional, emerging technologies and commercialized applications, Trends in Food Science&amp;Technology, 26, 68-87</w:t>
      </w:r>
    </w:p>
    <w:p w14:paraId="3A98C8EE" w14:textId="77777777" w:rsidR="00AD02AA" w:rsidRPr="003478AF" w:rsidRDefault="00AD02AA" w:rsidP="00AD02AA">
      <w:pPr>
        <w:ind w:left="426" w:hanging="426"/>
        <w:rPr>
          <w:rFonts w:eastAsia="Times New Roman" w:cs="Arial"/>
          <w:color w:val="000000"/>
          <w:sz w:val="18"/>
          <w:szCs w:val="18"/>
          <w:lang w:val="en-GB" w:eastAsia="pl-PL"/>
        </w:rPr>
      </w:pPr>
      <w:r w:rsidRPr="003478AF">
        <w:rPr>
          <w:rFonts w:eastAsia="Times New Roman" w:cs="Arial"/>
          <w:color w:val="000000"/>
          <w:sz w:val="18"/>
          <w:szCs w:val="18"/>
          <w:lang w:val="en-US" w:eastAsia="pl-PL"/>
        </w:rPr>
        <w:t>C.M.Jasch (2009), Environmental and Material Flow Cost Accounting: Principles and Procedures, Springer, Netherlands.</w:t>
      </w:r>
    </w:p>
    <w:p w14:paraId="126119A5" w14:textId="77777777" w:rsidR="00AD02AA" w:rsidRPr="003478AF" w:rsidRDefault="00AD02AA" w:rsidP="00AD02AA">
      <w:pPr>
        <w:ind w:left="426" w:hanging="426"/>
        <w:rPr>
          <w:rFonts w:eastAsia="Times New Roman" w:cs="Arial"/>
          <w:color w:val="000000"/>
          <w:sz w:val="18"/>
          <w:szCs w:val="18"/>
          <w:lang w:val="en-GB" w:eastAsia="pl-PL"/>
        </w:rPr>
      </w:pPr>
      <w:r w:rsidRPr="003478AF">
        <w:rPr>
          <w:rFonts w:eastAsia="Times New Roman" w:cs="Arial"/>
          <w:color w:val="000000"/>
          <w:sz w:val="18"/>
          <w:szCs w:val="18"/>
          <w:lang w:val="en-US" w:eastAsia="pl-PL"/>
        </w:rPr>
        <w:t>Circularity Gap Report reveals that the world is only 9% circular and the trend is negative, Circle Economy, 2019</w:t>
      </w:r>
    </w:p>
    <w:p w14:paraId="322197D9" w14:textId="77777777" w:rsidR="00AD02AA" w:rsidRPr="003478AF" w:rsidRDefault="00AD02AA" w:rsidP="00AD02AA">
      <w:pPr>
        <w:ind w:left="426" w:hanging="426"/>
        <w:rPr>
          <w:rFonts w:eastAsia="Times New Roman" w:cs="Arial"/>
          <w:color w:val="000000"/>
          <w:sz w:val="18"/>
          <w:szCs w:val="18"/>
          <w:lang w:eastAsia="pl-PL"/>
        </w:rPr>
      </w:pPr>
      <w:r w:rsidRPr="003478AF">
        <w:rPr>
          <w:rFonts w:eastAsia="Times New Roman" w:cs="Arial"/>
          <w:color w:val="000000"/>
          <w:sz w:val="18"/>
          <w:szCs w:val="18"/>
          <w:lang w:eastAsia="pl-PL"/>
        </w:rPr>
        <w:t>Czarnkowski K. (2019), Możliwości integracji produkcji rolnej i rybackiej – perspektywa holistyczna, https://wmodr.pl/files/JLcuTsMsbn5R4cZbPkkZM0dzXDJtwDObJpo2LPY8.pdf</w:t>
      </w:r>
    </w:p>
    <w:p w14:paraId="4DCB2F8E" w14:textId="77777777" w:rsidR="00AD02AA" w:rsidRPr="003478AF" w:rsidRDefault="00AD02AA" w:rsidP="00AD02AA">
      <w:pPr>
        <w:ind w:left="426" w:hanging="426"/>
        <w:rPr>
          <w:rFonts w:eastAsia="Times New Roman" w:cs="Arial"/>
          <w:color w:val="000000"/>
          <w:sz w:val="18"/>
          <w:szCs w:val="18"/>
          <w:lang w:eastAsia="pl-PL"/>
        </w:rPr>
      </w:pPr>
      <w:r w:rsidRPr="003478AF">
        <w:rPr>
          <w:rFonts w:eastAsia="Times New Roman" w:cs="Arial"/>
          <w:color w:val="000000"/>
          <w:sz w:val="18"/>
          <w:szCs w:val="18"/>
          <w:lang w:eastAsia="pl-PL"/>
        </w:rPr>
        <w:t>E. Golisz, G. Wójcik (2013), Problemy gorzelni rolniczych i przemysłu bioetanolowego w Polsce. Inżyniera Rolnicza Z 2(143) T.1 S. 69-78</w:t>
      </w:r>
    </w:p>
    <w:p w14:paraId="06EC3E9E" w14:textId="5D09F7B2" w:rsidR="00AD02AA" w:rsidRPr="003478AF" w:rsidRDefault="00AD02AA" w:rsidP="00AD02AA">
      <w:pPr>
        <w:ind w:left="426" w:hanging="426"/>
        <w:rPr>
          <w:rFonts w:eastAsia="Times New Roman" w:cs="Arial"/>
          <w:color w:val="000000"/>
          <w:sz w:val="18"/>
          <w:szCs w:val="18"/>
          <w:lang w:eastAsia="pl-PL"/>
        </w:rPr>
      </w:pPr>
      <w:r w:rsidRPr="003478AF">
        <w:rPr>
          <w:rFonts w:eastAsia="Times New Roman" w:cs="Arial"/>
          <w:color w:val="000000"/>
          <w:sz w:val="18"/>
          <w:szCs w:val="18"/>
          <w:lang w:eastAsia="pl-PL"/>
        </w:rPr>
        <w:t xml:space="preserve">E. Olba-Zięty (2019) Biorafinerie i biogazownie jako obiekty realizujące zadania w ramach gospodarki </w:t>
      </w:r>
      <w:r w:rsidR="00FE614B" w:rsidRPr="003478AF">
        <w:rPr>
          <w:rFonts w:eastAsia="Times New Roman" w:cs="Arial"/>
          <w:color w:val="000000"/>
          <w:sz w:val="18"/>
          <w:szCs w:val="18"/>
          <w:lang w:eastAsia="pl-PL"/>
        </w:rPr>
        <w:br/>
      </w:r>
      <w:r w:rsidRPr="003478AF">
        <w:rPr>
          <w:rFonts w:eastAsia="Times New Roman" w:cs="Arial"/>
          <w:color w:val="000000"/>
          <w:sz w:val="18"/>
          <w:szCs w:val="18"/>
          <w:lang w:eastAsia="pl-PL"/>
        </w:rPr>
        <w:t>o obiegu zamkniętym, Warmińsko-Mazurski Ośrodek Doradztwa Rolniczego z siedzibą w Olsztynie</w:t>
      </w:r>
    </w:p>
    <w:p w14:paraId="302AF9AF" w14:textId="77777777" w:rsidR="00AD02AA" w:rsidRPr="003478AF" w:rsidRDefault="00AD02AA" w:rsidP="00AD02AA">
      <w:pPr>
        <w:ind w:left="426" w:hanging="426"/>
        <w:rPr>
          <w:rFonts w:eastAsia="Times New Roman" w:cs="Arial"/>
          <w:color w:val="000000"/>
          <w:sz w:val="18"/>
          <w:szCs w:val="18"/>
          <w:lang w:eastAsia="pl-PL"/>
        </w:rPr>
      </w:pPr>
      <w:r w:rsidRPr="003478AF">
        <w:rPr>
          <w:rFonts w:eastAsia="Times New Roman" w:cs="Arial"/>
          <w:color w:val="000000"/>
          <w:sz w:val="18"/>
          <w:szCs w:val="18"/>
          <w:lang w:eastAsia="pl-PL"/>
        </w:rPr>
        <w:t>F. M. Gil (2009) – Natura 2000 i Akwakultura – Wydawnictwo MŚ, Warszawa, s.1-33</w:t>
      </w:r>
    </w:p>
    <w:p w14:paraId="7BB97095" w14:textId="77777777" w:rsidR="00AD02AA" w:rsidRPr="003478AF" w:rsidRDefault="00AD02AA" w:rsidP="00AD02AA">
      <w:pPr>
        <w:ind w:left="426" w:hanging="426"/>
        <w:rPr>
          <w:rFonts w:eastAsia="Times New Roman" w:cs="Arial"/>
          <w:color w:val="000000"/>
          <w:sz w:val="18"/>
          <w:szCs w:val="18"/>
          <w:lang w:val="en-GB" w:eastAsia="pl-PL"/>
        </w:rPr>
      </w:pPr>
      <w:r w:rsidRPr="003478AF">
        <w:rPr>
          <w:rFonts w:eastAsia="Times New Roman" w:cs="Arial"/>
          <w:color w:val="000000"/>
          <w:sz w:val="18"/>
          <w:szCs w:val="18"/>
          <w:lang w:val="en-GB" w:eastAsia="pl-PL"/>
        </w:rPr>
        <w:t>F.B.Shinagawa, F.C.Santana, L.R.O.Torres, J.Mancini-Filho (2015) Grape seed oil: a potential functional food? Journal of Food Science and Technology, 35, 399-406.</w:t>
      </w:r>
    </w:p>
    <w:p w14:paraId="1421054F" w14:textId="77777777" w:rsidR="00AD02AA" w:rsidRPr="003478AF" w:rsidRDefault="00AD02AA" w:rsidP="00AD02AA">
      <w:pPr>
        <w:ind w:left="426" w:hanging="426"/>
        <w:rPr>
          <w:rFonts w:eastAsia="Times New Roman" w:cs="Arial"/>
          <w:color w:val="000000"/>
          <w:sz w:val="18"/>
          <w:szCs w:val="18"/>
          <w:lang w:val="en-GB" w:eastAsia="pl-PL"/>
        </w:rPr>
      </w:pPr>
      <w:r w:rsidRPr="003478AF">
        <w:rPr>
          <w:rFonts w:eastAsia="Times New Roman" w:cs="Arial"/>
          <w:color w:val="000000"/>
          <w:sz w:val="18"/>
          <w:szCs w:val="18"/>
          <w:lang w:val="en-US" w:eastAsia="pl-PL"/>
        </w:rPr>
        <w:t>G.Laufenberg, B.Kunz, M.Nystroem (2003) Transformation of vegetable waste into value added products: (A) the upgrading concept; (B) practical implementations, Bioresource Technology, 87, 167- 198.</w:t>
      </w:r>
    </w:p>
    <w:p w14:paraId="51D560DE" w14:textId="77777777" w:rsidR="00AD02AA" w:rsidRPr="003478AF" w:rsidRDefault="00AD02AA" w:rsidP="00AD02AA">
      <w:pPr>
        <w:ind w:left="426" w:hanging="426"/>
        <w:rPr>
          <w:rFonts w:eastAsia="Times New Roman" w:cs="Arial"/>
          <w:color w:val="000000"/>
          <w:sz w:val="18"/>
          <w:szCs w:val="18"/>
          <w:lang w:val="en-GB" w:eastAsia="pl-PL"/>
        </w:rPr>
      </w:pPr>
      <w:r w:rsidRPr="003478AF">
        <w:rPr>
          <w:rFonts w:eastAsia="Times New Roman" w:cs="Arial"/>
          <w:color w:val="000000"/>
          <w:sz w:val="18"/>
          <w:szCs w:val="18"/>
          <w:lang w:val="en-US" w:eastAsia="pl-PL"/>
        </w:rPr>
        <w:t>Growth Within: A Circular Economy Vision for a Competitive Europe: Ellen MacArthur Foundation, Stiftungsfonds für Umweltökonomie und Nachhaltigkeit (SUN) i McKinsey Center for Business and Environmen, 2015</w:t>
      </w:r>
    </w:p>
    <w:p w14:paraId="01F21532" w14:textId="1ED13B47" w:rsidR="00AD02AA" w:rsidRPr="003478AF" w:rsidRDefault="00AD02AA" w:rsidP="00AD02AA">
      <w:pPr>
        <w:ind w:left="426" w:hanging="426"/>
        <w:jc w:val="left"/>
        <w:rPr>
          <w:rFonts w:eastAsia="Times New Roman" w:cs="Arial"/>
          <w:color w:val="000000"/>
          <w:sz w:val="18"/>
          <w:szCs w:val="18"/>
          <w:lang w:eastAsia="pl-PL"/>
        </w:rPr>
      </w:pPr>
      <w:r w:rsidRPr="003478AF">
        <w:rPr>
          <w:rFonts w:eastAsia="Times New Roman" w:cs="Arial"/>
          <w:color w:val="000000"/>
          <w:sz w:val="18"/>
          <w:szCs w:val="18"/>
          <w:lang w:eastAsia="pl-PL"/>
        </w:rPr>
        <w:t>http</w:t>
      </w:r>
      <w:r w:rsidR="000B32B6" w:rsidRPr="003478AF">
        <w:rPr>
          <w:rFonts w:eastAsia="Times New Roman" w:cs="Arial"/>
          <w:color w:val="000000"/>
          <w:sz w:val="18"/>
          <w:szCs w:val="18"/>
          <w:lang w:eastAsia="pl-PL"/>
        </w:rPr>
        <w:t>s</w:t>
      </w:r>
      <w:r w:rsidRPr="003478AF">
        <w:rPr>
          <w:rFonts w:eastAsia="Times New Roman" w:cs="Arial"/>
          <w:color w:val="000000"/>
          <w:sz w:val="18"/>
          <w:szCs w:val="18"/>
          <w:lang w:eastAsia="pl-PL"/>
        </w:rPr>
        <w:t>://eko-logis.com.pl/podzial-odpadow/; dostęp 20.05.2021</w:t>
      </w:r>
      <w:r w:rsidR="00FE614B" w:rsidRPr="003478AF">
        <w:rPr>
          <w:rFonts w:eastAsia="Times New Roman" w:cs="Arial"/>
          <w:color w:val="000000"/>
          <w:sz w:val="18"/>
          <w:szCs w:val="18"/>
          <w:lang w:eastAsia="pl-PL"/>
        </w:rPr>
        <w:t> r.</w:t>
      </w:r>
    </w:p>
    <w:p w14:paraId="3F23CBE6" w14:textId="32BF5478" w:rsidR="00AD02AA" w:rsidRPr="003478AF" w:rsidRDefault="00AD02AA" w:rsidP="00AD02AA">
      <w:pPr>
        <w:ind w:left="426" w:hanging="426"/>
        <w:jc w:val="left"/>
        <w:rPr>
          <w:rFonts w:eastAsia="Times New Roman" w:cs="Arial"/>
          <w:color w:val="000000"/>
          <w:sz w:val="18"/>
          <w:szCs w:val="18"/>
          <w:lang w:eastAsia="pl-PL"/>
        </w:rPr>
      </w:pPr>
      <w:r w:rsidRPr="003478AF">
        <w:rPr>
          <w:rFonts w:eastAsia="Times New Roman" w:cs="Arial"/>
          <w:color w:val="000000"/>
          <w:sz w:val="18"/>
          <w:szCs w:val="18"/>
          <w:lang w:eastAsia="pl-PL"/>
        </w:rPr>
        <w:t>http</w:t>
      </w:r>
      <w:r w:rsidR="000B32B6" w:rsidRPr="003478AF">
        <w:rPr>
          <w:rFonts w:eastAsia="Times New Roman" w:cs="Arial"/>
          <w:color w:val="000000"/>
          <w:sz w:val="18"/>
          <w:szCs w:val="18"/>
          <w:lang w:eastAsia="pl-PL"/>
        </w:rPr>
        <w:t>s</w:t>
      </w:r>
      <w:r w:rsidRPr="003478AF">
        <w:rPr>
          <w:rFonts w:eastAsia="Times New Roman" w:cs="Arial"/>
          <w:color w:val="000000"/>
          <w:sz w:val="18"/>
          <w:szCs w:val="18"/>
          <w:lang w:eastAsia="pl-PL"/>
        </w:rPr>
        <w:t>://iw.org.pl/category/wodor/; dostęp 20.06.2021</w:t>
      </w:r>
      <w:r w:rsidR="00FE614B" w:rsidRPr="003478AF">
        <w:rPr>
          <w:rFonts w:eastAsia="Times New Roman" w:cs="Arial"/>
          <w:color w:val="000000"/>
          <w:sz w:val="18"/>
          <w:szCs w:val="18"/>
          <w:lang w:eastAsia="pl-PL"/>
        </w:rPr>
        <w:t> r.</w:t>
      </w:r>
    </w:p>
    <w:p w14:paraId="5B51FAE4" w14:textId="2BB38EDC" w:rsidR="00AD02AA" w:rsidRPr="003478AF" w:rsidRDefault="00AD02AA" w:rsidP="00AD02AA">
      <w:pPr>
        <w:ind w:left="426" w:hanging="426"/>
        <w:jc w:val="left"/>
        <w:rPr>
          <w:rFonts w:eastAsia="Times New Roman" w:cs="Arial"/>
          <w:color w:val="000000"/>
          <w:sz w:val="18"/>
          <w:szCs w:val="18"/>
          <w:lang w:eastAsia="pl-PL"/>
        </w:rPr>
      </w:pPr>
      <w:r w:rsidRPr="003478AF">
        <w:rPr>
          <w:rFonts w:eastAsia="Times New Roman" w:cs="Arial"/>
          <w:color w:val="000000"/>
          <w:sz w:val="18"/>
          <w:szCs w:val="18"/>
          <w:lang w:eastAsia="pl-PL"/>
        </w:rPr>
        <w:t>http</w:t>
      </w:r>
      <w:r w:rsidR="000B32B6" w:rsidRPr="003478AF">
        <w:rPr>
          <w:rFonts w:eastAsia="Times New Roman" w:cs="Arial"/>
          <w:color w:val="000000"/>
          <w:sz w:val="18"/>
          <w:szCs w:val="18"/>
          <w:lang w:eastAsia="pl-PL"/>
        </w:rPr>
        <w:t>s</w:t>
      </w:r>
      <w:r w:rsidRPr="003478AF">
        <w:rPr>
          <w:rFonts w:eastAsia="Times New Roman" w:cs="Arial"/>
          <w:color w:val="000000"/>
          <w:sz w:val="18"/>
          <w:szCs w:val="18"/>
          <w:lang w:eastAsia="pl-PL"/>
        </w:rPr>
        <w:t>://pakoslaw.pl/news/w-245/czy-pakoslaw-doczeka-sie-biogazowni; dostęp 15.05.2021</w:t>
      </w:r>
    </w:p>
    <w:p w14:paraId="7312E07B" w14:textId="65EAD633" w:rsidR="00AD02AA" w:rsidRPr="003478AF" w:rsidRDefault="00AD02AA" w:rsidP="00AD02AA">
      <w:pPr>
        <w:ind w:left="426" w:hanging="426"/>
        <w:jc w:val="left"/>
        <w:rPr>
          <w:rFonts w:eastAsia="Times New Roman" w:cs="Arial"/>
          <w:color w:val="000000"/>
          <w:sz w:val="18"/>
          <w:szCs w:val="18"/>
          <w:lang w:eastAsia="pl-PL"/>
        </w:rPr>
      </w:pPr>
      <w:r w:rsidRPr="003478AF">
        <w:rPr>
          <w:rFonts w:eastAsia="Times New Roman" w:cs="Arial"/>
          <w:color w:val="000000"/>
          <w:sz w:val="18"/>
          <w:szCs w:val="18"/>
          <w:lang w:eastAsia="pl-PL"/>
        </w:rPr>
        <w:t>http</w:t>
      </w:r>
      <w:r w:rsidR="000B32B6" w:rsidRPr="003478AF">
        <w:rPr>
          <w:rFonts w:eastAsia="Times New Roman" w:cs="Arial"/>
          <w:color w:val="000000"/>
          <w:sz w:val="18"/>
          <w:szCs w:val="18"/>
          <w:lang w:eastAsia="pl-PL"/>
        </w:rPr>
        <w:t>s</w:t>
      </w:r>
      <w:r w:rsidRPr="003478AF">
        <w:rPr>
          <w:rFonts w:eastAsia="Times New Roman" w:cs="Arial"/>
          <w:color w:val="000000"/>
          <w:sz w:val="18"/>
          <w:szCs w:val="18"/>
          <w:lang w:eastAsia="pl-PL"/>
        </w:rPr>
        <w:t>://www.eko-uprawy.pl/rolnictwo/rolnictwo-ekologiczne/rolnictwo-baza-wiedzy/242-bionawozy-stosowane-w-uprawach; dostęp 20.05.2021</w:t>
      </w:r>
      <w:r w:rsidR="00FE614B" w:rsidRPr="003478AF">
        <w:rPr>
          <w:rFonts w:eastAsia="Times New Roman" w:cs="Arial"/>
          <w:color w:val="000000"/>
          <w:sz w:val="18"/>
          <w:szCs w:val="18"/>
          <w:lang w:eastAsia="pl-PL"/>
        </w:rPr>
        <w:t> r.</w:t>
      </w:r>
    </w:p>
    <w:p w14:paraId="363ABEDA" w14:textId="50826A1C" w:rsidR="00AD02AA" w:rsidRPr="003478AF" w:rsidRDefault="00AD02AA" w:rsidP="00AD02AA">
      <w:pPr>
        <w:ind w:left="426" w:hanging="426"/>
        <w:jc w:val="left"/>
        <w:rPr>
          <w:rFonts w:eastAsia="Times New Roman" w:cs="Arial"/>
          <w:color w:val="000000"/>
          <w:sz w:val="18"/>
          <w:szCs w:val="18"/>
          <w:lang w:eastAsia="pl-PL"/>
        </w:rPr>
      </w:pPr>
      <w:r w:rsidRPr="003478AF">
        <w:rPr>
          <w:rFonts w:eastAsia="Times New Roman" w:cs="Arial"/>
          <w:color w:val="000000"/>
          <w:sz w:val="18"/>
          <w:szCs w:val="18"/>
          <w:lang w:eastAsia="pl-PL"/>
        </w:rPr>
        <w:lastRenderedPageBreak/>
        <w:t>http</w:t>
      </w:r>
      <w:r w:rsidR="000B32B6" w:rsidRPr="003478AF">
        <w:rPr>
          <w:rFonts w:eastAsia="Times New Roman" w:cs="Arial"/>
          <w:color w:val="000000"/>
          <w:sz w:val="18"/>
          <w:szCs w:val="18"/>
          <w:lang w:eastAsia="pl-PL"/>
        </w:rPr>
        <w:t>s</w:t>
      </w:r>
      <w:r w:rsidRPr="003478AF">
        <w:rPr>
          <w:rFonts w:eastAsia="Times New Roman" w:cs="Arial"/>
          <w:color w:val="000000"/>
          <w:sz w:val="18"/>
          <w:szCs w:val="18"/>
          <w:lang w:eastAsia="pl-PL"/>
        </w:rPr>
        <w:t>://www.hcp.com.pl/pl/aktualnosci/82/hcegielski-poznan-sa-z-oferta-innowacyjnych-biogazowni-dla-gospodarstw-rolnych; dostęp 15.05.2021</w:t>
      </w:r>
    </w:p>
    <w:p w14:paraId="06B887E4" w14:textId="77777777" w:rsidR="00AD02AA" w:rsidRPr="003478AF" w:rsidRDefault="00AD02AA" w:rsidP="00AD02AA">
      <w:pPr>
        <w:ind w:left="426" w:hanging="426"/>
        <w:jc w:val="left"/>
        <w:rPr>
          <w:rFonts w:eastAsia="Times New Roman" w:cs="Arial"/>
          <w:color w:val="000000"/>
          <w:sz w:val="18"/>
          <w:szCs w:val="18"/>
          <w:lang w:eastAsia="pl-PL"/>
        </w:rPr>
      </w:pPr>
      <w:r w:rsidRPr="003478AF">
        <w:rPr>
          <w:rFonts w:eastAsia="Times New Roman" w:cs="Arial"/>
          <w:color w:val="000000"/>
          <w:sz w:val="18"/>
          <w:szCs w:val="18"/>
          <w:lang w:eastAsia="pl-PL"/>
        </w:rPr>
        <w:t>https://archiwum.bip.kprm.gov.pl/kpr/form/r3762474,Projekt-uchwaly-Rady-Ministrow-w-sprawie-Strategii-produktywnosci-2030.html</w:t>
      </w:r>
    </w:p>
    <w:p w14:paraId="7041EF5F" w14:textId="77777777" w:rsidR="00AD02AA" w:rsidRPr="003478AF" w:rsidRDefault="00AD02AA" w:rsidP="00AD02AA">
      <w:pPr>
        <w:ind w:left="426" w:hanging="426"/>
        <w:jc w:val="left"/>
        <w:rPr>
          <w:rFonts w:eastAsia="Times New Roman" w:cs="Arial"/>
          <w:color w:val="000000"/>
          <w:sz w:val="18"/>
          <w:szCs w:val="18"/>
          <w:lang w:eastAsia="pl-PL"/>
        </w:rPr>
      </w:pPr>
      <w:r w:rsidRPr="003478AF">
        <w:rPr>
          <w:rFonts w:eastAsia="Times New Roman" w:cs="Arial"/>
          <w:color w:val="000000"/>
          <w:sz w:val="18"/>
          <w:szCs w:val="18"/>
          <w:lang w:eastAsia="pl-PL"/>
        </w:rPr>
        <w:t>https://cyrkularni.pl/pl/gospodarka-o-obiegu-zamknietym/; dostęp 20.05.2021</w:t>
      </w:r>
    </w:p>
    <w:p w14:paraId="2C88FC89" w14:textId="77777777" w:rsidR="00AD02AA" w:rsidRPr="003478AF" w:rsidRDefault="00AD02AA" w:rsidP="00AD02AA">
      <w:pPr>
        <w:ind w:left="426" w:hanging="426"/>
        <w:jc w:val="left"/>
        <w:rPr>
          <w:rFonts w:eastAsia="Times New Roman" w:cs="Arial"/>
          <w:color w:val="000000"/>
          <w:sz w:val="18"/>
          <w:szCs w:val="18"/>
          <w:lang w:eastAsia="pl-PL"/>
        </w:rPr>
      </w:pPr>
      <w:r w:rsidRPr="003478AF">
        <w:rPr>
          <w:rFonts w:eastAsia="Times New Roman" w:cs="Arial"/>
          <w:color w:val="000000"/>
          <w:sz w:val="18"/>
          <w:szCs w:val="18"/>
          <w:lang w:eastAsia="pl-PL"/>
        </w:rPr>
        <w:t>https://ec.europa.eu/commission/presscorner/detail/en/IP_19_5895; dostęp 20.05.2021</w:t>
      </w:r>
    </w:p>
    <w:p w14:paraId="1E4CD256" w14:textId="77777777" w:rsidR="00AD02AA" w:rsidRPr="003478AF" w:rsidRDefault="00AD02AA" w:rsidP="00AD02AA">
      <w:pPr>
        <w:ind w:left="426" w:hanging="426"/>
        <w:jc w:val="left"/>
        <w:rPr>
          <w:rFonts w:eastAsia="Times New Roman" w:cs="Arial"/>
          <w:color w:val="000000"/>
          <w:sz w:val="18"/>
          <w:szCs w:val="18"/>
          <w:lang w:eastAsia="pl-PL"/>
        </w:rPr>
      </w:pPr>
      <w:r w:rsidRPr="003478AF">
        <w:rPr>
          <w:rFonts w:eastAsia="Times New Roman" w:cs="Arial"/>
          <w:color w:val="000000"/>
          <w:sz w:val="18"/>
          <w:szCs w:val="18"/>
          <w:lang w:eastAsia="pl-PL"/>
        </w:rPr>
        <w:t>https://ec.europa.eu/environment/ecoap/indicators/circular-economy-indicators_en</w:t>
      </w:r>
    </w:p>
    <w:p w14:paraId="042DFA6C" w14:textId="68FA9C5C" w:rsidR="00AD02AA" w:rsidRPr="003478AF" w:rsidRDefault="00AD02AA" w:rsidP="00AD02AA">
      <w:pPr>
        <w:ind w:left="426" w:hanging="426"/>
        <w:jc w:val="left"/>
        <w:rPr>
          <w:rFonts w:eastAsia="Times New Roman" w:cs="Arial"/>
          <w:color w:val="000000"/>
          <w:sz w:val="18"/>
          <w:szCs w:val="18"/>
          <w:lang w:eastAsia="pl-PL"/>
        </w:rPr>
      </w:pPr>
      <w:r w:rsidRPr="003478AF">
        <w:rPr>
          <w:rFonts w:eastAsia="Times New Roman" w:cs="Arial"/>
          <w:color w:val="000000"/>
          <w:sz w:val="18"/>
          <w:szCs w:val="18"/>
          <w:lang w:eastAsia="pl-PL"/>
        </w:rPr>
        <w:t xml:space="preserve">https://ec.europa.eu/eurostat/web/circular-economy/indicators/monitoring-framework; </w:t>
      </w:r>
      <w:r w:rsidRPr="003478AF">
        <w:rPr>
          <w:rFonts w:eastAsia="Times New Roman" w:cs="Arial"/>
          <w:color w:val="000000"/>
          <w:sz w:val="18"/>
          <w:szCs w:val="18"/>
          <w:lang w:eastAsia="pl-PL"/>
        </w:rPr>
        <w:br/>
        <w:t>dostęp 20.05.2021</w:t>
      </w:r>
      <w:r w:rsidR="00FE614B" w:rsidRPr="003478AF">
        <w:rPr>
          <w:rFonts w:eastAsia="Times New Roman" w:cs="Arial"/>
          <w:color w:val="000000"/>
          <w:sz w:val="18"/>
          <w:szCs w:val="18"/>
          <w:lang w:eastAsia="pl-PL"/>
        </w:rPr>
        <w:t> r.</w:t>
      </w:r>
    </w:p>
    <w:p w14:paraId="72ECB827" w14:textId="1E203574" w:rsidR="00AD02AA" w:rsidRPr="003478AF" w:rsidRDefault="00AD02AA" w:rsidP="00AD02AA">
      <w:pPr>
        <w:ind w:left="426" w:hanging="426"/>
        <w:jc w:val="left"/>
        <w:rPr>
          <w:rFonts w:eastAsia="Times New Roman" w:cs="Arial"/>
          <w:color w:val="000000"/>
          <w:sz w:val="18"/>
          <w:szCs w:val="18"/>
          <w:lang w:eastAsia="pl-PL"/>
        </w:rPr>
      </w:pPr>
      <w:r w:rsidRPr="003478AF">
        <w:rPr>
          <w:rFonts w:eastAsia="Times New Roman" w:cs="Arial"/>
          <w:color w:val="000000"/>
          <w:sz w:val="18"/>
          <w:szCs w:val="18"/>
          <w:lang w:eastAsia="pl-PL"/>
        </w:rPr>
        <w:t xml:space="preserve">https://eplastics.pl/wiadomosci/pb/13663-wodor-i-wegiel-z-plastikowych-smieci; </w:t>
      </w:r>
      <w:r w:rsidRPr="003478AF">
        <w:rPr>
          <w:rFonts w:eastAsia="Times New Roman" w:cs="Arial"/>
          <w:color w:val="000000"/>
          <w:sz w:val="18"/>
          <w:szCs w:val="18"/>
          <w:lang w:eastAsia="pl-PL"/>
        </w:rPr>
        <w:br/>
        <w:t>dostęp 27.05.2021</w:t>
      </w:r>
      <w:r w:rsidR="00FE614B" w:rsidRPr="003478AF">
        <w:rPr>
          <w:rFonts w:eastAsia="Times New Roman" w:cs="Arial"/>
          <w:color w:val="000000"/>
          <w:sz w:val="18"/>
          <w:szCs w:val="18"/>
          <w:lang w:eastAsia="pl-PL"/>
        </w:rPr>
        <w:t> r.</w:t>
      </w:r>
    </w:p>
    <w:p w14:paraId="7E61B5D6" w14:textId="2C3A0D22" w:rsidR="00AD02AA" w:rsidRPr="003478AF" w:rsidRDefault="00AD02AA" w:rsidP="00AD02AA">
      <w:pPr>
        <w:ind w:left="426" w:hanging="426"/>
        <w:jc w:val="left"/>
        <w:rPr>
          <w:rFonts w:eastAsia="Times New Roman" w:cs="Arial"/>
          <w:color w:val="000000"/>
          <w:sz w:val="18"/>
          <w:szCs w:val="18"/>
          <w:lang w:eastAsia="pl-PL"/>
        </w:rPr>
      </w:pPr>
      <w:r w:rsidRPr="003478AF">
        <w:rPr>
          <w:rFonts w:eastAsia="Times New Roman" w:cs="Arial"/>
          <w:color w:val="000000"/>
          <w:sz w:val="18"/>
          <w:szCs w:val="18"/>
          <w:lang w:eastAsia="pl-PL"/>
        </w:rPr>
        <w:t>https://goz.pw.edu.pl/; dostęp 20.05.2021</w:t>
      </w:r>
      <w:r w:rsidR="00FE614B" w:rsidRPr="003478AF">
        <w:rPr>
          <w:rFonts w:eastAsia="Times New Roman" w:cs="Arial"/>
          <w:color w:val="000000"/>
          <w:sz w:val="18"/>
          <w:szCs w:val="18"/>
          <w:lang w:eastAsia="pl-PL"/>
        </w:rPr>
        <w:t> r.</w:t>
      </w:r>
    </w:p>
    <w:p w14:paraId="0589D4BF" w14:textId="3D2F22E9" w:rsidR="00AD02AA" w:rsidRPr="003478AF" w:rsidRDefault="00AD02AA" w:rsidP="00AD02AA">
      <w:pPr>
        <w:ind w:left="426" w:hanging="426"/>
        <w:jc w:val="left"/>
        <w:rPr>
          <w:rFonts w:eastAsia="Times New Roman" w:cs="Arial"/>
          <w:color w:val="000000"/>
          <w:sz w:val="18"/>
          <w:szCs w:val="18"/>
          <w:lang w:eastAsia="pl-PL"/>
        </w:rPr>
      </w:pPr>
      <w:r w:rsidRPr="003478AF">
        <w:rPr>
          <w:rFonts w:eastAsia="Times New Roman" w:cs="Arial"/>
          <w:color w:val="000000"/>
          <w:sz w:val="18"/>
          <w:szCs w:val="18"/>
          <w:lang w:eastAsia="pl-PL"/>
        </w:rPr>
        <w:t xml:space="preserve">https://poprostuenergia.pl/blog/idea-gospodarki-o-obiegu-zamknietym-a-energetyka/; </w:t>
      </w:r>
      <w:r w:rsidRPr="003478AF">
        <w:rPr>
          <w:rFonts w:eastAsia="Times New Roman" w:cs="Arial"/>
          <w:color w:val="000000"/>
          <w:sz w:val="18"/>
          <w:szCs w:val="18"/>
          <w:lang w:eastAsia="pl-PL"/>
        </w:rPr>
        <w:br/>
        <w:t>dostęp 20.06.2021</w:t>
      </w:r>
      <w:r w:rsidR="00FE614B" w:rsidRPr="003478AF">
        <w:rPr>
          <w:rFonts w:eastAsia="Times New Roman" w:cs="Arial"/>
          <w:color w:val="000000"/>
          <w:sz w:val="18"/>
          <w:szCs w:val="18"/>
          <w:lang w:eastAsia="pl-PL"/>
        </w:rPr>
        <w:t> r.</w:t>
      </w:r>
    </w:p>
    <w:p w14:paraId="13B35C8F" w14:textId="317F0467" w:rsidR="00AD02AA" w:rsidRPr="003478AF" w:rsidRDefault="00AD02AA" w:rsidP="00AD02AA">
      <w:pPr>
        <w:ind w:left="426" w:hanging="426"/>
        <w:jc w:val="left"/>
        <w:rPr>
          <w:rFonts w:eastAsia="Times New Roman" w:cs="Arial"/>
          <w:color w:val="000000"/>
          <w:sz w:val="18"/>
          <w:szCs w:val="18"/>
          <w:lang w:eastAsia="pl-PL"/>
        </w:rPr>
      </w:pPr>
      <w:r w:rsidRPr="003478AF">
        <w:rPr>
          <w:rFonts w:eastAsia="Times New Roman" w:cs="Arial"/>
          <w:color w:val="000000"/>
          <w:sz w:val="18"/>
          <w:szCs w:val="18"/>
          <w:lang w:eastAsia="pl-PL"/>
        </w:rPr>
        <w:t>https://wrot.umww.pl/wp-content/uploads/2019/10/DIAGNOZA-2019.pdf; dostęp 20.06.2021</w:t>
      </w:r>
      <w:r w:rsidR="00FE614B" w:rsidRPr="003478AF">
        <w:rPr>
          <w:rFonts w:eastAsia="Times New Roman" w:cs="Arial"/>
          <w:color w:val="000000"/>
          <w:sz w:val="18"/>
          <w:szCs w:val="18"/>
          <w:lang w:eastAsia="pl-PL"/>
        </w:rPr>
        <w:t> r.</w:t>
      </w:r>
    </w:p>
    <w:p w14:paraId="62F2A420" w14:textId="306A8E24" w:rsidR="00AD02AA" w:rsidRPr="003478AF" w:rsidRDefault="00AD02AA" w:rsidP="00AD02AA">
      <w:pPr>
        <w:ind w:left="426" w:hanging="426"/>
        <w:jc w:val="left"/>
        <w:rPr>
          <w:rFonts w:eastAsia="Times New Roman" w:cs="Arial"/>
          <w:color w:val="000000"/>
          <w:sz w:val="18"/>
          <w:szCs w:val="18"/>
          <w:lang w:eastAsia="pl-PL"/>
        </w:rPr>
      </w:pPr>
      <w:r w:rsidRPr="003478AF">
        <w:rPr>
          <w:rFonts w:eastAsia="Times New Roman" w:cs="Arial"/>
          <w:color w:val="000000"/>
          <w:sz w:val="18"/>
          <w:szCs w:val="18"/>
          <w:lang w:eastAsia="pl-PL"/>
        </w:rPr>
        <w:t xml:space="preserve">https://wrpo.wielkopolskie.pl/dowiedz-sie-wiecej-o-programie/poznaj-projekty/przyklady-najciekawszych-projektow/budowa-centrum-badawczo-rozwojowego-oze-przez-gwda-sp-z-o-o-w-pile; </w:t>
      </w:r>
      <w:r w:rsidRPr="003478AF">
        <w:rPr>
          <w:rFonts w:eastAsia="Times New Roman" w:cs="Arial"/>
          <w:color w:val="000000"/>
          <w:sz w:val="18"/>
          <w:szCs w:val="18"/>
          <w:lang w:eastAsia="pl-PL"/>
        </w:rPr>
        <w:br/>
        <w:t>dostęp 20.05.2021</w:t>
      </w:r>
    </w:p>
    <w:p w14:paraId="118F5916" w14:textId="6BFC1944" w:rsidR="00AD02AA" w:rsidRPr="003478AF" w:rsidRDefault="00AD02AA" w:rsidP="00AD02AA">
      <w:pPr>
        <w:ind w:left="426" w:hanging="426"/>
        <w:jc w:val="left"/>
        <w:rPr>
          <w:rFonts w:eastAsia="Times New Roman" w:cs="Arial"/>
          <w:color w:val="000000"/>
          <w:sz w:val="18"/>
          <w:szCs w:val="18"/>
          <w:lang w:eastAsia="pl-PL"/>
        </w:rPr>
      </w:pPr>
      <w:r w:rsidRPr="003478AF">
        <w:rPr>
          <w:rFonts w:eastAsia="Times New Roman" w:cs="Arial"/>
          <w:color w:val="000000"/>
          <w:sz w:val="18"/>
          <w:szCs w:val="18"/>
          <w:lang w:eastAsia="pl-PL"/>
        </w:rPr>
        <w:t>https://www.europarl.europa.eu/news/pl/headlines/society/20181212STO21610/odpady-z-tworzyw-sztucznych-i-recykling-w-ue-fakty-i-liczby; dostęp 20.05.2021</w:t>
      </w:r>
      <w:r w:rsidR="00FE614B" w:rsidRPr="003478AF">
        <w:rPr>
          <w:rFonts w:eastAsia="Times New Roman" w:cs="Arial"/>
          <w:color w:val="000000"/>
          <w:sz w:val="18"/>
          <w:szCs w:val="18"/>
          <w:lang w:eastAsia="pl-PL"/>
        </w:rPr>
        <w:t> r.</w:t>
      </w:r>
    </w:p>
    <w:p w14:paraId="43596554" w14:textId="1AE0DB84" w:rsidR="00AD02AA" w:rsidRPr="003478AF" w:rsidRDefault="00AD02AA" w:rsidP="00AD02AA">
      <w:pPr>
        <w:ind w:left="426" w:hanging="426"/>
        <w:jc w:val="left"/>
        <w:rPr>
          <w:rFonts w:eastAsia="Times New Roman" w:cs="Arial"/>
          <w:color w:val="000000"/>
          <w:sz w:val="18"/>
          <w:szCs w:val="18"/>
          <w:lang w:eastAsia="pl-PL"/>
        </w:rPr>
      </w:pPr>
      <w:r w:rsidRPr="003478AF">
        <w:rPr>
          <w:rFonts w:eastAsia="Times New Roman" w:cs="Arial"/>
          <w:color w:val="000000"/>
          <w:sz w:val="18"/>
          <w:szCs w:val="18"/>
          <w:lang w:eastAsia="pl-PL"/>
        </w:rPr>
        <w:t>https://www.europarl.europa.eu/news/pl/headlines/society/20201208STO93327/wplyw-produkcji-tekstyliow-i-odpadow-tekstylnych-na-srodowisko-infografika; dostęp 20.05.2021</w:t>
      </w:r>
      <w:r w:rsidR="00FE614B" w:rsidRPr="003478AF">
        <w:rPr>
          <w:rFonts w:eastAsia="Times New Roman" w:cs="Arial"/>
          <w:color w:val="000000"/>
          <w:sz w:val="18"/>
          <w:szCs w:val="18"/>
          <w:lang w:eastAsia="pl-PL"/>
        </w:rPr>
        <w:t> r.</w:t>
      </w:r>
    </w:p>
    <w:p w14:paraId="5791142B" w14:textId="29ED3443" w:rsidR="00AD02AA" w:rsidRPr="003478AF" w:rsidRDefault="00AD02AA" w:rsidP="00AD02AA">
      <w:pPr>
        <w:ind w:left="426" w:hanging="426"/>
        <w:jc w:val="left"/>
        <w:rPr>
          <w:rFonts w:eastAsia="Times New Roman" w:cs="Arial"/>
          <w:color w:val="000000"/>
          <w:sz w:val="18"/>
          <w:szCs w:val="18"/>
          <w:lang w:eastAsia="pl-PL"/>
        </w:rPr>
      </w:pPr>
      <w:r w:rsidRPr="003478AF">
        <w:rPr>
          <w:rFonts w:eastAsia="Times New Roman" w:cs="Arial"/>
          <w:color w:val="000000"/>
          <w:sz w:val="18"/>
          <w:szCs w:val="18"/>
          <w:lang w:eastAsia="pl-PL"/>
        </w:rPr>
        <w:t>https://www.fct.put.poznan.pl/pl/content/3614; dostęp 10.05.2021</w:t>
      </w:r>
      <w:r w:rsidR="00FE614B" w:rsidRPr="003478AF">
        <w:rPr>
          <w:rFonts w:eastAsia="Times New Roman" w:cs="Arial"/>
          <w:color w:val="000000"/>
          <w:sz w:val="18"/>
          <w:szCs w:val="18"/>
          <w:lang w:eastAsia="pl-PL"/>
        </w:rPr>
        <w:t> r.</w:t>
      </w:r>
    </w:p>
    <w:p w14:paraId="73BF887D" w14:textId="68D98A15" w:rsidR="00AD02AA" w:rsidRPr="003478AF" w:rsidRDefault="00AD02AA" w:rsidP="00AD02AA">
      <w:pPr>
        <w:ind w:left="426" w:hanging="426"/>
        <w:jc w:val="left"/>
        <w:rPr>
          <w:rFonts w:eastAsia="Times New Roman" w:cs="Arial"/>
          <w:color w:val="000000"/>
          <w:sz w:val="18"/>
          <w:szCs w:val="18"/>
          <w:lang w:eastAsia="pl-PL"/>
        </w:rPr>
      </w:pPr>
      <w:r w:rsidRPr="003478AF">
        <w:rPr>
          <w:rFonts w:eastAsia="Times New Roman" w:cs="Arial"/>
          <w:color w:val="000000"/>
          <w:sz w:val="18"/>
          <w:szCs w:val="18"/>
          <w:lang w:eastAsia="pl-PL"/>
        </w:rPr>
        <w:t>https://www.formika.com.pl/337/zrownowazony_rozwoj; dostęp 7.06.2021</w:t>
      </w:r>
      <w:r w:rsidR="00FE614B" w:rsidRPr="003478AF">
        <w:rPr>
          <w:rFonts w:eastAsia="Times New Roman" w:cs="Arial"/>
          <w:color w:val="000000"/>
          <w:sz w:val="18"/>
          <w:szCs w:val="18"/>
          <w:lang w:eastAsia="pl-PL"/>
        </w:rPr>
        <w:t> r.</w:t>
      </w:r>
    </w:p>
    <w:p w14:paraId="15E41F92" w14:textId="77777777" w:rsidR="00AD02AA" w:rsidRPr="003478AF" w:rsidRDefault="00AD02AA" w:rsidP="00AD02AA">
      <w:pPr>
        <w:ind w:left="426" w:hanging="426"/>
        <w:jc w:val="left"/>
        <w:rPr>
          <w:rFonts w:eastAsia="Times New Roman" w:cs="Arial"/>
          <w:color w:val="000000"/>
          <w:sz w:val="18"/>
          <w:szCs w:val="18"/>
          <w:lang w:eastAsia="pl-PL"/>
        </w:rPr>
      </w:pPr>
      <w:r w:rsidRPr="003478AF">
        <w:rPr>
          <w:rFonts w:eastAsia="Times New Roman" w:cs="Arial"/>
          <w:color w:val="000000"/>
          <w:sz w:val="18"/>
          <w:szCs w:val="18"/>
          <w:lang w:eastAsia="pl-PL"/>
        </w:rPr>
        <w:t>https://www.gramwzielone.pl/bioenergia/3529/problem-z-biogazownia-rolnicza-w-woj-wielkopolskim; dostęp 15.05.2021</w:t>
      </w:r>
    </w:p>
    <w:p w14:paraId="6B9BD6C3" w14:textId="4B4DCDA7" w:rsidR="00AD02AA" w:rsidRPr="003478AF" w:rsidRDefault="00AD02AA" w:rsidP="00AD02AA">
      <w:pPr>
        <w:ind w:left="426" w:hanging="426"/>
        <w:jc w:val="left"/>
        <w:rPr>
          <w:rFonts w:eastAsia="Times New Roman" w:cs="Arial"/>
          <w:color w:val="000000"/>
          <w:sz w:val="18"/>
          <w:szCs w:val="18"/>
          <w:lang w:eastAsia="pl-PL"/>
        </w:rPr>
      </w:pPr>
      <w:r w:rsidRPr="003478AF">
        <w:rPr>
          <w:rFonts w:eastAsia="Times New Roman" w:cs="Arial"/>
          <w:color w:val="000000"/>
          <w:sz w:val="18"/>
          <w:szCs w:val="18"/>
          <w:lang w:eastAsia="pl-PL"/>
        </w:rPr>
        <w:t>https://www.kohtikiertotaloutta.fi/english/, dostęp 19.05.2021</w:t>
      </w:r>
      <w:r w:rsidR="00FE614B" w:rsidRPr="003478AF">
        <w:rPr>
          <w:rFonts w:eastAsia="Times New Roman" w:cs="Arial"/>
          <w:color w:val="000000"/>
          <w:sz w:val="18"/>
          <w:szCs w:val="18"/>
          <w:lang w:eastAsia="pl-PL"/>
        </w:rPr>
        <w:t> r.</w:t>
      </w:r>
    </w:p>
    <w:p w14:paraId="548AF5EB" w14:textId="77777777" w:rsidR="00AD02AA" w:rsidRPr="003478AF" w:rsidRDefault="00AD02AA" w:rsidP="00AD02AA">
      <w:pPr>
        <w:ind w:left="426" w:hanging="426"/>
        <w:jc w:val="left"/>
        <w:rPr>
          <w:rFonts w:eastAsia="Times New Roman" w:cs="Arial"/>
          <w:color w:val="000000"/>
          <w:sz w:val="18"/>
          <w:szCs w:val="18"/>
          <w:lang w:eastAsia="pl-PL"/>
        </w:rPr>
      </w:pPr>
      <w:r w:rsidRPr="003478AF">
        <w:rPr>
          <w:rFonts w:eastAsia="Times New Roman" w:cs="Arial"/>
          <w:color w:val="000000"/>
          <w:sz w:val="18"/>
          <w:szCs w:val="18"/>
          <w:lang w:eastAsia="pl-PL"/>
        </w:rPr>
        <w:t>https://www.teraz-srodowisko.pl/aktualnosci/Potencjal-gospodarki-o-obiegu-zamknietym-tworzenie-nowych-miejsc-pracy-2762.html; dostęp 20.05.2021</w:t>
      </w:r>
    </w:p>
    <w:p w14:paraId="34479849" w14:textId="3AD540CF" w:rsidR="000B32B6" w:rsidRPr="003478AF" w:rsidRDefault="000B32B6" w:rsidP="000B32B6">
      <w:pPr>
        <w:ind w:left="426" w:hanging="426"/>
        <w:rPr>
          <w:rFonts w:eastAsia="Times New Roman" w:cs="Arial"/>
          <w:color w:val="000000"/>
          <w:sz w:val="18"/>
          <w:szCs w:val="18"/>
          <w:lang w:eastAsia="pl-PL"/>
        </w:rPr>
      </w:pPr>
      <w:r w:rsidRPr="003478AF">
        <w:rPr>
          <w:rFonts w:eastAsia="Times New Roman" w:cs="Arial"/>
          <w:color w:val="000000"/>
          <w:sz w:val="18"/>
          <w:szCs w:val="18"/>
          <w:lang w:eastAsia="pl-PL"/>
        </w:rPr>
        <w:t>https://www.ure.gov.pl; dostęp 20.06.2021</w:t>
      </w:r>
      <w:r w:rsidR="00FE614B" w:rsidRPr="003478AF">
        <w:rPr>
          <w:rFonts w:eastAsia="Times New Roman" w:cs="Arial"/>
          <w:color w:val="000000"/>
          <w:sz w:val="18"/>
          <w:szCs w:val="18"/>
          <w:lang w:eastAsia="pl-PL"/>
        </w:rPr>
        <w:t> r.</w:t>
      </w:r>
    </w:p>
    <w:p w14:paraId="7209149B" w14:textId="0E48CDE9" w:rsidR="00AD02AA" w:rsidRPr="003478AF" w:rsidRDefault="00AD02AA" w:rsidP="00AD02AA">
      <w:pPr>
        <w:ind w:left="426" w:hanging="426"/>
        <w:jc w:val="left"/>
        <w:rPr>
          <w:rFonts w:eastAsia="Times New Roman" w:cs="Arial"/>
          <w:color w:val="000000"/>
          <w:sz w:val="18"/>
          <w:szCs w:val="18"/>
          <w:lang w:eastAsia="pl-PL"/>
        </w:rPr>
      </w:pPr>
      <w:r w:rsidRPr="003478AF">
        <w:rPr>
          <w:rFonts w:eastAsia="Times New Roman" w:cs="Arial"/>
          <w:color w:val="000000"/>
          <w:sz w:val="18"/>
          <w:szCs w:val="18"/>
          <w:lang w:eastAsia="pl-PL"/>
        </w:rPr>
        <w:t>https://zepak.com.pl/pl/o-firmie/informacje-o-spolce.html; dostęp 20.06.2021</w:t>
      </w:r>
      <w:r w:rsidR="00FE614B" w:rsidRPr="003478AF">
        <w:rPr>
          <w:rFonts w:eastAsia="Times New Roman" w:cs="Arial"/>
          <w:color w:val="000000"/>
          <w:sz w:val="18"/>
          <w:szCs w:val="18"/>
          <w:lang w:eastAsia="pl-PL"/>
        </w:rPr>
        <w:t> r.</w:t>
      </w:r>
    </w:p>
    <w:p w14:paraId="61686F26" w14:textId="7E41FB52" w:rsidR="00AD02AA" w:rsidRPr="003478AF" w:rsidRDefault="00AD02AA" w:rsidP="00AD02AA">
      <w:pPr>
        <w:ind w:left="426" w:hanging="426"/>
        <w:jc w:val="left"/>
        <w:rPr>
          <w:rFonts w:eastAsia="Times New Roman" w:cs="Arial"/>
          <w:color w:val="000000"/>
          <w:sz w:val="18"/>
          <w:szCs w:val="18"/>
          <w:lang w:eastAsia="pl-PL"/>
        </w:rPr>
      </w:pPr>
      <w:r w:rsidRPr="003478AF">
        <w:rPr>
          <w:rFonts w:eastAsia="Times New Roman" w:cs="Arial"/>
          <w:color w:val="000000"/>
          <w:sz w:val="18"/>
          <w:szCs w:val="18"/>
          <w:lang w:eastAsia="pl-PL"/>
        </w:rPr>
        <w:t>https://zepak.com.pl/pl/program-czysta-polska/program-czysta-polska.html; dostęp 20.06.2021</w:t>
      </w:r>
      <w:r w:rsidR="00FE614B" w:rsidRPr="003478AF">
        <w:rPr>
          <w:rFonts w:eastAsia="Times New Roman" w:cs="Arial"/>
          <w:color w:val="000000"/>
          <w:sz w:val="18"/>
          <w:szCs w:val="18"/>
          <w:lang w:eastAsia="pl-PL"/>
        </w:rPr>
        <w:t> r.</w:t>
      </w:r>
    </w:p>
    <w:p w14:paraId="7E7CF3EB" w14:textId="539766B3" w:rsidR="00AD02AA" w:rsidRPr="003478AF" w:rsidRDefault="00AD02AA" w:rsidP="00AD02AA">
      <w:pPr>
        <w:ind w:left="426" w:hanging="426"/>
        <w:jc w:val="left"/>
        <w:rPr>
          <w:rFonts w:eastAsia="Times New Roman" w:cs="Arial"/>
          <w:color w:val="000000"/>
          <w:sz w:val="18"/>
          <w:szCs w:val="18"/>
          <w:lang w:eastAsia="pl-PL"/>
        </w:rPr>
      </w:pPr>
      <w:r w:rsidRPr="003478AF">
        <w:rPr>
          <w:rFonts w:eastAsia="Times New Roman" w:cs="Arial"/>
          <w:color w:val="000000"/>
          <w:sz w:val="18"/>
          <w:szCs w:val="18"/>
          <w:lang w:eastAsia="pl-PL"/>
        </w:rPr>
        <w:t>https://zepak.com.pl/pl/przetargi/sprzedaz-ubocznych-produktow-spalania.html; dostęp 20.06.2021</w:t>
      </w:r>
      <w:r w:rsidR="00FE614B" w:rsidRPr="003478AF">
        <w:rPr>
          <w:rFonts w:eastAsia="Times New Roman" w:cs="Arial"/>
          <w:color w:val="000000"/>
          <w:sz w:val="18"/>
          <w:szCs w:val="18"/>
          <w:lang w:eastAsia="pl-PL"/>
        </w:rPr>
        <w:t> r.</w:t>
      </w:r>
    </w:p>
    <w:p w14:paraId="1AA68CE3" w14:textId="77777777" w:rsidR="00AD02AA" w:rsidRPr="003478AF" w:rsidRDefault="00AD02AA" w:rsidP="00AD02AA">
      <w:pPr>
        <w:ind w:left="426" w:hanging="426"/>
        <w:rPr>
          <w:rFonts w:eastAsia="Times New Roman" w:cs="Arial"/>
          <w:color w:val="000000"/>
          <w:sz w:val="18"/>
          <w:szCs w:val="18"/>
          <w:lang w:eastAsia="pl-PL"/>
        </w:rPr>
      </w:pPr>
      <w:r w:rsidRPr="003478AF">
        <w:rPr>
          <w:rFonts w:eastAsia="Times New Roman" w:cs="Arial"/>
          <w:color w:val="000000"/>
          <w:sz w:val="18"/>
          <w:szCs w:val="18"/>
          <w:lang w:eastAsia="pl-PL"/>
        </w:rPr>
        <w:t xml:space="preserve">J. Gołaszewski (2011), Wykorzystanie substratów pochodzenia rolniczego w biogazowniach </w:t>
      </w:r>
      <w:r w:rsidRPr="003478AF">
        <w:rPr>
          <w:rFonts w:eastAsia="Times New Roman" w:cs="Arial"/>
          <w:color w:val="000000"/>
          <w:sz w:val="18"/>
          <w:szCs w:val="18"/>
          <w:lang w:eastAsia="pl-PL"/>
        </w:rPr>
        <w:br/>
        <w:t>w Polsce. Postępy Nauk Rolniczych nr 2/2011: 69-94</w:t>
      </w:r>
    </w:p>
    <w:p w14:paraId="0277A687" w14:textId="29EF66B4" w:rsidR="00AD02AA" w:rsidRPr="003478AF" w:rsidRDefault="00AD02AA" w:rsidP="00AD02AA">
      <w:pPr>
        <w:ind w:left="426" w:hanging="426"/>
        <w:jc w:val="left"/>
        <w:rPr>
          <w:rFonts w:eastAsia="Times New Roman" w:cs="Arial"/>
          <w:color w:val="000000"/>
          <w:sz w:val="18"/>
          <w:szCs w:val="18"/>
          <w:lang w:eastAsia="pl-PL"/>
        </w:rPr>
      </w:pPr>
      <w:r w:rsidRPr="003478AF">
        <w:rPr>
          <w:rFonts w:eastAsia="Times New Roman" w:cs="Arial"/>
          <w:color w:val="000000"/>
          <w:sz w:val="18"/>
          <w:szCs w:val="18"/>
          <w:lang w:eastAsia="pl-PL"/>
        </w:rPr>
        <w:t xml:space="preserve">J. Harasym (2011), Biorafinacja i biorafinerie – przemysł przyszłości </w:t>
      </w:r>
      <w:r w:rsidRPr="003478AF">
        <w:rPr>
          <w:rFonts w:eastAsia="Times New Roman" w:cs="Arial"/>
          <w:color w:val="000000"/>
          <w:sz w:val="18"/>
          <w:szCs w:val="18"/>
          <w:lang w:eastAsia="pl-PL"/>
        </w:rPr>
        <w:br/>
        <w:t>http://www.e-biotechnologia.pl/Artykuly/biokonwersja z dnia 30.03.2018</w:t>
      </w:r>
    </w:p>
    <w:p w14:paraId="433C3626" w14:textId="53E3E725" w:rsidR="00AD02AA" w:rsidRPr="003478AF" w:rsidRDefault="00AD02AA" w:rsidP="00AD02AA">
      <w:pPr>
        <w:ind w:left="426" w:hanging="426"/>
        <w:rPr>
          <w:rFonts w:eastAsia="Times New Roman" w:cs="Arial"/>
          <w:color w:val="000000"/>
          <w:sz w:val="18"/>
          <w:szCs w:val="18"/>
          <w:lang w:val="en-GB" w:eastAsia="pl-PL"/>
        </w:rPr>
      </w:pPr>
      <w:r w:rsidRPr="003478AF">
        <w:rPr>
          <w:rFonts w:eastAsia="Times New Roman" w:cs="Arial"/>
          <w:color w:val="000000"/>
          <w:sz w:val="18"/>
          <w:szCs w:val="18"/>
          <w:lang w:val="en-US" w:eastAsia="pl-PL"/>
        </w:rPr>
        <w:t>J. K.Arora, S.S. Marwaha,</w:t>
      </w:r>
      <w:r w:rsidR="00FE614B" w:rsidRPr="003478AF">
        <w:rPr>
          <w:rFonts w:eastAsia="Times New Roman" w:cs="Arial"/>
          <w:color w:val="000000"/>
          <w:sz w:val="18"/>
          <w:szCs w:val="18"/>
          <w:lang w:val="en-US" w:eastAsia="pl-PL"/>
        </w:rPr>
        <w:t> r.</w:t>
      </w:r>
      <w:r w:rsidRPr="003478AF">
        <w:rPr>
          <w:rFonts w:eastAsia="Times New Roman" w:cs="Arial"/>
          <w:color w:val="000000"/>
          <w:sz w:val="18"/>
          <w:szCs w:val="18"/>
          <w:lang w:val="en-US" w:eastAsia="pl-PL"/>
        </w:rPr>
        <w:t xml:space="preserve"> Grover (2002), Biotechnology in Agriculture and Environment, Asiatech Publishers, New Delhi, p.231-265.</w:t>
      </w:r>
    </w:p>
    <w:p w14:paraId="77F636FB" w14:textId="76C05BB7" w:rsidR="00AD02AA" w:rsidRPr="003478AF" w:rsidRDefault="00AD02AA" w:rsidP="00AD02AA">
      <w:pPr>
        <w:ind w:left="426" w:hanging="426"/>
        <w:rPr>
          <w:rFonts w:eastAsia="Times New Roman" w:cs="Arial"/>
          <w:color w:val="000000"/>
          <w:sz w:val="18"/>
          <w:szCs w:val="18"/>
          <w:lang w:val="en-GB" w:eastAsia="pl-PL"/>
        </w:rPr>
      </w:pPr>
      <w:r w:rsidRPr="003478AF">
        <w:rPr>
          <w:rFonts w:eastAsia="Times New Roman" w:cs="Arial"/>
          <w:color w:val="000000"/>
          <w:sz w:val="18"/>
          <w:szCs w:val="18"/>
          <w:lang w:val="en-US" w:eastAsia="pl-PL"/>
        </w:rPr>
        <w:t>J. Kirchherra, L. Piscicellia,</w:t>
      </w:r>
      <w:r w:rsidR="00FE614B" w:rsidRPr="003478AF">
        <w:rPr>
          <w:rFonts w:eastAsia="Times New Roman" w:cs="Arial"/>
          <w:color w:val="000000"/>
          <w:sz w:val="18"/>
          <w:szCs w:val="18"/>
          <w:lang w:val="en-US" w:eastAsia="pl-PL"/>
        </w:rPr>
        <w:t> r.</w:t>
      </w:r>
      <w:r w:rsidRPr="003478AF">
        <w:rPr>
          <w:rFonts w:eastAsia="Times New Roman" w:cs="Arial"/>
          <w:color w:val="000000"/>
          <w:sz w:val="18"/>
          <w:szCs w:val="18"/>
          <w:lang w:val="en-US" w:eastAsia="pl-PL"/>
        </w:rPr>
        <w:t xml:space="preserve"> Boura, E. Kostense-Smitb, J. Mullerb, A. Huibrechtse-Truijensb, </w:t>
      </w:r>
      <w:r w:rsidRPr="003478AF">
        <w:rPr>
          <w:rFonts w:eastAsia="Times New Roman" w:cs="Arial"/>
          <w:color w:val="000000"/>
          <w:sz w:val="18"/>
          <w:szCs w:val="18"/>
          <w:lang w:val="en-US" w:eastAsia="pl-PL"/>
        </w:rPr>
        <w:br/>
        <w:t xml:space="preserve">M. Hekkert, (2018), The Circular Economy: Evidence From the European Union (EU), Ecological Economics Volume 150 </w:t>
      </w:r>
    </w:p>
    <w:p w14:paraId="3BA83099" w14:textId="77777777" w:rsidR="00AD02AA" w:rsidRPr="003478AF" w:rsidRDefault="00AD02AA" w:rsidP="00AD02AA">
      <w:pPr>
        <w:ind w:left="426" w:hanging="426"/>
        <w:rPr>
          <w:rFonts w:eastAsia="Times New Roman" w:cs="Arial"/>
          <w:color w:val="000000"/>
          <w:sz w:val="18"/>
          <w:szCs w:val="18"/>
          <w:lang w:eastAsia="pl-PL"/>
        </w:rPr>
      </w:pPr>
      <w:r w:rsidRPr="003478AF">
        <w:rPr>
          <w:rFonts w:eastAsia="Times New Roman" w:cs="Arial"/>
          <w:color w:val="000000"/>
          <w:sz w:val="18"/>
          <w:szCs w:val="18"/>
          <w:lang w:eastAsia="pl-PL"/>
        </w:rPr>
        <w:t>J. Kulczycka (2020), Wskaźniki monitorowania gospodarki o obiegu zamkniętym, IGSMiE PAN, Kraków</w:t>
      </w:r>
    </w:p>
    <w:p w14:paraId="3E5D2956" w14:textId="77777777" w:rsidR="00AD02AA" w:rsidRPr="003478AF" w:rsidRDefault="00AD02AA" w:rsidP="00AD02AA">
      <w:pPr>
        <w:ind w:left="426" w:hanging="426"/>
        <w:rPr>
          <w:rFonts w:eastAsia="Times New Roman" w:cs="Arial"/>
          <w:color w:val="000000"/>
          <w:sz w:val="18"/>
          <w:szCs w:val="18"/>
          <w:lang w:eastAsia="pl-PL"/>
        </w:rPr>
      </w:pPr>
      <w:r w:rsidRPr="003478AF">
        <w:rPr>
          <w:rFonts w:eastAsia="Times New Roman" w:cs="Arial"/>
          <w:color w:val="000000"/>
          <w:sz w:val="18"/>
          <w:szCs w:val="18"/>
          <w:lang w:eastAsia="pl-PL"/>
        </w:rPr>
        <w:t>J.Guziur, M. Woźniak (2006), Produkcja ryb w małych zbiornikach – Oficyna Wydawnictwo Hoża, Warszawa, s. 1-322.</w:t>
      </w:r>
    </w:p>
    <w:p w14:paraId="17079439" w14:textId="710BD624" w:rsidR="00AD02AA" w:rsidRPr="003478AF" w:rsidRDefault="00AD02AA" w:rsidP="00AD02AA">
      <w:pPr>
        <w:ind w:left="426" w:hanging="426"/>
        <w:rPr>
          <w:rFonts w:eastAsia="Times New Roman" w:cs="Arial"/>
          <w:color w:val="000000"/>
          <w:sz w:val="18"/>
          <w:szCs w:val="18"/>
          <w:lang w:eastAsia="pl-PL"/>
        </w:rPr>
      </w:pPr>
      <w:r w:rsidRPr="003478AF">
        <w:rPr>
          <w:rFonts w:eastAsia="Times New Roman" w:cs="Arial"/>
          <w:color w:val="000000"/>
          <w:sz w:val="18"/>
          <w:szCs w:val="18"/>
          <w:lang w:eastAsia="pl-PL"/>
        </w:rPr>
        <w:t>Komunikat Komisji do Parlamentu Europejskiego, Rady Europejskiej, Rady, Komitetu Ekonomiczno-Społecznego i Komitetu Regionów. Czysta planeta dla wszystkich. Europejska długoterminowa wizja strategiczna dobrze prosperującej, nowoczesnej, konkurencyjnej i neutralnej dla klimatu gospodarki. Bruksela, dnia 28.11.2018</w:t>
      </w:r>
      <w:r w:rsidR="00FE614B" w:rsidRPr="003478AF">
        <w:rPr>
          <w:rFonts w:eastAsia="Times New Roman" w:cs="Arial"/>
          <w:color w:val="000000"/>
          <w:sz w:val="18"/>
          <w:szCs w:val="18"/>
          <w:lang w:eastAsia="pl-PL"/>
        </w:rPr>
        <w:t> r.</w:t>
      </w:r>
      <w:r w:rsidRPr="003478AF">
        <w:rPr>
          <w:rFonts w:eastAsia="Times New Roman" w:cs="Arial"/>
          <w:color w:val="000000"/>
          <w:sz w:val="18"/>
          <w:szCs w:val="18"/>
          <w:lang w:eastAsia="pl-PL"/>
        </w:rPr>
        <w:t xml:space="preserve"> COM(2018) 773 final</w:t>
      </w:r>
    </w:p>
    <w:p w14:paraId="18CE093B" w14:textId="69154717" w:rsidR="00AD02AA" w:rsidRPr="003478AF" w:rsidRDefault="00AD02AA" w:rsidP="00AD02AA">
      <w:pPr>
        <w:ind w:left="426" w:hanging="426"/>
        <w:rPr>
          <w:rFonts w:eastAsia="Times New Roman" w:cs="Arial"/>
          <w:color w:val="000000"/>
          <w:sz w:val="18"/>
          <w:szCs w:val="18"/>
          <w:lang w:eastAsia="pl-PL"/>
        </w:rPr>
      </w:pPr>
      <w:r w:rsidRPr="003478AF">
        <w:rPr>
          <w:rFonts w:eastAsia="Times New Roman" w:cs="Arial"/>
          <w:color w:val="000000"/>
          <w:sz w:val="18"/>
          <w:szCs w:val="18"/>
          <w:lang w:eastAsia="pl-PL"/>
        </w:rPr>
        <w:lastRenderedPageBreak/>
        <w:t>Komunikat Komisji do Parlamentu Europejskiego, Rady Europejskiej, Rady, Komitetu Ekonomiczno-Społecznego i Komitetu Regionów. Europejski Zielony Ład. Bruksela, dnia 11.12.2019</w:t>
      </w:r>
      <w:r w:rsidR="00FE614B" w:rsidRPr="003478AF">
        <w:rPr>
          <w:rFonts w:eastAsia="Times New Roman" w:cs="Arial"/>
          <w:color w:val="000000"/>
          <w:sz w:val="18"/>
          <w:szCs w:val="18"/>
          <w:lang w:eastAsia="pl-PL"/>
        </w:rPr>
        <w:t> r.</w:t>
      </w:r>
      <w:r w:rsidRPr="003478AF">
        <w:rPr>
          <w:rFonts w:eastAsia="Times New Roman" w:cs="Arial"/>
          <w:color w:val="000000"/>
          <w:sz w:val="18"/>
          <w:szCs w:val="18"/>
          <w:lang w:eastAsia="pl-PL"/>
        </w:rPr>
        <w:t xml:space="preserve"> COM(2019) 640 final</w:t>
      </w:r>
    </w:p>
    <w:p w14:paraId="3344CA97" w14:textId="56037336" w:rsidR="00AD02AA" w:rsidRPr="003478AF" w:rsidRDefault="00AD02AA" w:rsidP="00AD02AA">
      <w:pPr>
        <w:ind w:left="426" w:hanging="426"/>
        <w:rPr>
          <w:rFonts w:eastAsia="Times New Roman" w:cs="Arial"/>
          <w:color w:val="000000"/>
          <w:sz w:val="18"/>
          <w:szCs w:val="18"/>
          <w:lang w:eastAsia="pl-PL"/>
        </w:rPr>
      </w:pPr>
      <w:r w:rsidRPr="003478AF">
        <w:rPr>
          <w:rFonts w:eastAsia="Times New Roman" w:cs="Arial"/>
          <w:color w:val="000000"/>
          <w:sz w:val="18"/>
          <w:szCs w:val="18"/>
          <w:lang w:eastAsia="pl-PL"/>
        </w:rPr>
        <w:t>Komunikat Komisji do Parlamentu Europejskiego, Rady Europejskiej, Rady, Komitetu Ekonomiczno-Społecznego i Komitetu Regionów. Nowy plan działania UE dotyczący gospodarki o obiegu zamkniętym na rzecz czystszej i bardziej konkurencyjnej Europy. Bruksela, dnia 11.3.2020</w:t>
      </w:r>
      <w:r w:rsidR="00FE614B" w:rsidRPr="003478AF">
        <w:rPr>
          <w:rFonts w:eastAsia="Times New Roman" w:cs="Arial"/>
          <w:color w:val="000000"/>
          <w:sz w:val="18"/>
          <w:szCs w:val="18"/>
          <w:lang w:eastAsia="pl-PL"/>
        </w:rPr>
        <w:t> r.</w:t>
      </w:r>
      <w:r w:rsidRPr="003478AF">
        <w:rPr>
          <w:rFonts w:eastAsia="Times New Roman" w:cs="Arial"/>
          <w:color w:val="000000"/>
          <w:sz w:val="18"/>
          <w:szCs w:val="18"/>
          <w:lang w:eastAsia="pl-PL"/>
        </w:rPr>
        <w:t xml:space="preserve"> COM(2020) 98 final</w:t>
      </w:r>
    </w:p>
    <w:p w14:paraId="711CD87F" w14:textId="28CB27FE" w:rsidR="00AD02AA" w:rsidRPr="003478AF" w:rsidRDefault="00AD02AA" w:rsidP="00AD02AA">
      <w:pPr>
        <w:ind w:left="426" w:hanging="426"/>
        <w:rPr>
          <w:rFonts w:eastAsia="Times New Roman" w:cs="Arial"/>
          <w:color w:val="000000"/>
          <w:sz w:val="18"/>
          <w:szCs w:val="18"/>
          <w:lang w:eastAsia="pl-PL"/>
        </w:rPr>
      </w:pPr>
      <w:r w:rsidRPr="003478AF">
        <w:rPr>
          <w:rFonts w:eastAsia="Times New Roman" w:cs="Arial"/>
          <w:color w:val="000000"/>
          <w:sz w:val="18"/>
          <w:szCs w:val="18"/>
          <w:lang w:eastAsia="pl-PL"/>
        </w:rPr>
        <w:t>Komunikat Komisji do Parlamentu Europejskiego, Rady, Europejskiego Komitetu Ekonomiczno-Społecznego i Komitetu Regionów. Ku gospodarce o obiegu zamkniętym: program „zero odpadów dla Europy”. Bruksela, dnia 25.9.2014</w:t>
      </w:r>
      <w:r w:rsidR="00FE614B" w:rsidRPr="003478AF">
        <w:rPr>
          <w:rFonts w:eastAsia="Times New Roman" w:cs="Arial"/>
          <w:color w:val="000000"/>
          <w:sz w:val="18"/>
          <w:szCs w:val="18"/>
          <w:lang w:eastAsia="pl-PL"/>
        </w:rPr>
        <w:t> r.</w:t>
      </w:r>
      <w:r w:rsidRPr="003478AF">
        <w:rPr>
          <w:rFonts w:eastAsia="Times New Roman" w:cs="Arial"/>
          <w:color w:val="000000"/>
          <w:sz w:val="18"/>
          <w:szCs w:val="18"/>
          <w:lang w:eastAsia="pl-PL"/>
        </w:rPr>
        <w:t xml:space="preserve"> COM(2014) 398 final/2</w:t>
      </w:r>
    </w:p>
    <w:p w14:paraId="7AAA7193" w14:textId="5DCB473B" w:rsidR="00AD02AA" w:rsidRPr="003478AF" w:rsidRDefault="00AD02AA" w:rsidP="00AD02AA">
      <w:pPr>
        <w:ind w:left="426" w:hanging="426"/>
        <w:rPr>
          <w:rFonts w:eastAsia="Times New Roman" w:cs="Arial"/>
          <w:color w:val="000000"/>
          <w:sz w:val="18"/>
          <w:szCs w:val="18"/>
          <w:lang w:eastAsia="pl-PL"/>
        </w:rPr>
      </w:pPr>
      <w:r w:rsidRPr="003478AF">
        <w:rPr>
          <w:rFonts w:eastAsia="Times New Roman" w:cs="Arial"/>
          <w:color w:val="000000"/>
          <w:sz w:val="18"/>
          <w:szCs w:val="18"/>
          <w:lang w:eastAsia="pl-PL"/>
        </w:rPr>
        <w:t>Komunikat Komisji Do Parlamentu Europejskiego, Rady, Europejskiego Komitetu Ekonomiczno-Społecznego i Komitetu Regionów. Strategia w zakresie wodoru na rzecz Europy neutralnej dla klimatu. Bruksela, dnia 8.7.2020</w:t>
      </w:r>
      <w:r w:rsidR="00FE614B" w:rsidRPr="003478AF">
        <w:rPr>
          <w:rFonts w:eastAsia="Times New Roman" w:cs="Arial"/>
          <w:color w:val="000000"/>
          <w:sz w:val="18"/>
          <w:szCs w:val="18"/>
          <w:lang w:eastAsia="pl-PL"/>
        </w:rPr>
        <w:t> r.</w:t>
      </w:r>
      <w:r w:rsidRPr="003478AF">
        <w:rPr>
          <w:rFonts w:eastAsia="Times New Roman" w:cs="Arial"/>
          <w:color w:val="000000"/>
          <w:sz w:val="18"/>
          <w:szCs w:val="18"/>
          <w:lang w:eastAsia="pl-PL"/>
        </w:rPr>
        <w:t xml:space="preserve"> COM(2020) 301 final</w:t>
      </w:r>
    </w:p>
    <w:p w14:paraId="77D414E7" w14:textId="61ADABFE" w:rsidR="00AD02AA" w:rsidRPr="003478AF" w:rsidRDefault="00AD02AA" w:rsidP="00AD02AA">
      <w:pPr>
        <w:ind w:left="426" w:hanging="426"/>
        <w:rPr>
          <w:rFonts w:eastAsia="Times New Roman" w:cs="Arial"/>
          <w:color w:val="000000"/>
          <w:sz w:val="18"/>
          <w:szCs w:val="18"/>
          <w:lang w:eastAsia="pl-PL"/>
        </w:rPr>
      </w:pPr>
      <w:r w:rsidRPr="003478AF">
        <w:rPr>
          <w:rFonts w:eastAsia="Times New Roman" w:cs="Arial"/>
          <w:color w:val="000000"/>
          <w:sz w:val="18"/>
          <w:szCs w:val="18"/>
          <w:lang w:eastAsia="pl-PL"/>
        </w:rPr>
        <w:t xml:space="preserve">Komunikat Komisji do Parlamentu Europejskiego, Rady, Europejskiego Komitetu Ekonomiczno-Społecznego i Komitetu Regionów. Zamknięcie obiegu - plan działania UE dotyczący gospodarki </w:t>
      </w:r>
      <w:r w:rsidRPr="003478AF">
        <w:rPr>
          <w:rFonts w:eastAsia="Times New Roman" w:cs="Arial"/>
          <w:color w:val="000000"/>
          <w:sz w:val="18"/>
          <w:szCs w:val="18"/>
          <w:lang w:eastAsia="pl-PL"/>
        </w:rPr>
        <w:br/>
        <w:t>o obiegu zamkniętym. Bruksela, dnia 2.12.2015</w:t>
      </w:r>
      <w:r w:rsidR="00FE614B" w:rsidRPr="003478AF">
        <w:rPr>
          <w:rFonts w:eastAsia="Times New Roman" w:cs="Arial"/>
          <w:color w:val="000000"/>
          <w:sz w:val="18"/>
          <w:szCs w:val="18"/>
          <w:lang w:eastAsia="pl-PL"/>
        </w:rPr>
        <w:t> r.</w:t>
      </w:r>
      <w:r w:rsidRPr="003478AF">
        <w:rPr>
          <w:rFonts w:eastAsia="Times New Roman" w:cs="Arial"/>
          <w:color w:val="000000"/>
          <w:sz w:val="18"/>
          <w:szCs w:val="18"/>
          <w:lang w:eastAsia="pl-PL"/>
        </w:rPr>
        <w:t xml:space="preserve"> COM(2015) 614 final</w:t>
      </w:r>
    </w:p>
    <w:p w14:paraId="1E32CF8A" w14:textId="77777777" w:rsidR="00AD02AA" w:rsidRPr="003478AF" w:rsidRDefault="00AD02AA" w:rsidP="00AD02AA">
      <w:pPr>
        <w:ind w:left="426" w:hanging="426"/>
        <w:rPr>
          <w:rFonts w:eastAsia="Times New Roman" w:cs="Arial"/>
          <w:color w:val="000000"/>
          <w:sz w:val="18"/>
          <w:szCs w:val="18"/>
          <w:lang w:eastAsia="pl-PL"/>
        </w:rPr>
      </w:pPr>
      <w:r w:rsidRPr="003478AF">
        <w:rPr>
          <w:rFonts w:eastAsia="Times New Roman" w:cs="Arial"/>
          <w:color w:val="000000"/>
          <w:sz w:val="18"/>
          <w:szCs w:val="18"/>
          <w:lang w:eastAsia="pl-PL"/>
        </w:rPr>
        <w:t xml:space="preserve">Krajowa Inteligenta Specjalizacja KIS 7. GOSPODARKA O OBIEGU ZAMKNIĘTYM – woda, surowce kopalne, odpady, Ministerstwo Rozwoju, Pracy i Technologii Warszawa, 29 marca 2021 </w:t>
      </w:r>
    </w:p>
    <w:p w14:paraId="1E50B115" w14:textId="2A122033" w:rsidR="00AD02AA" w:rsidRPr="003478AF" w:rsidRDefault="00AD02AA" w:rsidP="00AD02AA">
      <w:pPr>
        <w:ind w:left="426" w:hanging="426"/>
        <w:rPr>
          <w:rFonts w:eastAsia="Times New Roman" w:cs="Arial"/>
          <w:color w:val="000000"/>
          <w:sz w:val="18"/>
          <w:szCs w:val="18"/>
          <w:lang w:eastAsia="pl-PL"/>
        </w:rPr>
      </w:pPr>
      <w:r w:rsidRPr="003478AF">
        <w:rPr>
          <w:rFonts w:eastAsia="Times New Roman" w:cs="Arial"/>
          <w:color w:val="000000"/>
          <w:sz w:val="18"/>
          <w:szCs w:val="18"/>
          <w:lang w:eastAsia="pl-PL"/>
        </w:rPr>
        <w:t>Krajowa Inteligentna Specjalizacja (KIS) - aktualizacja 2020</w:t>
      </w:r>
      <w:r w:rsidR="00FE614B" w:rsidRPr="003478AF">
        <w:rPr>
          <w:rFonts w:eastAsia="Times New Roman" w:cs="Arial"/>
          <w:color w:val="000000"/>
          <w:sz w:val="18"/>
          <w:szCs w:val="18"/>
          <w:lang w:eastAsia="pl-PL"/>
        </w:rPr>
        <w:t> r.</w:t>
      </w:r>
      <w:r w:rsidRPr="003478AF">
        <w:rPr>
          <w:rFonts w:eastAsia="Times New Roman" w:cs="Arial"/>
          <w:color w:val="000000"/>
          <w:sz w:val="18"/>
          <w:szCs w:val="18"/>
          <w:lang w:eastAsia="pl-PL"/>
        </w:rPr>
        <w:t xml:space="preserve"> Ministerstwo Rozwoju. Projekt z dnia 29.09. 2020</w:t>
      </w:r>
      <w:r w:rsidR="00FE614B" w:rsidRPr="003478AF">
        <w:rPr>
          <w:rFonts w:eastAsia="Times New Roman" w:cs="Arial"/>
          <w:color w:val="000000"/>
          <w:sz w:val="18"/>
          <w:szCs w:val="18"/>
          <w:lang w:eastAsia="pl-PL"/>
        </w:rPr>
        <w:t> r.</w:t>
      </w:r>
      <w:r w:rsidRPr="003478AF">
        <w:rPr>
          <w:rFonts w:eastAsia="Times New Roman" w:cs="Arial"/>
          <w:color w:val="000000"/>
          <w:sz w:val="18"/>
          <w:szCs w:val="18"/>
          <w:lang w:eastAsia="pl-PL"/>
        </w:rPr>
        <w:t xml:space="preserve"> Załącznik nr 2 do Strategii produktywności 2030</w:t>
      </w:r>
    </w:p>
    <w:p w14:paraId="18A64534" w14:textId="52928E51" w:rsidR="00AD02AA" w:rsidRPr="003478AF" w:rsidRDefault="00AD02AA" w:rsidP="00AD02AA">
      <w:pPr>
        <w:ind w:left="426" w:hanging="426"/>
        <w:rPr>
          <w:rFonts w:eastAsia="Times New Roman" w:cs="Arial"/>
          <w:color w:val="000000"/>
          <w:sz w:val="18"/>
          <w:szCs w:val="18"/>
          <w:lang w:eastAsia="pl-PL"/>
        </w:rPr>
      </w:pPr>
      <w:r w:rsidRPr="003478AF">
        <w:rPr>
          <w:rFonts w:eastAsia="Times New Roman" w:cs="Arial"/>
          <w:color w:val="000000"/>
          <w:sz w:val="18"/>
          <w:szCs w:val="18"/>
          <w:lang w:eastAsia="pl-PL"/>
        </w:rPr>
        <w:t>Krajowa strategia rozwoju regionalnego 2030, Warszawa, wrzesień 2019</w:t>
      </w:r>
      <w:r w:rsidR="00FE614B" w:rsidRPr="003478AF">
        <w:rPr>
          <w:rFonts w:eastAsia="Times New Roman" w:cs="Arial"/>
          <w:color w:val="000000"/>
          <w:sz w:val="18"/>
          <w:szCs w:val="18"/>
          <w:lang w:eastAsia="pl-PL"/>
        </w:rPr>
        <w:t> r.</w:t>
      </w:r>
    </w:p>
    <w:p w14:paraId="3DB995D0" w14:textId="77777777" w:rsidR="00AD02AA" w:rsidRPr="003478AF" w:rsidRDefault="00AD02AA" w:rsidP="00AD02AA">
      <w:pPr>
        <w:ind w:left="426" w:hanging="426"/>
        <w:rPr>
          <w:rFonts w:eastAsia="Times New Roman" w:cs="Arial"/>
          <w:color w:val="000000"/>
          <w:sz w:val="18"/>
          <w:szCs w:val="18"/>
          <w:lang w:eastAsia="pl-PL"/>
        </w:rPr>
      </w:pPr>
      <w:r w:rsidRPr="003478AF">
        <w:rPr>
          <w:rFonts w:eastAsia="Times New Roman" w:cs="Arial"/>
          <w:color w:val="000000"/>
          <w:sz w:val="18"/>
          <w:szCs w:val="18"/>
          <w:lang w:eastAsia="pl-PL"/>
        </w:rPr>
        <w:t xml:space="preserve">Krajowy plan na rzecz energii i klimatu na lata 2021-2030. Założenia i cele oraz polityki </w:t>
      </w:r>
      <w:r w:rsidRPr="003478AF">
        <w:rPr>
          <w:rFonts w:eastAsia="Times New Roman" w:cs="Arial"/>
          <w:color w:val="000000"/>
          <w:sz w:val="18"/>
          <w:szCs w:val="18"/>
          <w:lang w:eastAsia="pl-PL"/>
        </w:rPr>
        <w:br/>
        <w:t>i działania. Wersja 4.1 z dn. 18.12.2019. Ministerstwo Aktywów Państwowych.</w:t>
      </w:r>
    </w:p>
    <w:p w14:paraId="13B50FB4" w14:textId="77777777" w:rsidR="00AD02AA" w:rsidRPr="003478AF" w:rsidRDefault="00AD02AA" w:rsidP="00AD02AA">
      <w:pPr>
        <w:ind w:left="426" w:hanging="426"/>
        <w:rPr>
          <w:rFonts w:eastAsia="Times New Roman" w:cs="Arial"/>
          <w:color w:val="000000"/>
          <w:sz w:val="18"/>
          <w:szCs w:val="18"/>
          <w:lang w:eastAsia="pl-PL"/>
        </w:rPr>
      </w:pPr>
      <w:r w:rsidRPr="003478AF">
        <w:rPr>
          <w:rFonts w:eastAsia="Times New Roman" w:cs="Arial"/>
          <w:color w:val="000000"/>
          <w:sz w:val="18"/>
          <w:szCs w:val="18"/>
          <w:lang w:eastAsia="pl-PL"/>
        </w:rPr>
        <w:t>Kryteria oceny merytorycznej I stopnia koncepcji projektowych składanych dla Programu Operacyjnego Środowisko, Energia i Zmiany Klimatu realizowanego w ramach Mechanizmu Finansowego EOG na lata 2014-2021 „Wzmocnienie realizacji gospodarki o obiegu zamkniętym”</w:t>
      </w:r>
    </w:p>
    <w:p w14:paraId="24281647" w14:textId="5B67597B" w:rsidR="00AD02AA" w:rsidRPr="003478AF" w:rsidRDefault="00AD02AA" w:rsidP="00AD02AA">
      <w:pPr>
        <w:ind w:left="426" w:hanging="426"/>
        <w:rPr>
          <w:rFonts w:eastAsia="Times New Roman" w:cs="Arial"/>
          <w:color w:val="000000"/>
          <w:sz w:val="18"/>
          <w:szCs w:val="18"/>
          <w:lang w:eastAsia="pl-PL"/>
        </w:rPr>
      </w:pPr>
      <w:r w:rsidRPr="003478AF">
        <w:rPr>
          <w:rFonts w:eastAsia="Times New Roman" w:cs="Arial"/>
          <w:color w:val="000000"/>
          <w:sz w:val="18"/>
          <w:szCs w:val="18"/>
          <w:lang w:eastAsia="pl-PL"/>
        </w:rPr>
        <w:t>L.J. Yu, M.S.L .Brooks (2016) Food industry protein by-products and their applications. Chapter 7, Protein Byprod</w:t>
      </w:r>
      <w:r w:rsidR="000B32B6" w:rsidRPr="003478AF">
        <w:rPr>
          <w:rFonts w:eastAsia="Times New Roman" w:cs="Arial"/>
          <w:color w:val="000000"/>
          <w:sz w:val="18"/>
          <w:szCs w:val="18"/>
          <w:lang w:eastAsia="pl-PL"/>
        </w:rPr>
        <w:t>ucts, Academic Press, p.120-132</w:t>
      </w:r>
    </w:p>
    <w:p w14:paraId="30EB69E0" w14:textId="60C57A93" w:rsidR="00AD02AA" w:rsidRPr="003478AF" w:rsidRDefault="00AD02AA" w:rsidP="00AD02AA">
      <w:pPr>
        <w:ind w:left="426" w:hanging="426"/>
        <w:rPr>
          <w:rFonts w:eastAsia="Times New Roman" w:cs="Arial"/>
          <w:color w:val="000000"/>
          <w:sz w:val="18"/>
          <w:szCs w:val="18"/>
          <w:lang w:eastAsia="pl-PL"/>
        </w:rPr>
      </w:pPr>
      <w:r w:rsidRPr="003478AF">
        <w:rPr>
          <w:rFonts w:eastAsia="Times New Roman" w:cs="Arial"/>
          <w:color w:val="000000"/>
          <w:sz w:val="18"/>
          <w:szCs w:val="18"/>
          <w:lang w:eastAsia="pl-PL"/>
        </w:rPr>
        <w:t>Ł. Sosnowski (2018), ECO design podstawą GOZu, Energia i Recykling: gospodarka obiegu</w:t>
      </w:r>
      <w:r w:rsidRPr="003478AF">
        <w:t xml:space="preserve"> zamkniętego, ABRYS Sp. z o.o. </w:t>
      </w:r>
      <w:r w:rsidR="000B32B6" w:rsidRPr="003478AF">
        <w:t>nr. 4</w:t>
      </w:r>
    </w:p>
    <w:p w14:paraId="5249862C" w14:textId="4722DC36" w:rsidR="00AD02AA" w:rsidRPr="003478AF" w:rsidRDefault="00AD02AA" w:rsidP="00AD02AA">
      <w:pPr>
        <w:ind w:left="426" w:hanging="426"/>
        <w:rPr>
          <w:rFonts w:eastAsia="Times New Roman" w:cs="Arial"/>
          <w:color w:val="000000"/>
          <w:sz w:val="18"/>
          <w:szCs w:val="18"/>
          <w:lang w:val="en-GB" w:eastAsia="pl-PL"/>
        </w:rPr>
      </w:pPr>
      <w:r w:rsidRPr="003478AF">
        <w:rPr>
          <w:rFonts w:eastAsia="Times New Roman" w:cs="Arial"/>
          <w:color w:val="000000"/>
          <w:sz w:val="18"/>
          <w:szCs w:val="18"/>
          <w:lang w:val="en-GB" w:eastAsia="pl-PL"/>
        </w:rPr>
        <w:t>M. Janiga, m. Michniewicz, J. Stufka-Olczak (2012), Properties and Possible Utilization of Waste Generated in the Production of Fibrous Pulp and Paper. FIBRES &amp; TEXTILES in Eastern Eu</w:t>
      </w:r>
      <w:r w:rsidR="000B32B6" w:rsidRPr="003478AF">
        <w:rPr>
          <w:rFonts w:eastAsia="Times New Roman" w:cs="Arial"/>
          <w:color w:val="000000"/>
          <w:sz w:val="18"/>
          <w:szCs w:val="18"/>
          <w:lang w:val="en-GB" w:eastAsia="pl-PL"/>
        </w:rPr>
        <w:t>rope 2012; 20, 6B (96): 173-178</w:t>
      </w:r>
    </w:p>
    <w:p w14:paraId="69AD30FB" w14:textId="3FC78493" w:rsidR="00AD02AA" w:rsidRPr="003478AF" w:rsidRDefault="00AD02AA" w:rsidP="00AD02AA">
      <w:pPr>
        <w:ind w:left="426" w:hanging="426"/>
        <w:rPr>
          <w:rFonts w:eastAsia="Times New Roman" w:cs="Arial"/>
          <w:color w:val="000000"/>
          <w:sz w:val="18"/>
          <w:szCs w:val="18"/>
          <w:lang w:val="en-GB" w:eastAsia="pl-PL"/>
        </w:rPr>
      </w:pPr>
      <w:r w:rsidRPr="003478AF">
        <w:rPr>
          <w:rFonts w:eastAsia="Times New Roman" w:cs="Arial"/>
          <w:color w:val="000000"/>
          <w:sz w:val="18"/>
          <w:szCs w:val="18"/>
          <w:lang w:val="en-US" w:eastAsia="pl-PL"/>
        </w:rPr>
        <w:t xml:space="preserve">M.R. Kosseva (2011) Management and processing of food wastes, Advances in Food and Nutrition Research, 58, </w:t>
      </w:r>
      <w:r w:rsidR="000B32B6" w:rsidRPr="003478AF">
        <w:rPr>
          <w:rFonts w:eastAsia="Times New Roman" w:cs="Arial"/>
          <w:color w:val="000000"/>
          <w:sz w:val="18"/>
          <w:szCs w:val="18"/>
          <w:lang w:val="en-US" w:eastAsia="pl-PL"/>
        </w:rPr>
        <w:t>57-136</w:t>
      </w:r>
    </w:p>
    <w:p w14:paraId="343CF5B6" w14:textId="24620BFD" w:rsidR="00AD02AA" w:rsidRPr="003478AF" w:rsidRDefault="00144E8B" w:rsidP="00AD02AA">
      <w:pPr>
        <w:ind w:left="426" w:hanging="426"/>
        <w:rPr>
          <w:rFonts w:eastAsia="Times New Roman" w:cs="Arial"/>
          <w:color w:val="000000"/>
          <w:sz w:val="18"/>
          <w:szCs w:val="18"/>
          <w:lang w:eastAsia="pl-PL"/>
        </w:rPr>
      </w:pPr>
      <w:r w:rsidRPr="003478AF">
        <w:rPr>
          <w:rFonts w:eastAsia="Times New Roman" w:cs="Arial"/>
          <w:color w:val="000000"/>
          <w:sz w:val="18"/>
          <w:szCs w:val="18"/>
          <w:lang w:eastAsia="pl-PL"/>
        </w:rPr>
        <w:t>Mapa D</w:t>
      </w:r>
      <w:r w:rsidR="00AD02AA" w:rsidRPr="003478AF">
        <w:rPr>
          <w:rFonts w:eastAsia="Times New Roman" w:cs="Arial"/>
          <w:color w:val="000000"/>
          <w:sz w:val="18"/>
          <w:szCs w:val="18"/>
          <w:lang w:eastAsia="pl-PL"/>
        </w:rPr>
        <w:t>rogowa transformacji w kierunku gospodarki o obiegu zamkniętym. Załącznik do uchwały nr Rady Ministrów z dnia 3 września 2019</w:t>
      </w:r>
      <w:r w:rsidR="00FE614B" w:rsidRPr="003478AF">
        <w:rPr>
          <w:rFonts w:eastAsia="Times New Roman" w:cs="Arial"/>
          <w:color w:val="000000"/>
          <w:sz w:val="18"/>
          <w:szCs w:val="18"/>
          <w:lang w:eastAsia="pl-PL"/>
        </w:rPr>
        <w:t> r.</w:t>
      </w:r>
    </w:p>
    <w:p w14:paraId="21AB0981" w14:textId="77777777" w:rsidR="00AD02AA" w:rsidRPr="003478AF" w:rsidRDefault="00AD02AA" w:rsidP="00AD02AA">
      <w:pPr>
        <w:ind w:left="426" w:hanging="426"/>
        <w:rPr>
          <w:rFonts w:eastAsia="Times New Roman" w:cs="Arial"/>
          <w:color w:val="000000"/>
          <w:sz w:val="18"/>
          <w:szCs w:val="18"/>
          <w:lang w:eastAsia="pl-PL"/>
        </w:rPr>
      </w:pPr>
      <w:r w:rsidRPr="003478AF">
        <w:rPr>
          <w:rFonts w:eastAsia="Times New Roman" w:cs="Arial"/>
          <w:color w:val="000000"/>
          <w:sz w:val="18"/>
          <w:szCs w:val="18"/>
          <w:lang w:eastAsia="pl-PL"/>
        </w:rPr>
        <w:t>Mapa drogpwa GOZ. Transformacji w kierunku gospodarki o obiegu zamkniętym, Ministerstwo Środowiska, Warszawa 2019</w:t>
      </w:r>
    </w:p>
    <w:p w14:paraId="39987128" w14:textId="77777777" w:rsidR="00AD02AA" w:rsidRPr="003478AF" w:rsidRDefault="00AD02AA" w:rsidP="00AD02AA">
      <w:pPr>
        <w:ind w:left="426" w:hanging="426"/>
        <w:rPr>
          <w:rFonts w:eastAsia="Times New Roman" w:cs="Arial"/>
          <w:color w:val="000000"/>
          <w:sz w:val="18"/>
          <w:szCs w:val="18"/>
          <w:lang w:val="en-GB" w:eastAsia="pl-PL"/>
        </w:rPr>
      </w:pPr>
      <w:r w:rsidRPr="003478AF">
        <w:rPr>
          <w:rFonts w:eastAsia="Times New Roman" w:cs="Arial"/>
          <w:color w:val="000000"/>
          <w:sz w:val="18"/>
          <w:szCs w:val="18"/>
          <w:lang w:val="en-US" w:eastAsia="pl-PL"/>
        </w:rPr>
        <w:t>N. Mirabella, V. Castellani, S. Sala (2014) Current options for the valorization of food manufacturing waste: a review, Journal of Cleaner Production, 65, 28-41</w:t>
      </w:r>
    </w:p>
    <w:p w14:paraId="2839D676" w14:textId="32118495" w:rsidR="00AD02AA" w:rsidRPr="003478AF" w:rsidRDefault="00AD02AA" w:rsidP="00AD02AA">
      <w:pPr>
        <w:ind w:left="426" w:hanging="426"/>
        <w:rPr>
          <w:rFonts w:eastAsia="Times New Roman" w:cs="Arial"/>
          <w:color w:val="000000"/>
          <w:sz w:val="18"/>
          <w:szCs w:val="18"/>
          <w:lang w:val="en-GB" w:eastAsia="pl-PL"/>
        </w:rPr>
      </w:pPr>
      <w:r w:rsidRPr="003478AF">
        <w:rPr>
          <w:rFonts w:eastAsia="Times New Roman" w:cs="Arial"/>
          <w:color w:val="000000"/>
          <w:sz w:val="18"/>
          <w:szCs w:val="18"/>
          <w:lang w:val="en-GB" w:eastAsia="pl-PL"/>
        </w:rPr>
        <w:t xml:space="preserve">P. Ghisellinia, M. Ripa, (2018), Ulgiatide, S. Exploring environmental and economic costs and benefits </w:t>
      </w:r>
      <w:r w:rsidR="000B32B6" w:rsidRPr="003478AF">
        <w:rPr>
          <w:rFonts w:eastAsia="Times New Roman" w:cs="Arial"/>
          <w:color w:val="000000"/>
          <w:sz w:val="18"/>
          <w:szCs w:val="18"/>
          <w:lang w:val="en-GB" w:eastAsia="pl-PL"/>
        </w:rPr>
        <w:br/>
      </w:r>
      <w:r w:rsidRPr="003478AF">
        <w:rPr>
          <w:rFonts w:eastAsia="Times New Roman" w:cs="Arial"/>
          <w:color w:val="000000"/>
          <w:sz w:val="18"/>
          <w:szCs w:val="18"/>
          <w:lang w:val="en-GB" w:eastAsia="pl-PL"/>
        </w:rPr>
        <w:t xml:space="preserve">of a circular economy approach to the construction and demolition sector. A literature review. </w:t>
      </w:r>
      <w:r w:rsidR="000B32B6" w:rsidRPr="003478AF">
        <w:rPr>
          <w:rFonts w:eastAsia="Times New Roman" w:cs="Arial"/>
          <w:color w:val="000000"/>
          <w:sz w:val="18"/>
          <w:szCs w:val="18"/>
          <w:lang w:val="en-GB" w:eastAsia="pl-PL"/>
        </w:rPr>
        <w:br/>
      </w:r>
      <w:r w:rsidRPr="003478AF">
        <w:rPr>
          <w:rFonts w:eastAsia="Times New Roman" w:cs="Arial"/>
          <w:color w:val="000000"/>
          <w:sz w:val="18"/>
          <w:szCs w:val="18"/>
          <w:lang w:val="en-GB" w:eastAsia="pl-PL"/>
        </w:rPr>
        <w:t>J. Clean. Prod., 178, 618–643</w:t>
      </w:r>
    </w:p>
    <w:p w14:paraId="4DE538EB" w14:textId="77777777" w:rsidR="00AD02AA" w:rsidRPr="003478AF" w:rsidRDefault="00AD02AA" w:rsidP="00AD02AA">
      <w:pPr>
        <w:ind w:left="426" w:hanging="426"/>
        <w:rPr>
          <w:rFonts w:eastAsia="Times New Roman" w:cs="Arial"/>
          <w:color w:val="000000"/>
          <w:sz w:val="18"/>
          <w:szCs w:val="18"/>
          <w:lang w:eastAsia="pl-PL"/>
        </w:rPr>
      </w:pPr>
      <w:r w:rsidRPr="003478AF">
        <w:rPr>
          <w:rFonts w:eastAsia="Times New Roman" w:cs="Arial"/>
          <w:color w:val="000000"/>
          <w:sz w:val="18"/>
          <w:szCs w:val="18"/>
          <w:lang w:eastAsia="pl-PL"/>
        </w:rPr>
        <w:t>Plan gospodarki odpadami komunalnymi dla Wielkopolski na lata 2016-2022 wraz z Planem inwestycyjnym, Zarząd Województwa Wielkopolskiego, Poznań, 2017</w:t>
      </w:r>
    </w:p>
    <w:p w14:paraId="6DC57738" w14:textId="5509D8AC" w:rsidR="00AD02AA" w:rsidRPr="003478AF" w:rsidRDefault="00AD02AA" w:rsidP="00AD02AA">
      <w:pPr>
        <w:ind w:left="426" w:hanging="426"/>
        <w:rPr>
          <w:rFonts w:eastAsia="Times New Roman" w:cs="Arial"/>
          <w:color w:val="000000"/>
          <w:sz w:val="18"/>
          <w:szCs w:val="18"/>
          <w:lang w:eastAsia="pl-PL"/>
        </w:rPr>
      </w:pPr>
      <w:r w:rsidRPr="003478AF">
        <w:rPr>
          <w:rFonts w:eastAsia="Times New Roman" w:cs="Arial"/>
          <w:color w:val="000000"/>
          <w:sz w:val="18"/>
          <w:szCs w:val="18"/>
          <w:lang w:eastAsia="pl-PL"/>
        </w:rPr>
        <w:t>Plan zagospodarowania przestrzennego województwa wielkopolskiego. Wielkopolska 2020+. Urząd Marszałkowski Województwa Wielkopolskiego w Poznaniu. Załącznik nr 1.0 do Uchwały nr V/70/19 Sejmiku Województwa Wielkopolskiego z dnia 25 marca 2019</w:t>
      </w:r>
      <w:r w:rsidR="00FE614B" w:rsidRPr="003478AF">
        <w:rPr>
          <w:rFonts w:eastAsia="Times New Roman" w:cs="Arial"/>
          <w:color w:val="000000"/>
          <w:sz w:val="18"/>
          <w:szCs w:val="18"/>
          <w:lang w:eastAsia="pl-PL"/>
        </w:rPr>
        <w:t> r.</w:t>
      </w:r>
      <w:r w:rsidRPr="003478AF">
        <w:rPr>
          <w:rFonts w:eastAsia="Times New Roman" w:cs="Arial"/>
          <w:color w:val="000000"/>
          <w:sz w:val="18"/>
          <w:szCs w:val="18"/>
          <w:lang w:eastAsia="pl-PL"/>
        </w:rPr>
        <w:t>, oprac. Wielkopolskie Biuro Planowania Przestrzennego w Poznaniu</w:t>
      </w:r>
    </w:p>
    <w:p w14:paraId="4B7B961B" w14:textId="77777777" w:rsidR="00AD02AA" w:rsidRPr="003478AF" w:rsidRDefault="00AD02AA" w:rsidP="00AD02AA">
      <w:pPr>
        <w:ind w:left="426" w:hanging="426"/>
        <w:rPr>
          <w:rFonts w:eastAsia="Times New Roman" w:cs="Arial"/>
          <w:color w:val="000000"/>
          <w:sz w:val="18"/>
          <w:szCs w:val="18"/>
          <w:lang w:eastAsia="pl-PL"/>
        </w:rPr>
      </w:pPr>
      <w:r w:rsidRPr="003478AF">
        <w:rPr>
          <w:rFonts w:eastAsia="Times New Roman" w:cs="Arial"/>
          <w:color w:val="000000"/>
          <w:sz w:val="18"/>
          <w:szCs w:val="18"/>
          <w:lang w:eastAsia="pl-PL"/>
        </w:rPr>
        <w:lastRenderedPageBreak/>
        <w:t>Polityka ekologiczna państwa 2030 - strategia rozwoju w obszarze środowiska i gospodarki wodnej, Rada Ministrów, 2019</w:t>
      </w:r>
    </w:p>
    <w:p w14:paraId="5F3A5FE6" w14:textId="77777777" w:rsidR="00AD02AA" w:rsidRPr="003478AF" w:rsidRDefault="00AD02AA" w:rsidP="00AD02AA">
      <w:pPr>
        <w:ind w:left="426" w:hanging="426"/>
        <w:jc w:val="left"/>
        <w:rPr>
          <w:rFonts w:eastAsia="Times New Roman" w:cs="Arial"/>
          <w:color w:val="000000"/>
          <w:sz w:val="18"/>
          <w:szCs w:val="18"/>
          <w:lang w:eastAsia="pl-PL"/>
        </w:rPr>
      </w:pPr>
      <w:r w:rsidRPr="003478AF">
        <w:rPr>
          <w:rFonts w:eastAsia="Times New Roman" w:cs="Arial"/>
          <w:color w:val="000000"/>
          <w:sz w:val="18"/>
          <w:szCs w:val="18"/>
          <w:lang w:eastAsia="pl-PL"/>
        </w:rPr>
        <w:t>Polityka Ekologiczna Państwa 2030. Ministerstwo Środowiska, Warszawa 2019</w:t>
      </w:r>
    </w:p>
    <w:p w14:paraId="5D7DEF71" w14:textId="026D73D9" w:rsidR="00AD02AA" w:rsidRPr="003478AF" w:rsidRDefault="00AD02AA" w:rsidP="00AD02AA">
      <w:pPr>
        <w:ind w:left="426" w:hanging="426"/>
        <w:rPr>
          <w:rFonts w:eastAsia="Times New Roman" w:cs="Arial"/>
          <w:color w:val="000000"/>
          <w:sz w:val="18"/>
          <w:szCs w:val="18"/>
          <w:lang w:eastAsia="pl-PL"/>
        </w:rPr>
      </w:pPr>
      <w:r w:rsidRPr="003478AF">
        <w:rPr>
          <w:rFonts w:eastAsia="Times New Roman" w:cs="Arial"/>
          <w:color w:val="000000"/>
          <w:sz w:val="18"/>
          <w:szCs w:val="18"/>
          <w:lang w:eastAsia="pl-PL"/>
        </w:rPr>
        <w:t>Polityka Energetyczna Polski do 2040</w:t>
      </w:r>
      <w:r w:rsidR="00FE614B" w:rsidRPr="003478AF">
        <w:rPr>
          <w:rFonts w:eastAsia="Times New Roman" w:cs="Arial"/>
          <w:color w:val="000000"/>
          <w:sz w:val="18"/>
          <w:szCs w:val="18"/>
          <w:lang w:eastAsia="pl-PL"/>
        </w:rPr>
        <w:t> r.</w:t>
      </w:r>
      <w:r w:rsidRPr="003478AF">
        <w:rPr>
          <w:rFonts w:eastAsia="Times New Roman" w:cs="Arial"/>
          <w:color w:val="000000"/>
          <w:sz w:val="18"/>
          <w:szCs w:val="18"/>
          <w:lang w:eastAsia="pl-PL"/>
        </w:rPr>
        <w:t xml:space="preserve">, Ministerstwo Klimatu i Środowiska. Załącznik do uchwały </w:t>
      </w:r>
      <w:r w:rsidR="000B32B6" w:rsidRPr="003478AF">
        <w:rPr>
          <w:rFonts w:eastAsia="Times New Roman" w:cs="Arial"/>
          <w:color w:val="000000"/>
          <w:sz w:val="18"/>
          <w:szCs w:val="18"/>
          <w:lang w:eastAsia="pl-PL"/>
        </w:rPr>
        <w:br/>
      </w:r>
      <w:r w:rsidRPr="003478AF">
        <w:rPr>
          <w:rFonts w:eastAsia="Times New Roman" w:cs="Arial"/>
          <w:color w:val="000000"/>
          <w:sz w:val="18"/>
          <w:szCs w:val="18"/>
          <w:lang w:eastAsia="pl-PL"/>
        </w:rPr>
        <w:t>nr 22/2021 Rady Ministrów z dnia 2 lutego 2021</w:t>
      </w:r>
      <w:r w:rsidR="00FE614B" w:rsidRPr="003478AF">
        <w:rPr>
          <w:rFonts w:eastAsia="Times New Roman" w:cs="Arial"/>
          <w:color w:val="000000"/>
          <w:sz w:val="18"/>
          <w:szCs w:val="18"/>
          <w:lang w:eastAsia="pl-PL"/>
        </w:rPr>
        <w:t> r.</w:t>
      </w:r>
      <w:r w:rsidRPr="003478AF">
        <w:rPr>
          <w:rFonts w:eastAsia="Times New Roman" w:cs="Arial"/>
          <w:color w:val="000000"/>
          <w:sz w:val="18"/>
          <w:szCs w:val="18"/>
          <w:lang w:eastAsia="pl-PL"/>
        </w:rPr>
        <w:t>, Warszawa</w:t>
      </w:r>
    </w:p>
    <w:p w14:paraId="4357A9AD" w14:textId="77777777" w:rsidR="00AD02AA" w:rsidRPr="003478AF" w:rsidRDefault="00AD02AA" w:rsidP="00AD02AA">
      <w:pPr>
        <w:ind w:left="426" w:hanging="426"/>
        <w:rPr>
          <w:rFonts w:eastAsia="Times New Roman" w:cs="Arial"/>
          <w:color w:val="000000"/>
          <w:sz w:val="18"/>
          <w:szCs w:val="18"/>
          <w:lang w:eastAsia="pl-PL"/>
        </w:rPr>
      </w:pPr>
      <w:r w:rsidRPr="003478AF">
        <w:rPr>
          <w:rFonts w:eastAsia="Times New Roman" w:cs="Arial"/>
          <w:color w:val="000000"/>
          <w:sz w:val="18"/>
          <w:szCs w:val="18"/>
          <w:lang w:eastAsia="pl-PL"/>
        </w:rPr>
        <w:t>Polityka Surowcowa Państwa Projekt. Ministerstwo Klimatu i Środowiska, Warszawa 2021</w:t>
      </w:r>
    </w:p>
    <w:p w14:paraId="151533B5" w14:textId="216EAB1F" w:rsidR="00AD02AA" w:rsidRPr="003478AF" w:rsidRDefault="00AD02AA" w:rsidP="00AD02AA">
      <w:pPr>
        <w:ind w:left="426" w:hanging="426"/>
        <w:rPr>
          <w:rFonts w:eastAsia="Times New Roman" w:cs="Arial"/>
          <w:color w:val="000000"/>
          <w:sz w:val="18"/>
          <w:szCs w:val="18"/>
          <w:lang w:eastAsia="pl-PL"/>
        </w:rPr>
      </w:pPr>
      <w:r w:rsidRPr="003478AF">
        <w:rPr>
          <w:rFonts w:eastAsia="Times New Roman" w:cs="Arial"/>
          <w:color w:val="000000"/>
          <w:sz w:val="18"/>
          <w:szCs w:val="18"/>
          <w:lang w:eastAsia="pl-PL"/>
        </w:rPr>
        <w:t>Program Ochrony Środowiska dla Województwa Wielkopolskiego Do Roku 2030. Opracowanie: Ekostandard Pracownia Analiz Środowiskowych, Urząd Marszałkowski Województwa Wielkopolskiego w Poznaniu, 2020</w:t>
      </w:r>
      <w:r w:rsidR="00FE614B" w:rsidRPr="003478AF">
        <w:rPr>
          <w:rFonts w:eastAsia="Times New Roman" w:cs="Arial"/>
          <w:color w:val="000000"/>
          <w:sz w:val="18"/>
          <w:szCs w:val="18"/>
          <w:lang w:eastAsia="pl-PL"/>
        </w:rPr>
        <w:t> r.</w:t>
      </w:r>
    </w:p>
    <w:p w14:paraId="696D62C5" w14:textId="5D264B43" w:rsidR="00AD02AA" w:rsidRPr="003478AF" w:rsidRDefault="00AD02AA" w:rsidP="00AD02AA">
      <w:pPr>
        <w:ind w:left="426" w:hanging="426"/>
        <w:rPr>
          <w:rFonts w:eastAsia="Times New Roman" w:cs="Arial"/>
          <w:color w:val="000000"/>
          <w:sz w:val="18"/>
          <w:szCs w:val="18"/>
          <w:lang w:eastAsia="pl-PL"/>
        </w:rPr>
      </w:pPr>
      <w:r w:rsidRPr="003478AF">
        <w:rPr>
          <w:rFonts w:eastAsia="Times New Roman" w:cs="Arial"/>
          <w:color w:val="000000"/>
          <w:sz w:val="18"/>
          <w:szCs w:val="18"/>
          <w:lang w:eastAsia="pl-PL"/>
        </w:rPr>
        <w:t>Przekształcamy nasz świat: Agenda na rzecz zrównoważonego rozwoju 2030. Rezolucja przyjęta przez Zgromadzenie Ogólne w dniu 25 września 2015</w:t>
      </w:r>
      <w:r w:rsidR="00FE614B" w:rsidRPr="003478AF">
        <w:rPr>
          <w:rFonts w:eastAsia="Times New Roman" w:cs="Arial"/>
          <w:color w:val="000000"/>
          <w:sz w:val="18"/>
          <w:szCs w:val="18"/>
          <w:lang w:eastAsia="pl-PL"/>
        </w:rPr>
        <w:t> r.</w:t>
      </w:r>
      <w:r w:rsidRPr="003478AF">
        <w:rPr>
          <w:rFonts w:eastAsia="Times New Roman" w:cs="Arial"/>
          <w:color w:val="000000"/>
          <w:sz w:val="18"/>
          <w:szCs w:val="18"/>
          <w:lang w:eastAsia="pl-PL"/>
        </w:rPr>
        <w:t xml:space="preserve"> Organizacja Narodów Zjednoczonych A/RES/70/1; Cel 7 - Zapewnić wszystkim dostęp do stabilnej, zrównoważonej i nowoczesnej energii po przystępnej cenie, Cel 11 - Uczynić miasta i osiedla ludzkie bezpiecznymi, stabilnymi, zrównoważonymi oraz sprzyjającymi włączeniu społecznemu, Cel 12 - Zapewnić wzorce zrównoważonej konsumpcji i produkcji, Cel 13 - Podjąć pilne działania w celu przeciwdziałania zmianom klimatu i ich skutkom, Cel 14 - Chronić oceany, morza i zasoby morskie oraz wykorzystywać je w sposób zrównoważony, Cel 15 - Chronić, przywrócić oraz promować zrównoważone użytkowanie ekosystemów lądowych, równoważone gospodarowanie lasami, zwalczać pustynnienie, powstrzymywać i odwracać proces degradacji gleby oraz powstrzymać utratę różnorodności biologicznej</w:t>
      </w:r>
    </w:p>
    <w:p w14:paraId="24730C5D" w14:textId="77777777" w:rsidR="00AD02AA" w:rsidRPr="003478AF" w:rsidRDefault="00AD02AA" w:rsidP="00AD02AA">
      <w:pPr>
        <w:ind w:left="426" w:hanging="426"/>
        <w:rPr>
          <w:rFonts w:eastAsia="Times New Roman" w:cs="Arial"/>
          <w:color w:val="000000"/>
          <w:sz w:val="18"/>
          <w:szCs w:val="18"/>
          <w:lang w:eastAsia="pl-PL"/>
        </w:rPr>
      </w:pPr>
      <w:r w:rsidRPr="003478AF">
        <w:rPr>
          <w:rFonts w:eastAsia="Times New Roman" w:cs="Arial"/>
          <w:color w:val="000000"/>
          <w:sz w:val="18"/>
          <w:szCs w:val="18"/>
          <w:lang w:eastAsia="pl-PL"/>
        </w:rPr>
        <w:t>Przemysł spożywczy w Wielkopolsce. Znaczenie dla rynku pracy, Poznań, październik 2018</w:t>
      </w:r>
    </w:p>
    <w:p w14:paraId="6CAE1BBB" w14:textId="77777777" w:rsidR="00AD02AA" w:rsidRPr="003478AF" w:rsidRDefault="00AD02AA" w:rsidP="00AD02AA">
      <w:pPr>
        <w:ind w:left="426" w:hanging="426"/>
        <w:jc w:val="left"/>
        <w:rPr>
          <w:rFonts w:cs="Arial"/>
          <w:sz w:val="18"/>
          <w:szCs w:val="18"/>
          <w:lang w:val="en-GB"/>
        </w:rPr>
      </w:pPr>
      <w:r w:rsidRPr="003478AF">
        <w:rPr>
          <w:rFonts w:eastAsia="Times New Roman" w:cs="Arial"/>
          <w:color w:val="000000"/>
          <w:sz w:val="18"/>
          <w:szCs w:val="18"/>
          <w:lang w:val="en-GB" w:eastAsia="pl-PL"/>
        </w:rPr>
        <w:t>OECD (2018), Global Material Resources Outlook to 2060</w:t>
      </w:r>
    </w:p>
    <w:p w14:paraId="6E6ACDDE" w14:textId="77777777" w:rsidR="00AD02AA" w:rsidRPr="003478AF" w:rsidRDefault="00AD02AA" w:rsidP="00AD02AA">
      <w:pPr>
        <w:ind w:left="426" w:hanging="426"/>
        <w:rPr>
          <w:rFonts w:eastAsia="Times New Roman" w:cs="Arial"/>
          <w:color w:val="000000"/>
          <w:sz w:val="18"/>
          <w:szCs w:val="18"/>
          <w:lang w:eastAsia="pl-PL"/>
        </w:rPr>
      </w:pPr>
      <w:r w:rsidRPr="003478AF">
        <w:rPr>
          <w:rFonts w:eastAsia="Times New Roman" w:cs="Arial"/>
          <w:color w:val="000000"/>
          <w:sz w:val="18"/>
          <w:szCs w:val="18"/>
          <w:lang w:val="en-GB" w:eastAsia="pl-PL"/>
        </w:rPr>
        <w:t xml:space="preserve">Q.Wang, P. Deutz, Y. Chen (2017), Building institutional capacity for industrial symbiosis development: A case study of an industrial symbiosis coordination network in China. </w:t>
      </w:r>
      <w:r w:rsidRPr="003478AF">
        <w:rPr>
          <w:rFonts w:eastAsia="Times New Roman" w:cs="Arial"/>
          <w:color w:val="000000"/>
          <w:sz w:val="18"/>
          <w:szCs w:val="18"/>
          <w:lang w:eastAsia="pl-PL"/>
        </w:rPr>
        <w:t>J. Clean. Prod. 2017, 142, 1571–1582</w:t>
      </w:r>
    </w:p>
    <w:p w14:paraId="12689E16" w14:textId="77777777" w:rsidR="00AD02AA" w:rsidRPr="003478AF" w:rsidRDefault="00AD02AA" w:rsidP="00AD02AA">
      <w:pPr>
        <w:ind w:left="426" w:hanging="426"/>
        <w:rPr>
          <w:rFonts w:eastAsia="Times New Roman" w:cs="Arial"/>
          <w:color w:val="000000"/>
          <w:sz w:val="18"/>
          <w:szCs w:val="18"/>
          <w:lang w:eastAsia="pl-PL"/>
        </w:rPr>
      </w:pPr>
      <w:r w:rsidRPr="003478AF">
        <w:rPr>
          <w:rFonts w:eastAsia="Times New Roman" w:cs="Arial"/>
          <w:color w:val="000000"/>
          <w:sz w:val="18"/>
          <w:szCs w:val="18"/>
          <w:lang w:eastAsia="pl-PL"/>
        </w:rPr>
        <w:t>R. Pawłowski (2019) Czym są innowacje w rolnictwie i na obszarach wiejskich, https://wmodr.pl/files/JLcuTsMsbn5R4cZbPkkZM0dzXDJtwDObJpo2LPY8.pdf</w:t>
      </w:r>
    </w:p>
    <w:p w14:paraId="52855CC7" w14:textId="7C748130" w:rsidR="00AD02AA" w:rsidRPr="003478AF" w:rsidRDefault="00AD02AA" w:rsidP="00AD02AA">
      <w:pPr>
        <w:ind w:left="426" w:hanging="426"/>
        <w:rPr>
          <w:rFonts w:eastAsia="Times New Roman" w:cs="Arial"/>
          <w:color w:val="000000"/>
          <w:sz w:val="18"/>
          <w:szCs w:val="18"/>
          <w:lang w:eastAsia="pl-PL"/>
        </w:rPr>
      </w:pPr>
      <w:r w:rsidRPr="003478AF">
        <w:rPr>
          <w:rFonts w:eastAsia="Times New Roman" w:cs="Arial"/>
          <w:color w:val="000000"/>
          <w:sz w:val="18"/>
          <w:szCs w:val="18"/>
          <w:lang w:eastAsia="pl-PL"/>
        </w:rPr>
        <w:t>R. Wojda, G. Zygmunt (2012), Wpływ stawów karpiowych na jakość, retencję i bilans wodny zlew</w:t>
      </w:r>
      <w:r w:rsidR="000B32B6" w:rsidRPr="003478AF">
        <w:rPr>
          <w:rFonts w:eastAsia="Times New Roman" w:cs="Arial"/>
          <w:color w:val="000000"/>
          <w:sz w:val="18"/>
          <w:szCs w:val="18"/>
          <w:lang w:eastAsia="pl-PL"/>
        </w:rPr>
        <w:t>ni – Komunikaty Rybackie 3: 1-8</w:t>
      </w:r>
    </w:p>
    <w:p w14:paraId="61450D44" w14:textId="3F1A057D" w:rsidR="00AD02AA" w:rsidRPr="003478AF" w:rsidRDefault="00AD02AA" w:rsidP="00AD02AA">
      <w:pPr>
        <w:ind w:left="426" w:hanging="426"/>
        <w:rPr>
          <w:rFonts w:eastAsia="Times New Roman" w:cs="Arial"/>
          <w:color w:val="000000"/>
          <w:sz w:val="18"/>
          <w:szCs w:val="18"/>
          <w:lang w:val="en-GB" w:eastAsia="pl-PL"/>
        </w:rPr>
      </w:pPr>
      <w:r w:rsidRPr="003478AF">
        <w:rPr>
          <w:rFonts w:eastAsia="Times New Roman" w:cs="Arial"/>
          <w:color w:val="000000"/>
          <w:sz w:val="18"/>
          <w:szCs w:val="18"/>
          <w:lang w:val="en-GB" w:eastAsia="pl-PL"/>
        </w:rPr>
        <w:t>R.A. Muhlack,</w:t>
      </w:r>
      <w:r w:rsidR="00FE614B" w:rsidRPr="003478AF">
        <w:rPr>
          <w:rFonts w:eastAsia="Times New Roman" w:cs="Arial"/>
          <w:color w:val="000000"/>
          <w:sz w:val="18"/>
          <w:szCs w:val="18"/>
          <w:lang w:val="en-GB" w:eastAsia="pl-PL"/>
        </w:rPr>
        <w:t> r.</w:t>
      </w:r>
      <w:r w:rsidRPr="003478AF">
        <w:rPr>
          <w:rFonts w:eastAsia="Times New Roman" w:cs="Arial"/>
          <w:color w:val="000000"/>
          <w:sz w:val="18"/>
          <w:szCs w:val="18"/>
          <w:lang w:val="en-GB" w:eastAsia="pl-PL"/>
        </w:rPr>
        <w:t xml:space="preserve">Potumarthi, D.W.Jeffery (2018) Sustainable wineries through waste valorisation: </w:t>
      </w:r>
      <w:r w:rsidR="000B32B6" w:rsidRPr="003478AF">
        <w:rPr>
          <w:rFonts w:eastAsia="Times New Roman" w:cs="Arial"/>
          <w:color w:val="000000"/>
          <w:sz w:val="18"/>
          <w:szCs w:val="18"/>
          <w:lang w:val="en-GB" w:eastAsia="pl-PL"/>
        </w:rPr>
        <w:br/>
      </w:r>
      <w:r w:rsidRPr="003478AF">
        <w:rPr>
          <w:rFonts w:eastAsia="Times New Roman" w:cs="Arial"/>
          <w:color w:val="000000"/>
          <w:sz w:val="18"/>
          <w:szCs w:val="18"/>
          <w:lang w:val="en-GB" w:eastAsia="pl-PL"/>
        </w:rPr>
        <w:t>A review of grape marc utilisation for value-added products, Waste Management, 72, 99-118. Available at: https://doi.org/10.1016/j.wasman. 2017. 11.011</w:t>
      </w:r>
    </w:p>
    <w:p w14:paraId="311AD4C7" w14:textId="40AE2593" w:rsidR="00AD02AA" w:rsidRPr="003478AF" w:rsidRDefault="00AD02AA" w:rsidP="00AD02AA">
      <w:pPr>
        <w:ind w:left="426" w:hanging="426"/>
        <w:rPr>
          <w:rFonts w:eastAsia="Times New Roman" w:cs="Arial"/>
          <w:color w:val="000000"/>
          <w:sz w:val="18"/>
          <w:szCs w:val="18"/>
          <w:lang w:val="en-GB" w:eastAsia="pl-PL"/>
        </w:rPr>
      </w:pPr>
      <w:r w:rsidRPr="003478AF">
        <w:rPr>
          <w:rFonts w:eastAsia="Times New Roman" w:cs="Arial"/>
          <w:color w:val="000000"/>
          <w:sz w:val="18"/>
          <w:szCs w:val="18"/>
          <w:lang w:val="en-US" w:eastAsia="pl-PL"/>
        </w:rPr>
        <w:t xml:space="preserve">R.Devesa-Rey, X.Vecino, J.L.Varela-Alende, M.T. Barral, J.M.Cruz, A.B.Moldes (2011) Valorization </w:t>
      </w:r>
      <w:r w:rsidR="000B32B6" w:rsidRPr="003478AF">
        <w:rPr>
          <w:rFonts w:eastAsia="Times New Roman" w:cs="Arial"/>
          <w:color w:val="000000"/>
          <w:sz w:val="18"/>
          <w:szCs w:val="18"/>
          <w:lang w:val="en-US" w:eastAsia="pl-PL"/>
        </w:rPr>
        <w:br/>
      </w:r>
      <w:r w:rsidRPr="003478AF">
        <w:rPr>
          <w:rFonts w:eastAsia="Times New Roman" w:cs="Arial"/>
          <w:color w:val="000000"/>
          <w:sz w:val="18"/>
          <w:szCs w:val="18"/>
          <w:lang w:val="en-US" w:eastAsia="pl-PL"/>
        </w:rPr>
        <w:t>of winery wastes vs. The cost of not recycling, Waste Management, 31, 2327-2335.</w:t>
      </w:r>
    </w:p>
    <w:p w14:paraId="6D619F6C" w14:textId="77777777" w:rsidR="00AD02AA" w:rsidRPr="003478AF" w:rsidRDefault="00AD02AA" w:rsidP="00AD02AA">
      <w:pPr>
        <w:ind w:left="426" w:hanging="426"/>
        <w:jc w:val="left"/>
        <w:rPr>
          <w:rFonts w:eastAsia="Times New Roman" w:cs="Arial"/>
          <w:color w:val="000000"/>
          <w:sz w:val="18"/>
          <w:szCs w:val="18"/>
          <w:lang w:eastAsia="pl-PL"/>
        </w:rPr>
      </w:pPr>
      <w:r w:rsidRPr="003478AF">
        <w:rPr>
          <w:rFonts w:eastAsia="Times New Roman" w:cs="Arial"/>
          <w:color w:val="000000"/>
          <w:sz w:val="18"/>
          <w:szCs w:val="18"/>
          <w:lang w:eastAsia="pl-PL"/>
        </w:rPr>
        <w:t>Raport Krajowy Prezesa Urzędu Regulacji Energetyki 2020, Lipiec 2020</w:t>
      </w:r>
    </w:p>
    <w:p w14:paraId="552DD6DD" w14:textId="63571B2D" w:rsidR="00AD02AA" w:rsidRPr="003478AF" w:rsidRDefault="00AD02AA" w:rsidP="00AD02AA">
      <w:pPr>
        <w:ind w:left="426" w:hanging="426"/>
        <w:rPr>
          <w:rFonts w:eastAsia="Times New Roman" w:cs="Arial"/>
          <w:color w:val="000000"/>
          <w:sz w:val="18"/>
          <w:szCs w:val="18"/>
          <w:lang w:eastAsia="pl-PL"/>
        </w:rPr>
      </w:pPr>
      <w:r w:rsidRPr="003478AF">
        <w:rPr>
          <w:rFonts w:eastAsia="Times New Roman" w:cs="Arial"/>
          <w:color w:val="000000"/>
          <w:sz w:val="18"/>
          <w:szCs w:val="18"/>
          <w:lang w:eastAsia="pl-PL"/>
        </w:rPr>
        <w:t>Raporty o local content, IEO Warszawa: https://ieo.pl/pl/aktualnosci/1530-w-perspektywie-5-lat-polska-fotowoltaika-ma-szanse-stac-sie-niemal-niezalezna-od-dostaw-materialow-i-technologii-spoza-ue; dostęp 10.06.2021</w:t>
      </w:r>
      <w:r w:rsidR="00FE614B" w:rsidRPr="003478AF">
        <w:rPr>
          <w:rFonts w:eastAsia="Times New Roman" w:cs="Arial"/>
          <w:color w:val="000000"/>
          <w:sz w:val="18"/>
          <w:szCs w:val="18"/>
          <w:lang w:eastAsia="pl-PL"/>
        </w:rPr>
        <w:t> r.</w:t>
      </w:r>
    </w:p>
    <w:p w14:paraId="5A98B406" w14:textId="77777777" w:rsidR="00AD02AA" w:rsidRPr="003478AF" w:rsidRDefault="00AD02AA" w:rsidP="00AD02AA">
      <w:pPr>
        <w:ind w:left="426" w:hanging="426"/>
        <w:rPr>
          <w:rFonts w:eastAsia="Times New Roman" w:cs="Arial"/>
          <w:color w:val="000000"/>
          <w:sz w:val="18"/>
          <w:szCs w:val="18"/>
          <w:lang w:eastAsia="pl-PL"/>
        </w:rPr>
      </w:pPr>
      <w:r w:rsidRPr="003478AF">
        <w:rPr>
          <w:rFonts w:eastAsia="Times New Roman" w:cs="Arial"/>
          <w:color w:val="000000"/>
          <w:sz w:val="18"/>
          <w:szCs w:val="18"/>
          <w:lang w:eastAsia="pl-PL"/>
        </w:rPr>
        <w:t>Regionalna Strategia Innowacji dla Wielkopolski 2030 (RIS). Urząd Marszałkowski Województwa Wielkopolskiego w Poznaniu, Poznań, grudzień 2020</w:t>
      </w:r>
    </w:p>
    <w:p w14:paraId="2F3F3EEB" w14:textId="74B5616A" w:rsidR="00AD02AA" w:rsidRPr="003478AF" w:rsidRDefault="00AD02AA" w:rsidP="00AD02AA">
      <w:pPr>
        <w:ind w:left="426" w:hanging="426"/>
        <w:rPr>
          <w:rFonts w:eastAsia="Times New Roman" w:cs="Arial"/>
          <w:color w:val="000000"/>
          <w:sz w:val="18"/>
          <w:szCs w:val="18"/>
          <w:lang w:val="en-GB" w:eastAsia="pl-PL"/>
        </w:rPr>
      </w:pPr>
      <w:bookmarkStart w:id="107" w:name="_Hlk81482339"/>
      <w:r w:rsidRPr="003478AF">
        <w:rPr>
          <w:rFonts w:eastAsia="Times New Roman" w:cs="Arial"/>
          <w:color w:val="000000"/>
          <w:sz w:val="18"/>
          <w:szCs w:val="18"/>
          <w:lang w:val="en-US" w:eastAsia="pl-PL"/>
        </w:rPr>
        <w:t xml:space="preserve">S.Vanhamäki, M. Virtanen., S. Luste, K. Manskinen (2020), Transition towards a circular economy </w:t>
      </w:r>
      <w:r w:rsidR="000B32B6" w:rsidRPr="003478AF">
        <w:rPr>
          <w:rFonts w:eastAsia="Times New Roman" w:cs="Arial"/>
          <w:color w:val="000000"/>
          <w:sz w:val="18"/>
          <w:szCs w:val="18"/>
          <w:lang w:val="en-US" w:eastAsia="pl-PL"/>
        </w:rPr>
        <w:br/>
      </w:r>
      <w:r w:rsidRPr="003478AF">
        <w:rPr>
          <w:rFonts w:eastAsia="Times New Roman" w:cs="Arial"/>
          <w:color w:val="000000"/>
          <w:sz w:val="18"/>
          <w:szCs w:val="18"/>
          <w:lang w:val="en-US" w:eastAsia="pl-PL"/>
        </w:rPr>
        <w:t>at a regional level: A case study on closing biological loops, Resources, Conservation &amp; Recycling</w:t>
      </w:r>
    </w:p>
    <w:bookmarkEnd w:id="107"/>
    <w:p w14:paraId="285D9710" w14:textId="43767D0B" w:rsidR="00AD02AA" w:rsidRPr="003478AF" w:rsidRDefault="00AD02AA" w:rsidP="00AD02AA">
      <w:pPr>
        <w:ind w:left="426" w:hanging="426"/>
        <w:rPr>
          <w:rFonts w:eastAsia="Times New Roman" w:cs="Arial"/>
          <w:color w:val="000000"/>
          <w:sz w:val="18"/>
          <w:szCs w:val="18"/>
          <w:lang w:val="en-GB" w:eastAsia="pl-PL"/>
        </w:rPr>
      </w:pPr>
      <w:r w:rsidRPr="003478AF">
        <w:rPr>
          <w:rFonts w:eastAsia="Times New Roman" w:cs="Arial"/>
          <w:color w:val="000000"/>
          <w:sz w:val="18"/>
          <w:szCs w:val="18"/>
          <w:lang w:val="en-US" w:eastAsia="pl-PL"/>
        </w:rPr>
        <w:t>Santana-Méridas, González-Coloma,</w:t>
      </w:r>
      <w:r w:rsidR="00FE614B" w:rsidRPr="003478AF">
        <w:rPr>
          <w:rFonts w:eastAsia="Times New Roman" w:cs="Arial"/>
          <w:color w:val="000000"/>
          <w:sz w:val="18"/>
          <w:szCs w:val="18"/>
          <w:lang w:val="en-US" w:eastAsia="pl-PL"/>
        </w:rPr>
        <w:t> r.</w:t>
      </w:r>
      <w:r w:rsidRPr="003478AF">
        <w:rPr>
          <w:rFonts w:eastAsia="Times New Roman" w:cs="Arial"/>
          <w:color w:val="000000"/>
          <w:sz w:val="18"/>
          <w:szCs w:val="18"/>
          <w:lang w:val="en-US" w:eastAsia="pl-PL"/>
        </w:rPr>
        <w:t xml:space="preserve">Sánchez-Vioque (2012) Agricultural residues as a source </w:t>
      </w:r>
      <w:r w:rsidR="000B32B6" w:rsidRPr="003478AF">
        <w:rPr>
          <w:rFonts w:eastAsia="Times New Roman" w:cs="Arial"/>
          <w:color w:val="000000"/>
          <w:sz w:val="18"/>
          <w:szCs w:val="18"/>
          <w:lang w:val="en-US" w:eastAsia="pl-PL"/>
        </w:rPr>
        <w:br/>
      </w:r>
      <w:r w:rsidRPr="003478AF">
        <w:rPr>
          <w:rFonts w:eastAsia="Times New Roman" w:cs="Arial"/>
          <w:color w:val="000000"/>
          <w:sz w:val="18"/>
          <w:szCs w:val="18"/>
          <w:lang w:val="en-US" w:eastAsia="pl-PL"/>
        </w:rPr>
        <w:t>of bioactive natural producs, Phyt</w:t>
      </w:r>
      <w:r w:rsidR="000B32B6" w:rsidRPr="003478AF">
        <w:rPr>
          <w:rFonts w:eastAsia="Times New Roman" w:cs="Arial"/>
          <w:color w:val="000000"/>
          <w:sz w:val="18"/>
          <w:szCs w:val="18"/>
          <w:lang w:val="en-US" w:eastAsia="pl-PL"/>
        </w:rPr>
        <w:t>ochemistry Reviews, 11, 447-466</w:t>
      </w:r>
    </w:p>
    <w:p w14:paraId="2979048D" w14:textId="4119F399" w:rsidR="00AD02AA" w:rsidRPr="003478AF" w:rsidRDefault="00AD02AA" w:rsidP="00AD02AA">
      <w:pPr>
        <w:ind w:left="426" w:hanging="426"/>
        <w:rPr>
          <w:rFonts w:eastAsia="Times New Roman" w:cs="Arial"/>
          <w:color w:val="000000"/>
          <w:sz w:val="18"/>
          <w:szCs w:val="18"/>
          <w:lang w:eastAsia="pl-PL"/>
        </w:rPr>
      </w:pPr>
      <w:r w:rsidRPr="003478AF">
        <w:rPr>
          <w:rFonts w:eastAsia="Times New Roman" w:cs="Arial"/>
          <w:color w:val="000000"/>
          <w:sz w:val="18"/>
          <w:szCs w:val="18"/>
          <w:lang w:eastAsia="pl-PL"/>
        </w:rPr>
        <w:t>Strategia na rzecz Odpowiedzialnego Rozwoju do roku 2020 (z perspektywą do 2030</w:t>
      </w:r>
      <w:r w:rsidR="00FE614B" w:rsidRPr="003478AF">
        <w:rPr>
          <w:rFonts w:eastAsia="Times New Roman" w:cs="Arial"/>
          <w:color w:val="000000"/>
          <w:sz w:val="18"/>
          <w:szCs w:val="18"/>
          <w:lang w:eastAsia="pl-PL"/>
        </w:rPr>
        <w:t> r.</w:t>
      </w:r>
      <w:r w:rsidRPr="003478AF">
        <w:rPr>
          <w:rFonts w:eastAsia="Times New Roman" w:cs="Arial"/>
          <w:color w:val="000000"/>
          <w:sz w:val="18"/>
          <w:szCs w:val="18"/>
          <w:lang w:eastAsia="pl-PL"/>
        </w:rPr>
        <w:t>), Ministerstwo Rozwoju, Warszawa 2017</w:t>
      </w:r>
    </w:p>
    <w:p w14:paraId="22B0507E" w14:textId="194648E2" w:rsidR="00AD02AA" w:rsidRPr="003478AF" w:rsidRDefault="00AD02AA" w:rsidP="00AD02AA">
      <w:pPr>
        <w:ind w:left="426" w:hanging="426"/>
        <w:rPr>
          <w:rFonts w:eastAsia="Times New Roman" w:cs="Arial"/>
          <w:color w:val="000000"/>
          <w:sz w:val="18"/>
          <w:szCs w:val="18"/>
          <w:lang w:eastAsia="pl-PL"/>
        </w:rPr>
      </w:pPr>
      <w:r w:rsidRPr="003478AF">
        <w:rPr>
          <w:rFonts w:eastAsia="Times New Roman" w:cs="Arial"/>
          <w:color w:val="000000"/>
          <w:sz w:val="18"/>
          <w:szCs w:val="18"/>
          <w:lang w:eastAsia="pl-PL"/>
        </w:rPr>
        <w:t>Strategia na rzecz Odpowiedzialnego Rozwoju do roku 2020 (z perspektywą do 2030</w:t>
      </w:r>
      <w:r w:rsidR="00FE614B" w:rsidRPr="003478AF">
        <w:rPr>
          <w:rFonts w:eastAsia="Times New Roman" w:cs="Arial"/>
          <w:color w:val="000000"/>
          <w:sz w:val="18"/>
          <w:szCs w:val="18"/>
          <w:lang w:eastAsia="pl-PL"/>
        </w:rPr>
        <w:t> r.</w:t>
      </w:r>
      <w:r w:rsidRPr="003478AF">
        <w:rPr>
          <w:rFonts w:eastAsia="Times New Roman" w:cs="Arial"/>
          <w:color w:val="000000"/>
          <w:sz w:val="18"/>
          <w:szCs w:val="18"/>
          <w:lang w:eastAsia="pl-PL"/>
        </w:rPr>
        <w:t>), Warszawa 2017</w:t>
      </w:r>
    </w:p>
    <w:p w14:paraId="610CBF3F" w14:textId="77777777" w:rsidR="00AD02AA" w:rsidRPr="003478AF" w:rsidRDefault="00AD02AA" w:rsidP="00AD02AA">
      <w:pPr>
        <w:ind w:left="426" w:hanging="426"/>
        <w:rPr>
          <w:rFonts w:eastAsia="Times New Roman" w:cs="Arial"/>
          <w:color w:val="000000"/>
          <w:sz w:val="18"/>
          <w:szCs w:val="18"/>
          <w:lang w:eastAsia="pl-PL"/>
        </w:rPr>
      </w:pPr>
      <w:r w:rsidRPr="003478AF">
        <w:rPr>
          <w:rFonts w:eastAsia="Times New Roman" w:cs="Arial"/>
          <w:color w:val="000000"/>
          <w:sz w:val="18"/>
          <w:szCs w:val="18"/>
          <w:lang w:eastAsia="pl-PL"/>
        </w:rPr>
        <w:t>Strategia rozwoju województwa wielkopolskiego do 2030 roku. Zarząd Województwa Wielkopolskiego. Poznań, 27 stycznia 2020 roku</w:t>
      </w:r>
    </w:p>
    <w:p w14:paraId="4111CD0C" w14:textId="77777777" w:rsidR="00AD02AA" w:rsidRPr="003478AF" w:rsidRDefault="00AD02AA" w:rsidP="00AD02AA">
      <w:pPr>
        <w:ind w:left="426" w:hanging="426"/>
        <w:rPr>
          <w:rFonts w:eastAsia="Times New Roman" w:cs="Arial"/>
          <w:color w:val="000000"/>
          <w:sz w:val="18"/>
          <w:szCs w:val="18"/>
          <w:lang w:eastAsia="pl-PL"/>
        </w:rPr>
      </w:pPr>
      <w:r w:rsidRPr="003478AF">
        <w:rPr>
          <w:rFonts w:eastAsia="Times New Roman" w:cs="Arial"/>
          <w:color w:val="000000"/>
          <w:sz w:val="18"/>
          <w:szCs w:val="18"/>
          <w:lang w:eastAsia="pl-PL"/>
        </w:rPr>
        <w:t>Szczegółowy opis osi priorytetowych Programu Operacyjnego Infrastruktura i Środowisko 2014-2020, Wersja 18.0 Ministerstwo Funduszy i Polityki Regionalnej, Warszawa, 2021</w:t>
      </w:r>
    </w:p>
    <w:p w14:paraId="62F4142F" w14:textId="77777777" w:rsidR="00AD02AA" w:rsidRPr="003478AF" w:rsidRDefault="00AD02AA" w:rsidP="00AD02AA">
      <w:pPr>
        <w:ind w:left="426" w:hanging="426"/>
        <w:rPr>
          <w:rFonts w:eastAsia="Times New Roman" w:cs="Arial"/>
          <w:color w:val="000000"/>
          <w:sz w:val="18"/>
          <w:szCs w:val="18"/>
          <w:lang w:val="en-GB" w:eastAsia="pl-PL"/>
        </w:rPr>
      </w:pPr>
      <w:r w:rsidRPr="003478AF">
        <w:rPr>
          <w:rFonts w:eastAsia="Times New Roman" w:cs="Arial"/>
          <w:color w:val="000000"/>
          <w:sz w:val="18"/>
          <w:szCs w:val="18"/>
          <w:lang w:val="en-US" w:eastAsia="pl-PL"/>
        </w:rPr>
        <w:lastRenderedPageBreak/>
        <w:t>Towards the Circular Economy: Accelerating the scale-up across global supply chains, Prepared in collaboration with the Ellen MacArthur Foundation and McKinsey &amp; Company, WFE, 2014</w:t>
      </w:r>
    </w:p>
    <w:p w14:paraId="48B72C36" w14:textId="7763C3C7" w:rsidR="00AD02AA" w:rsidRPr="003478AF" w:rsidRDefault="00AD02AA" w:rsidP="00AD02AA">
      <w:pPr>
        <w:ind w:left="426" w:hanging="426"/>
        <w:rPr>
          <w:rFonts w:eastAsia="Times New Roman" w:cs="Arial"/>
          <w:color w:val="000000"/>
          <w:sz w:val="18"/>
          <w:szCs w:val="18"/>
          <w:lang w:eastAsia="pl-PL"/>
        </w:rPr>
      </w:pPr>
      <w:r w:rsidRPr="003478AF">
        <w:rPr>
          <w:rFonts w:eastAsia="Times New Roman" w:cs="Arial"/>
          <w:color w:val="000000"/>
          <w:sz w:val="18"/>
          <w:szCs w:val="18"/>
          <w:lang w:eastAsia="pl-PL"/>
        </w:rPr>
        <w:t>Uchwała nr 102 Rady Ministrów z dnia 17 września 2019</w:t>
      </w:r>
      <w:r w:rsidR="00FE614B" w:rsidRPr="003478AF">
        <w:rPr>
          <w:rFonts w:eastAsia="Times New Roman" w:cs="Arial"/>
          <w:color w:val="000000"/>
          <w:sz w:val="18"/>
          <w:szCs w:val="18"/>
          <w:lang w:eastAsia="pl-PL"/>
        </w:rPr>
        <w:t> r.</w:t>
      </w:r>
      <w:r w:rsidRPr="003478AF">
        <w:rPr>
          <w:rFonts w:eastAsia="Times New Roman" w:cs="Arial"/>
          <w:color w:val="000000"/>
          <w:sz w:val="18"/>
          <w:szCs w:val="18"/>
          <w:lang w:eastAsia="pl-PL"/>
        </w:rPr>
        <w:t xml:space="preserve"> w sprawie przyjęcia "Krajowej Strategii Rozwoju Regionalnego 2030" [M.P. 2019 poz. 1060]</w:t>
      </w:r>
    </w:p>
    <w:p w14:paraId="3627E4FE" w14:textId="391099D8" w:rsidR="00AD02AA" w:rsidRPr="003478AF" w:rsidRDefault="00AD02AA" w:rsidP="00AD02AA">
      <w:pPr>
        <w:ind w:left="426" w:hanging="426"/>
        <w:rPr>
          <w:rFonts w:eastAsia="Times New Roman" w:cs="Arial"/>
          <w:color w:val="000000"/>
          <w:sz w:val="18"/>
          <w:szCs w:val="18"/>
          <w:lang w:eastAsia="pl-PL"/>
        </w:rPr>
      </w:pPr>
      <w:r w:rsidRPr="003478AF">
        <w:rPr>
          <w:rFonts w:eastAsia="Times New Roman" w:cs="Arial"/>
          <w:color w:val="000000"/>
          <w:sz w:val="18"/>
          <w:szCs w:val="18"/>
          <w:lang w:eastAsia="pl-PL"/>
        </w:rPr>
        <w:t>Uchwała nr 88 Rady Ministrów z dnia 1 lipca 2016</w:t>
      </w:r>
      <w:r w:rsidR="00FE614B" w:rsidRPr="003478AF">
        <w:rPr>
          <w:rFonts w:eastAsia="Times New Roman" w:cs="Arial"/>
          <w:color w:val="000000"/>
          <w:sz w:val="18"/>
          <w:szCs w:val="18"/>
          <w:lang w:eastAsia="pl-PL"/>
        </w:rPr>
        <w:t> r.</w:t>
      </w:r>
      <w:r w:rsidRPr="003478AF">
        <w:rPr>
          <w:rFonts w:eastAsia="Times New Roman" w:cs="Arial"/>
          <w:color w:val="000000"/>
          <w:sz w:val="18"/>
          <w:szCs w:val="18"/>
          <w:lang w:eastAsia="pl-PL"/>
        </w:rPr>
        <w:t xml:space="preserve"> w sprawie Krajowego planu gospodarki odpadami 2022 [M.P. 2016 poz. 784]</w:t>
      </w:r>
    </w:p>
    <w:p w14:paraId="3388A1CA" w14:textId="4B24C623" w:rsidR="00AD02AA" w:rsidRPr="003478AF" w:rsidRDefault="00AD02AA" w:rsidP="00AD02AA">
      <w:pPr>
        <w:ind w:left="426" w:hanging="426"/>
        <w:rPr>
          <w:rFonts w:eastAsia="Times New Roman" w:cs="Arial"/>
          <w:color w:val="000000"/>
          <w:sz w:val="18"/>
          <w:szCs w:val="18"/>
          <w:lang w:eastAsia="pl-PL"/>
        </w:rPr>
      </w:pPr>
      <w:r w:rsidRPr="003478AF">
        <w:rPr>
          <w:rFonts w:eastAsia="Times New Roman" w:cs="Arial"/>
          <w:color w:val="000000"/>
          <w:sz w:val="18"/>
          <w:szCs w:val="18"/>
          <w:lang w:eastAsia="pl-PL"/>
        </w:rPr>
        <w:t>Uchwała nr XXII/405/20 Sejmiku Województwa Wielkopolskiego z dnia 28 września 2020</w:t>
      </w:r>
      <w:r w:rsidR="00FE614B" w:rsidRPr="003478AF">
        <w:rPr>
          <w:rFonts w:eastAsia="Times New Roman" w:cs="Arial"/>
          <w:color w:val="000000"/>
          <w:sz w:val="18"/>
          <w:szCs w:val="18"/>
          <w:lang w:eastAsia="pl-PL"/>
        </w:rPr>
        <w:t> r.</w:t>
      </w:r>
      <w:r w:rsidRPr="003478AF">
        <w:rPr>
          <w:rFonts w:eastAsia="Times New Roman" w:cs="Arial"/>
          <w:color w:val="000000"/>
          <w:sz w:val="18"/>
          <w:szCs w:val="18"/>
          <w:lang w:eastAsia="pl-PL"/>
        </w:rPr>
        <w:t xml:space="preserve"> </w:t>
      </w:r>
      <w:r w:rsidRPr="003478AF">
        <w:rPr>
          <w:rFonts w:eastAsia="Times New Roman" w:cs="Arial"/>
          <w:color w:val="000000"/>
          <w:sz w:val="18"/>
          <w:szCs w:val="18"/>
          <w:lang w:eastAsia="pl-PL"/>
        </w:rPr>
        <w:br/>
        <w:t>w sprawie uchwalenia Planu gospodarki odpadami dla województwa wielkopolskiego na lata 2019-2025 wraz z planem inwestycyjnym</w:t>
      </w:r>
    </w:p>
    <w:p w14:paraId="1BB3A118" w14:textId="2EED59DE" w:rsidR="00AD02AA" w:rsidRPr="003478AF" w:rsidRDefault="00AD02AA" w:rsidP="00AD02AA">
      <w:pPr>
        <w:ind w:left="426" w:hanging="426"/>
        <w:rPr>
          <w:rFonts w:eastAsia="Times New Roman" w:cs="Arial"/>
          <w:color w:val="000000"/>
          <w:sz w:val="18"/>
          <w:szCs w:val="18"/>
          <w:lang w:eastAsia="pl-PL"/>
        </w:rPr>
      </w:pPr>
      <w:r w:rsidRPr="003478AF">
        <w:rPr>
          <w:rFonts w:eastAsia="Times New Roman" w:cs="Arial"/>
          <w:color w:val="000000"/>
          <w:sz w:val="18"/>
          <w:szCs w:val="18"/>
          <w:lang w:eastAsia="pl-PL"/>
        </w:rPr>
        <w:t>Uchwała nr XXII/405/20 Sejmiku Województwa Wielkopolskiego z dnia 28 września 2020</w:t>
      </w:r>
      <w:r w:rsidR="00FE614B" w:rsidRPr="003478AF">
        <w:rPr>
          <w:rFonts w:eastAsia="Times New Roman" w:cs="Arial"/>
          <w:color w:val="000000"/>
          <w:sz w:val="18"/>
          <w:szCs w:val="18"/>
          <w:lang w:eastAsia="pl-PL"/>
        </w:rPr>
        <w:t> r.</w:t>
      </w:r>
      <w:r w:rsidRPr="003478AF">
        <w:rPr>
          <w:rFonts w:eastAsia="Times New Roman" w:cs="Arial"/>
          <w:color w:val="000000"/>
          <w:sz w:val="18"/>
          <w:szCs w:val="18"/>
          <w:lang w:eastAsia="pl-PL"/>
        </w:rPr>
        <w:t xml:space="preserve"> </w:t>
      </w:r>
      <w:r w:rsidRPr="003478AF">
        <w:rPr>
          <w:rFonts w:eastAsia="Times New Roman" w:cs="Arial"/>
          <w:color w:val="000000"/>
          <w:sz w:val="18"/>
          <w:szCs w:val="18"/>
          <w:lang w:eastAsia="pl-PL"/>
        </w:rPr>
        <w:br/>
        <w:t>w sprawie uchwalenia Planu gospodarki odpadami dla województwa wielkopolskiego na lata 2019-2025 wraz z planem inwestycyjnym</w:t>
      </w:r>
    </w:p>
    <w:p w14:paraId="5537DFF9" w14:textId="2309DEDC" w:rsidR="00AD02AA" w:rsidRPr="003478AF" w:rsidRDefault="00AD02AA" w:rsidP="00AD02AA">
      <w:pPr>
        <w:ind w:left="426" w:hanging="426"/>
        <w:rPr>
          <w:rFonts w:eastAsia="Times New Roman" w:cs="Arial"/>
          <w:color w:val="000000"/>
          <w:sz w:val="18"/>
          <w:szCs w:val="18"/>
          <w:lang w:val="en-GB" w:eastAsia="pl-PL"/>
        </w:rPr>
      </w:pPr>
      <w:r w:rsidRPr="003478AF">
        <w:rPr>
          <w:rFonts w:eastAsia="Times New Roman" w:cs="Arial"/>
          <w:color w:val="000000"/>
          <w:sz w:val="18"/>
          <w:szCs w:val="18"/>
          <w:lang w:eastAsia="pl-PL"/>
        </w:rPr>
        <w:t xml:space="preserve">W. Izdebski, J. Skudlarski, S. Zając (2014), Wykorzystanie surowców pochodzenia rolniczego do produkcji biopaliw transportowych w Polsce. </w:t>
      </w:r>
      <w:r w:rsidRPr="003478AF">
        <w:rPr>
          <w:rFonts w:eastAsia="Times New Roman" w:cs="Arial"/>
          <w:color w:val="000000"/>
          <w:sz w:val="18"/>
          <w:szCs w:val="18"/>
          <w:lang w:val="en-GB" w:eastAsia="pl-PL"/>
        </w:rPr>
        <w:t>St. Ekon. Rol i Agrobiz</w:t>
      </w:r>
      <w:r w:rsidR="00FE614B" w:rsidRPr="003478AF">
        <w:rPr>
          <w:rFonts w:eastAsia="Times New Roman" w:cs="Arial"/>
          <w:color w:val="000000"/>
          <w:sz w:val="18"/>
          <w:szCs w:val="18"/>
          <w:lang w:val="en-GB" w:eastAsia="pl-PL"/>
        </w:rPr>
        <w:t> r.</w:t>
      </w:r>
      <w:r w:rsidRPr="003478AF">
        <w:rPr>
          <w:rFonts w:eastAsia="Times New Roman" w:cs="Arial"/>
          <w:color w:val="000000"/>
          <w:sz w:val="18"/>
          <w:szCs w:val="18"/>
          <w:lang w:val="en-GB" w:eastAsia="pl-PL"/>
        </w:rPr>
        <w:t xml:space="preserve"> N., (16)2, 93-97</w:t>
      </w:r>
    </w:p>
    <w:p w14:paraId="5B982D85" w14:textId="77777777" w:rsidR="00AD02AA" w:rsidRPr="003478AF" w:rsidRDefault="00AD02AA" w:rsidP="00AD02AA">
      <w:pPr>
        <w:ind w:left="426" w:hanging="426"/>
        <w:rPr>
          <w:rFonts w:eastAsia="Times New Roman" w:cs="Arial"/>
          <w:color w:val="000000"/>
          <w:sz w:val="18"/>
          <w:szCs w:val="18"/>
          <w:lang w:val="en-GB" w:eastAsia="pl-PL"/>
        </w:rPr>
      </w:pPr>
      <w:r w:rsidRPr="003478AF">
        <w:rPr>
          <w:rFonts w:eastAsia="Times New Roman" w:cs="Arial"/>
          <w:color w:val="000000"/>
          <w:sz w:val="18"/>
          <w:szCs w:val="18"/>
          <w:lang w:val="en-US" w:eastAsia="pl-PL"/>
        </w:rPr>
        <w:t xml:space="preserve">W. Stahel (2016),The circular economy he circular economy. A new relationship with our goods and materials would save resources and energy and create local jobs </w:t>
      </w:r>
    </w:p>
    <w:p w14:paraId="78172DE4" w14:textId="77777777" w:rsidR="00AD02AA" w:rsidRPr="003478AF" w:rsidRDefault="00AD02AA" w:rsidP="00AD02AA">
      <w:pPr>
        <w:ind w:left="426" w:hanging="426"/>
        <w:rPr>
          <w:rFonts w:eastAsia="Times New Roman" w:cs="Arial"/>
          <w:color w:val="000000"/>
          <w:sz w:val="18"/>
          <w:szCs w:val="18"/>
          <w:lang w:eastAsia="pl-PL"/>
        </w:rPr>
      </w:pPr>
      <w:r w:rsidRPr="003478AF">
        <w:rPr>
          <w:rFonts w:eastAsia="Times New Roman" w:cs="Arial"/>
          <w:color w:val="000000"/>
          <w:sz w:val="18"/>
          <w:szCs w:val="18"/>
          <w:lang w:eastAsia="pl-PL"/>
        </w:rPr>
        <w:t>Wielkopolski Regionalny Program Operacyjny na lata 2014 – 2020 WRPO 2014+. Zarząd Województwa Wielkopolskiego, Poznań 12 grudnia 2014 roku; Uchwała Nr 3416/2021 Zarządu Województwa Wielkopolskiego z dnia 31 marca 2021 roku w sprawie: przyjęcia zmian Wielkopolskiego Regionalnego Programu Operacyjnego na lata 2014-2020</w:t>
      </w:r>
    </w:p>
    <w:p w14:paraId="2C487738" w14:textId="77777777" w:rsidR="00AD02AA" w:rsidRPr="003478AF" w:rsidRDefault="00AD02AA" w:rsidP="00AD02AA">
      <w:pPr>
        <w:ind w:left="426" w:hanging="426"/>
        <w:rPr>
          <w:rFonts w:eastAsia="Times New Roman" w:cs="Arial"/>
          <w:color w:val="000000"/>
          <w:sz w:val="18"/>
          <w:szCs w:val="18"/>
          <w:lang w:eastAsia="pl-PL"/>
        </w:rPr>
      </w:pPr>
      <w:r w:rsidRPr="003478AF">
        <w:rPr>
          <w:rFonts w:eastAsia="Times New Roman" w:cs="Arial"/>
          <w:color w:val="000000"/>
          <w:sz w:val="18"/>
          <w:szCs w:val="18"/>
          <w:lang w:eastAsia="pl-PL"/>
        </w:rPr>
        <w:t>Wskaźniki zielonej gospodarki w Polsce 2019, Urząd Statystyczny w Białymstoku, Warszawa, Białystok 2019</w:t>
      </w:r>
    </w:p>
    <w:p w14:paraId="46D1AA77" w14:textId="77777777" w:rsidR="00B632DE" w:rsidRPr="003478AF" w:rsidRDefault="00B632DE">
      <w:pPr>
        <w:spacing w:line="240" w:lineRule="auto"/>
        <w:ind w:firstLine="0"/>
        <w:jc w:val="left"/>
      </w:pPr>
      <w:r w:rsidRPr="003478AF">
        <w:br w:type="page"/>
      </w:r>
    </w:p>
    <w:p w14:paraId="24DD0102" w14:textId="517F02B6" w:rsidR="00614D11" w:rsidRPr="003478AF" w:rsidRDefault="00614D11" w:rsidP="00C977E8"/>
    <w:p w14:paraId="1097E187" w14:textId="0E077BE9" w:rsidR="00614D11" w:rsidRPr="003478AF" w:rsidRDefault="00614D11" w:rsidP="00194CA4">
      <w:pPr>
        <w:pStyle w:val="Nagwek3"/>
      </w:pPr>
      <w:bookmarkStart w:id="108" w:name="_Toc82160011"/>
      <w:r w:rsidRPr="003478AF">
        <w:t>Załącznik 1</w:t>
      </w:r>
      <w:r w:rsidR="00267BA8" w:rsidRPr="003478AF">
        <w:t>.</w:t>
      </w:r>
      <w:r w:rsidR="00AC237C" w:rsidRPr="003478AF">
        <w:t xml:space="preserve"> Wskaźniki GOZ w dokumentach strategicznych Wielkopolski</w:t>
      </w:r>
      <w:bookmarkEnd w:id="108"/>
    </w:p>
    <w:p w14:paraId="14AE9EBF" w14:textId="7D1F9A45" w:rsidR="00AC237C" w:rsidRPr="003478AF" w:rsidRDefault="005D34A6" w:rsidP="00986D40">
      <w:pPr>
        <w:pStyle w:val="ARYCINA"/>
      </w:pPr>
      <w:r w:rsidRPr="003478AF">
        <w:t xml:space="preserve">Tab. </w:t>
      </w:r>
      <w:r w:rsidR="00AC237C" w:rsidRPr="003478AF">
        <w:t xml:space="preserve">1. Wskaźniki GOZ w Strategii </w:t>
      </w:r>
      <w:r w:rsidR="00155D24" w:rsidRPr="003478AF">
        <w:t>rozwoju w</w:t>
      </w:r>
      <w:r w:rsidR="00AC237C" w:rsidRPr="003478AF">
        <w:t xml:space="preserve">ojewództwa </w:t>
      </w:r>
      <w:r w:rsidR="00155D24" w:rsidRPr="003478AF">
        <w:t>w</w:t>
      </w:r>
      <w:r w:rsidR="00AC237C" w:rsidRPr="003478AF">
        <w:t>ielkopolskiego do 2030</w:t>
      </w:r>
    </w:p>
    <w:tbl>
      <w:tblPr>
        <w:tblStyle w:val="Tabela-Siatka"/>
        <w:tblW w:w="5000" w:type="pct"/>
        <w:tblLook w:val="04A0" w:firstRow="1" w:lastRow="0" w:firstColumn="1" w:lastColumn="0" w:noHBand="0" w:noVBand="1"/>
      </w:tblPr>
      <w:tblGrid>
        <w:gridCol w:w="6099"/>
        <w:gridCol w:w="2168"/>
      </w:tblGrid>
      <w:tr w:rsidR="00AC237C" w:rsidRPr="003478AF" w14:paraId="26678788" w14:textId="77777777" w:rsidTr="00175EF7">
        <w:tc>
          <w:tcPr>
            <w:tcW w:w="3689" w:type="pct"/>
            <w:shd w:val="clear" w:color="auto" w:fill="CCA879"/>
          </w:tcPr>
          <w:p w14:paraId="0A0CD171" w14:textId="77777777" w:rsidR="00AC237C" w:rsidRPr="003478AF" w:rsidRDefault="00AC237C" w:rsidP="00175EF7">
            <w:pPr>
              <w:ind w:firstLine="0"/>
              <w:jc w:val="center"/>
              <w:rPr>
                <w:b/>
                <w:bCs/>
                <w:sz w:val="16"/>
                <w:szCs w:val="16"/>
              </w:rPr>
            </w:pPr>
            <w:r w:rsidRPr="003478AF">
              <w:rPr>
                <w:b/>
                <w:bCs/>
                <w:sz w:val="16"/>
                <w:szCs w:val="16"/>
              </w:rPr>
              <w:t>Wskaźnik</w:t>
            </w:r>
          </w:p>
        </w:tc>
        <w:tc>
          <w:tcPr>
            <w:tcW w:w="1311" w:type="pct"/>
            <w:shd w:val="clear" w:color="auto" w:fill="CCA879"/>
          </w:tcPr>
          <w:p w14:paraId="28CB9D8A" w14:textId="0CA5793E" w:rsidR="00AC237C" w:rsidRPr="003478AF" w:rsidRDefault="00AC237C" w:rsidP="009B1AA9">
            <w:pPr>
              <w:ind w:firstLine="0"/>
              <w:jc w:val="center"/>
              <w:rPr>
                <w:b/>
                <w:bCs/>
                <w:sz w:val="16"/>
                <w:szCs w:val="16"/>
              </w:rPr>
            </w:pPr>
            <w:r w:rsidRPr="003478AF">
              <w:rPr>
                <w:b/>
                <w:bCs/>
                <w:sz w:val="16"/>
                <w:szCs w:val="16"/>
                <w:shd w:val="clear" w:color="auto" w:fill="CCA879"/>
              </w:rPr>
              <w:t>Jednostka</w:t>
            </w:r>
            <w:r w:rsidRPr="003478AF">
              <w:rPr>
                <w:b/>
                <w:bCs/>
                <w:sz w:val="16"/>
                <w:szCs w:val="16"/>
              </w:rPr>
              <w:t xml:space="preserve"> miary</w:t>
            </w:r>
          </w:p>
        </w:tc>
      </w:tr>
      <w:tr w:rsidR="00AC237C" w:rsidRPr="003478AF" w14:paraId="09211EFE" w14:textId="77777777" w:rsidTr="00D33815">
        <w:tc>
          <w:tcPr>
            <w:tcW w:w="3689" w:type="pct"/>
          </w:tcPr>
          <w:p w14:paraId="6CC7426C" w14:textId="77777777" w:rsidR="00AC237C" w:rsidRPr="003478AF" w:rsidRDefault="00AC237C" w:rsidP="00AC237C">
            <w:pPr>
              <w:ind w:firstLine="0"/>
              <w:rPr>
                <w:sz w:val="16"/>
                <w:szCs w:val="16"/>
              </w:rPr>
            </w:pPr>
            <w:r w:rsidRPr="003478AF">
              <w:rPr>
                <w:sz w:val="16"/>
                <w:szCs w:val="16"/>
              </w:rPr>
              <w:t>Pojemność obiektów małej retencji wodnej</w:t>
            </w:r>
          </w:p>
        </w:tc>
        <w:tc>
          <w:tcPr>
            <w:tcW w:w="1311" w:type="pct"/>
          </w:tcPr>
          <w:p w14:paraId="334C1728" w14:textId="77777777" w:rsidR="00AC237C" w:rsidRPr="003478AF" w:rsidRDefault="00AC237C" w:rsidP="00AC237C">
            <w:pPr>
              <w:ind w:firstLine="0"/>
              <w:jc w:val="center"/>
              <w:rPr>
                <w:sz w:val="16"/>
                <w:szCs w:val="16"/>
              </w:rPr>
            </w:pPr>
            <w:r w:rsidRPr="003478AF">
              <w:rPr>
                <w:sz w:val="16"/>
                <w:szCs w:val="16"/>
              </w:rPr>
              <w:t>dam</w:t>
            </w:r>
            <w:r w:rsidRPr="003478AF">
              <w:rPr>
                <w:sz w:val="16"/>
                <w:szCs w:val="16"/>
                <w:vertAlign w:val="superscript"/>
              </w:rPr>
              <w:t>3</w:t>
            </w:r>
          </w:p>
        </w:tc>
      </w:tr>
      <w:tr w:rsidR="00AC237C" w:rsidRPr="003478AF" w14:paraId="3E2D3D4E" w14:textId="77777777" w:rsidTr="00D33815">
        <w:tc>
          <w:tcPr>
            <w:tcW w:w="3689" w:type="pct"/>
          </w:tcPr>
          <w:p w14:paraId="56AEB85C" w14:textId="77777777" w:rsidR="00AC237C" w:rsidRPr="003478AF" w:rsidRDefault="00AC237C" w:rsidP="00AC237C">
            <w:pPr>
              <w:ind w:firstLine="0"/>
              <w:rPr>
                <w:sz w:val="16"/>
                <w:szCs w:val="16"/>
              </w:rPr>
            </w:pPr>
            <w:r w:rsidRPr="003478AF">
              <w:rPr>
                <w:sz w:val="16"/>
                <w:szCs w:val="16"/>
              </w:rPr>
              <w:t>Udział energii odnawialnej w produkcji energii elektrycznej</w:t>
            </w:r>
          </w:p>
        </w:tc>
        <w:tc>
          <w:tcPr>
            <w:tcW w:w="1311" w:type="pct"/>
          </w:tcPr>
          <w:p w14:paraId="07E38335" w14:textId="77777777" w:rsidR="00AC237C" w:rsidRPr="003478AF" w:rsidRDefault="00AC237C" w:rsidP="00AC237C">
            <w:pPr>
              <w:ind w:firstLine="0"/>
              <w:jc w:val="center"/>
              <w:rPr>
                <w:sz w:val="16"/>
                <w:szCs w:val="16"/>
              </w:rPr>
            </w:pPr>
            <w:r w:rsidRPr="003478AF">
              <w:rPr>
                <w:sz w:val="16"/>
                <w:szCs w:val="16"/>
              </w:rPr>
              <w:t>%</w:t>
            </w:r>
          </w:p>
        </w:tc>
      </w:tr>
    </w:tbl>
    <w:p w14:paraId="44B33138" w14:textId="3B50BD0B" w:rsidR="00155D24" w:rsidRPr="003478AF" w:rsidRDefault="00155D24" w:rsidP="00986D40">
      <w:pPr>
        <w:pStyle w:val="AZRODLO"/>
      </w:pPr>
      <w:r w:rsidRPr="003478AF">
        <w:t>Źródło: Opracowanie własne na podstawie danych Strategii rozwoju województwa wielkopolskiego do 2030 roku. Zarząd Województwa Wielkopolskiego. Poznań 2020</w:t>
      </w:r>
    </w:p>
    <w:p w14:paraId="6895A3E3" w14:textId="5AEEF14E" w:rsidR="00AC237C" w:rsidRPr="003478AF" w:rsidRDefault="00AC237C" w:rsidP="00E136AA"/>
    <w:p w14:paraId="1BAC1B00" w14:textId="77777777" w:rsidR="00E136AA" w:rsidRPr="003478AF" w:rsidRDefault="00E136AA" w:rsidP="00E136AA"/>
    <w:p w14:paraId="4FBD3167" w14:textId="3F57E922" w:rsidR="00AC237C" w:rsidRPr="003478AF" w:rsidRDefault="005D34A6" w:rsidP="00986D40">
      <w:pPr>
        <w:pStyle w:val="ARYCINA"/>
      </w:pPr>
      <w:r w:rsidRPr="003478AF">
        <w:t xml:space="preserve">Tab. </w:t>
      </w:r>
      <w:r w:rsidR="00AC237C" w:rsidRPr="003478AF">
        <w:t xml:space="preserve">2. Wskaźniki GOZ w Programie </w:t>
      </w:r>
      <w:r w:rsidR="00155D24" w:rsidRPr="003478AF">
        <w:t>o</w:t>
      </w:r>
      <w:r w:rsidR="00AC237C" w:rsidRPr="003478AF">
        <w:t xml:space="preserve">chrony </w:t>
      </w:r>
      <w:r w:rsidR="00155D24" w:rsidRPr="003478AF">
        <w:t>ś</w:t>
      </w:r>
      <w:r w:rsidR="00AC237C" w:rsidRPr="003478AF">
        <w:t>rodowiska</w:t>
      </w:r>
      <w:r w:rsidR="00155D24" w:rsidRPr="003478AF">
        <w:t xml:space="preserve"> dla województwa wielkopolskiego do roku 2030</w:t>
      </w:r>
    </w:p>
    <w:tbl>
      <w:tblPr>
        <w:tblStyle w:val="Tabela-Siatka"/>
        <w:tblW w:w="0" w:type="auto"/>
        <w:tblLook w:val="04A0" w:firstRow="1" w:lastRow="0" w:firstColumn="1" w:lastColumn="0" w:noHBand="0" w:noVBand="1"/>
      </w:tblPr>
      <w:tblGrid>
        <w:gridCol w:w="1980"/>
        <w:gridCol w:w="4648"/>
        <w:gridCol w:w="1639"/>
      </w:tblGrid>
      <w:tr w:rsidR="00AC237C" w:rsidRPr="003478AF" w14:paraId="23A090D4" w14:textId="77777777" w:rsidTr="00E136AA">
        <w:trPr>
          <w:tblHeader/>
        </w:trPr>
        <w:tc>
          <w:tcPr>
            <w:tcW w:w="1980" w:type="dxa"/>
            <w:shd w:val="clear" w:color="auto" w:fill="CCA879"/>
            <w:vAlign w:val="center"/>
          </w:tcPr>
          <w:p w14:paraId="281D1283" w14:textId="77777777" w:rsidR="00AC237C" w:rsidRPr="003478AF" w:rsidRDefault="00AC237C" w:rsidP="00E136AA">
            <w:pPr>
              <w:ind w:firstLine="18"/>
              <w:jc w:val="center"/>
              <w:rPr>
                <w:rFonts w:cs="Arial"/>
                <w:b/>
                <w:bCs/>
                <w:sz w:val="16"/>
                <w:szCs w:val="16"/>
              </w:rPr>
            </w:pPr>
            <w:r w:rsidRPr="003478AF">
              <w:rPr>
                <w:rFonts w:cs="Arial"/>
                <w:b/>
                <w:bCs/>
                <w:sz w:val="16"/>
                <w:szCs w:val="16"/>
              </w:rPr>
              <w:t>Obszar interwencji</w:t>
            </w:r>
          </w:p>
        </w:tc>
        <w:tc>
          <w:tcPr>
            <w:tcW w:w="4648" w:type="dxa"/>
            <w:shd w:val="clear" w:color="auto" w:fill="CCA879"/>
            <w:vAlign w:val="center"/>
          </w:tcPr>
          <w:p w14:paraId="7E5BFA1C" w14:textId="77777777" w:rsidR="00AC237C" w:rsidRPr="003478AF" w:rsidRDefault="00AC237C" w:rsidP="00E136AA">
            <w:pPr>
              <w:ind w:firstLine="18"/>
              <w:jc w:val="center"/>
              <w:rPr>
                <w:rFonts w:cs="Arial"/>
                <w:b/>
                <w:bCs/>
                <w:sz w:val="16"/>
                <w:szCs w:val="16"/>
              </w:rPr>
            </w:pPr>
            <w:r w:rsidRPr="003478AF">
              <w:rPr>
                <w:rFonts w:cs="Arial"/>
                <w:b/>
                <w:bCs/>
                <w:sz w:val="16"/>
                <w:szCs w:val="16"/>
              </w:rPr>
              <w:t>Wskaźnik</w:t>
            </w:r>
          </w:p>
        </w:tc>
        <w:tc>
          <w:tcPr>
            <w:tcW w:w="0" w:type="auto"/>
            <w:shd w:val="clear" w:color="auto" w:fill="CCA879"/>
            <w:vAlign w:val="center"/>
          </w:tcPr>
          <w:p w14:paraId="2997122A" w14:textId="4328F339" w:rsidR="00AC237C" w:rsidRPr="003478AF" w:rsidRDefault="00AC237C" w:rsidP="00E136AA">
            <w:pPr>
              <w:ind w:firstLine="18"/>
              <w:jc w:val="center"/>
              <w:rPr>
                <w:rFonts w:cs="Arial"/>
                <w:b/>
                <w:bCs/>
                <w:sz w:val="16"/>
                <w:szCs w:val="16"/>
              </w:rPr>
            </w:pPr>
            <w:r w:rsidRPr="003478AF">
              <w:rPr>
                <w:rFonts w:cs="Arial"/>
                <w:b/>
                <w:bCs/>
                <w:sz w:val="16"/>
                <w:szCs w:val="16"/>
              </w:rPr>
              <w:t>Jednostka miary</w:t>
            </w:r>
          </w:p>
        </w:tc>
      </w:tr>
      <w:tr w:rsidR="009959BE" w:rsidRPr="003478AF" w14:paraId="7450D4F2" w14:textId="77777777" w:rsidTr="00E136AA">
        <w:tc>
          <w:tcPr>
            <w:tcW w:w="1980" w:type="dxa"/>
            <w:vMerge w:val="restart"/>
            <w:vAlign w:val="center"/>
          </w:tcPr>
          <w:p w14:paraId="09CB60AE" w14:textId="4AF4E83A" w:rsidR="009959BE" w:rsidRPr="003478AF" w:rsidRDefault="009959BE" w:rsidP="00E136AA">
            <w:pPr>
              <w:ind w:firstLine="18"/>
              <w:jc w:val="left"/>
              <w:rPr>
                <w:rFonts w:cs="Arial"/>
                <w:sz w:val="16"/>
                <w:szCs w:val="16"/>
              </w:rPr>
            </w:pPr>
            <w:r w:rsidRPr="003478AF">
              <w:rPr>
                <w:rFonts w:cs="Arial"/>
                <w:sz w:val="16"/>
                <w:szCs w:val="16"/>
              </w:rPr>
              <w:t>Ochrona klimatu i jakości powietrza</w:t>
            </w:r>
          </w:p>
        </w:tc>
        <w:tc>
          <w:tcPr>
            <w:tcW w:w="4648" w:type="dxa"/>
            <w:vAlign w:val="center"/>
          </w:tcPr>
          <w:p w14:paraId="5A489D2B" w14:textId="77777777" w:rsidR="009959BE" w:rsidRPr="003478AF" w:rsidRDefault="009959BE" w:rsidP="00E136AA">
            <w:pPr>
              <w:ind w:firstLine="18"/>
              <w:jc w:val="left"/>
              <w:rPr>
                <w:rFonts w:cs="Arial"/>
                <w:sz w:val="16"/>
                <w:szCs w:val="16"/>
              </w:rPr>
            </w:pPr>
            <w:r w:rsidRPr="003478AF">
              <w:rPr>
                <w:rFonts w:cs="Arial"/>
                <w:sz w:val="16"/>
                <w:szCs w:val="16"/>
              </w:rPr>
              <w:t>emisja dwutlenku węgla</w:t>
            </w:r>
          </w:p>
        </w:tc>
        <w:tc>
          <w:tcPr>
            <w:tcW w:w="0" w:type="auto"/>
            <w:vAlign w:val="center"/>
          </w:tcPr>
          <w:p w14:paraId="2EC27009" w14:textId="3DD7E0A0" w:rsidR="009959BE" w:rsidRPr="003478AF" w:rsidRDefault="009959BE" w:rsidP="00E136AA">
            <w:pPr>
              <w:ind w:firstLine="18"/>
              <w:jc w:val="center"/>
              <w:rPr>
                <w:rFonts w:cs="Arial"/>
                <w:sz w:val="16"/>
                <w:szCs w:val="16"/>
              </w:rPr>
            </w:pPr>
            <w:r w:rsidRPr="003478AF">
              <w:rPr>
                <w:rFonts w:eastAsia="Times New Roman" w:cs="Arial"/>
                <w:sz w:val="16"/>
                <w:szCs w:val="16"/>
                <w:lang w:eastAsia="pl-PL"/>
              </w:rPr>
              <w:t>t (tona)</w:t>
            </w:r>
          </w:p>
        </w:tc>
      </w:tr>
      <w:tr w:rsidR="009959BE" w:rsidRPr="003478AF" w14:paraId="3CC565B5" w14:textId="77777777" w:rsidTr="00E136AA">
        <w:tc>
          <w:tcPr>
            <w:tcW w:w="1980" w:type="dxa"/>
            <w:vMerge/>
            <w:vAlign w:val="center"/>
          </w:tcPr>
          <w:p w14:paraId="5C063349" w14:textId="77777777" w:rsidR="009959BE" w:rsidRPr="003478AF" w:rsidRDefault="009959BE" w:rsidP="00E136AA">
            <w:pPr>
              <w:ind w:firstLine="18"/>
              <w:jc w:val="left"/>
              <w:rPr>
                <w:rFonts w:cs="Arial"/>
                <w:sz w:val="16"/>
                <w:szCs w:val="16"/>
              </w:rPr>
            </w:pPr>
          </w:p>
        </w:tc>
        <w:tc>
          <w:tcPr>
            <w:tcW w:w="4648" w:type="dxa"/>
            <w:vAlign w:val="center"/>
          </w:tcPr>
          <w:p w14:paraId="74EA5C98" w14:textId="47FE24E9" w:rsidR="009959BE" w:rsidRPr="003478AF" w:rsidRDefault="00155D24" w:rsidP="00E136AA">
            <w:pPr>
              <w:ind w:firstLine="18"/>
              <w:jc w:val="left"/>
              <w:rPr>
                <w:rFonts w:cs="Arial"/>
                <w:sz w:val="16"/>
                <w:szCs w:val="16"/>
              </w:rPr>
            </w:pPr>
            <w:r w:rsidRPr="003478AF">
              <w:rPr>
                <w:rFonts w:cs="Arial"/>
                <w:sz w:val="16"/>
                <w:szCs w:val="16"/>
              </w:rPr>
              <w:t>e</w:t>
            </w:r>
            <w:r w:rsidR="009959BE" w:rsidRPr="003478AF">
              <w:rPr>
                <w:rFonts w:cs="Arial"/>
                <w:sz w:val="16"/>
                <w:szCs w:val="16"/>
              </w:rPr>
              <w:t>misja metanu</w:t>
            </w:r>
          </w:p>
        </w:tc>
        <w:tc>
          <w:tcPr>
            <w:tcW w:w="0" w:type="auto"/>
            <w:vAlign w:val="center"/>
          </w:tcPr>
          <w:p w14:paraId="5DEF34B1" w14:textId="1DD125BB" w:rsidR="009959BE" w:rsidRPr="003478AF" w:rsidRDefault="009959BE" w:rsidP="00E136AA">
            <w:pPr>
              <w:ind w:firstLine="18"/>
              <w:jc w:val="center"/>
              <w:rPr>
                <w:rFonts w:cs="Arial"/>
                <w:sz w:val="16"/>
                <w:szCs w:val="16"/>
              </w:rPr>
            </w:pPr>
            <w:r w:rsidRPr="003478AF">
              <w:rPr>
                <w:rFonts w:eastAsia="Times New Roman" w:cs="Arial"/>
                <w:sz w:val="16"/>
                <w:szCs w:val="16"/>
                <w:lang w:eastAsia="pl-PL"/>
              </w:rPr>
              <w:t>t (tona)</w:t>
            </w:r>
          </w:p>
        </w:tc>
      </w:tr>
      <w:tr w:rsidR="00AC237C" w:rsidRPr="003478AF" w14:paraId="13B9FA50" w14:textId="77777777" w:rsidTr="00E136AA">
        <w:tc>
          <w:tcPr>
            <w:tcW w:w="1980" w:type="dxa"/>
            <w:vMerge/>
            <w:vAlign w:val="center"/>
          </w:tcPr>
          <w:p w14:paraId="7BDBB0CF" w14:textId="77777777" w:rsidR="00AC237C" w:rsidRPr="003478AF" w:rsidRDefault="00AC237C" w:rsidP="00E136AA">
            <w:pPr>
              <w:ind w:firstLine="18"/>
              <w:jc w:val="left"/>
              <w:rPr>
                <w:rFonts w:cs="Arial"/>
                <w:sz w:val="16"/>
                <w:szCs w:val="16"/>
              </w:rPr>
            </w:pPr>
          </w:p>
        </w:tc>
        <w:tc>
          <w:tcPr>
            <w:tcW w:w="4648" w:type="dxa"/>
            <w:vAlign w:val="center"/>
          </w:tcPr>
          <w:p w14:paraId="361AF028" w14:textId="77777777" w:rsidR="00AC237C" w:rsidRPr="003478AF" w:rsidRDefault="00AC237C" w:rsidP="00E136AA">
            <w:pPr>
              <w:ind w:firstLine="18"/>
              <w:jc w:val="left"/>
              <w:rPr>
                <w:rFonts w:cs="Arial"/>
                <w:sz w:val="16"/>
                <w:szCs w:val="16"/>
              </w:rPr>
            </w:pPr>
            <w:r w:rsidRPr="003478AF">
              <w:rPr>
                <w:rFonts w:cs="Arial"/>
                <w:sz w:val="16"/>
                <w:szCs w:val="16"/>
              </w:rPr>
              <w:t>liczba stref o klasie C wg kryterium ochrony zdrowia</w:t>
            </w:r>
          </w:p>
        </w:tc>
        <w:tc>
          <w:tcPr>
            <w:tcW w:w="0" w:type="auto"/>
            <w:vAlign w:val="center"/>
          </w:tcPr>
          <w:p w14:paraId="427C0B38" w14:textId="606C4211" w:rsidR="00AC237C" w:rsidRPr="003478AF" w:rsidRDefault="00AC237C" w:rsidP="00E136AA">
            <w:pPr>
              <w:ind w:firstLine="18"/>
              <w:jc w:val="center"/>
              <w:rPr>
                <w:rFonts w:cs="Arial"/>
                <w:sz w:val="16"/>
                <w:szCs w:val="16"/>
              </w:rPr>
            </w:pPr>
            <w:r w:rsidRPr="003478AF">
              <w:rPr>
                <w:rFonts w:cs="Arial"/>
                <w:sz w:val="16"/>
                <w:szCs w:val="16"/>
              </w:rPr>
              <w:t>dla pyłu PM10, dla pyłu PM2,5,</w:t>
            </w:r>
          </w:p>
          <w:p w14:paraId="2BC73145" w14:textId="77777777" w:rsidR="00AC237C" w:rsidRPr="003478AF" w:rsidRDefault="00AC237C" w:rsidP="00E136AA">
            <w:pPr>
              <w:ind w:firstLine="18"/>
              <w:jc w:val="center"/>
              <w:rPr>
                <w:rFonts w:cs="Arial"/>
                <w:sz w:val="16"/>
                <w:szCs w:val="16"/>
              </w:rPr>
            </w:pPr>
            <w:r w:rsidRPr="003478AF">
              <w:rPr>
                <w:rFonts w:cs="Arial"/>
                <w:sz w:val="16"/>
                <w:szCs w:val="16"/>
              </w:rPr>
              <w:t>dla BaP</w:t>
            </w:r>
          </w:p>
        </w:tc>
      </w:tr>
      <w:tr w:rsidR="00AC237C" w:rsidRPr="003478AF" w14:paraId="1F85D947" w14:textId="77777777" w:rsidTr="00E136AA">
        <w:tc>
          <w:tcPr>
            <w:tcW w:w="1980" w:type="dxa"/>
            <w:vMerge/>
            <w:vAlign w:val="center"/>
          </w:tcPr>
          <w:p w14:paraId="60C48529" w14:textId="77777777" w:rsidR="00AC237C" w:rsidRPr="003478AF" w:rsidRDefault="00AC237C" w:rsidP="00E136AA">
            <w:pPr>
              <w:ind w:firstLine="18"/>
              <w:jc w:val="left"/>
              <w:rPr>
                <w:rFonts w:cs="Arial"/>
                <w:sz w:val="16"/>
                <w:szCs w:val="16"/>
              </w:rPr>
            </w:pPr>
          </w:p>
        </w:tc>
        <w:tc>
          <w:tcPr>
            <w:tcW w:w="4648" w:type="dxa"/>
            <w:vAlign w:val="center"/>
          </w:tcPr>
          <w:p w14:paraId="0F156767" w14:textId="71406F3C" w:rsidR="00AC237C" w:rsidRPr="003478AF" w:rsidRDefault="00AC237C" w:rsidP="00E136AA">
            <w:pPr>
              <w:ind w:firstLine="18"/>
              <w:jc w:val="left"/>
              <w:rPr>
                <w:rFonts w:cs="Arial"/>
                <w:sz w:val="16"/>
                <w:szCs w:val="16"/>
              </w:rPr>
            </w:pPr>
            <w:r w:rsidRPr="003478AF">
              <w:rPr>
                <w:rFonts w:cs="Arial"/>
                <w:sz w:val="16"/>
                <w:szCs w:val="16"/>
              </w:rPr>
              <w:t>poziom substancji zanieczyszczających powietrza wg oceny rocznej - kryteria dla ochrony zdrowia</w:t>
            </w:r>
          </w:p>
        </w:tc>
        <w:tc>
          <w:tcPr>
            <w:tcW w:w="0" w:type="auto"/>
            <w:vAlign w:val="center"/>
          </w:tcPr>
          <w:p w14:paraId="432C8F64" w14:textId="77777777" w:rsidR="00AC237C" w:rsidRPr="003478AF" w:rsidRDefault="00AC237C" w:rsidP="00E136AA">
            <w:pPr>
              <w:ind w:firstLine="18"/>
              <w:jc w:val="center"/>
              <w:rPr>
                <w:rFonts w:cs="Arial"/>
                <w:sz w:val="16"/>
                <w:szCs w:val="16"/>
              </w:rPr>
            </w:pPr>
          </w:p>
        </w:tc>
      </w:tr>
      <w:tr w:rsidR="00AC237C" w:rsidRPr="003478AF" w14:paraId="400EF6B3" w14:textId="77777777" w:rsidTr="00E136AA">
        <w:tc>
          <w:tcPr>
            <w:tcW w:w="1980" w:type="dxa"/>
            <w:vMerge/>
            <w:vAlign w:val="center"/>
          </w:tcPr>
          <w:p w14:paraId="6CED4C7C" w14:textId="77777777" w:rsidR="00AC237C" w:rsidRPr="003478AF" w:rsidRDefault="00AC237C" w:rsidP="00E136AA">
            <w:pPr>
              <w:ind w:firstLine="18"/>
              <w:jc w:val="left"/>
              <w:rPr>
                <w:rFonts w:cs="Arial"/>
                <w:sz w:val="16"/>
                <w:szCs w:val="16"/>
              </w:rPr>
            </w:pPr>
          </w:p>
        </w:tc>
        <w:tc>
          <w:tcPr>
            <w:tcW w:w="4648" w:type="dxa"/>
            <w:vAlign w:val="center"/>
          </w:tcPr>
          <w:p w14:paraId="107C1D0A" w14:textId="605AB836" w:rsidR="00AC237C" w:rsidRPr="003478AF" w:rsidRDefault="00AC237C" w:rsidP="00E136AA">
            <w:pPr>
              <w:ind w:firstLine="18"/>
              <w:jc w:val="left"/>
              <w:rPr>
                <w:rFonts w:cs="Arial"/>
                <w:sz w:val="16"/>
                <w:szCs w:val="16"/>
              </w:rPr>
            </w:pPr>
            <w:r w:rsidRPr="003478AF">
              <w:rPr>
                <w:rFonts w:cs="Arial"/>
                <w:sz w:val="16"/>
                <w:szCs w:val="16"/>
              </w:rPr>
              <w:t>poziom substancji zanieczyszczających powietrza wg oceny rocznej - kryteriów dla ochrony roślin</w:t>
            </w:r>
          </w:p>
        </w:tc>
        <w:tc>
          <w:tcPr>
            <w:tcW w:w="0" w:type="auto"/>
            <w:vAlign w:val="center"/>
          </w:tcPr>
          <w:p w14:paraId="0472B824" w14:textId="77777777" w:rsidR="00AC237C" w:rsidRPr="003478AF" w:rsidRDefault="00AC237C" w:rsidP="00E136AA">
            <w:pPr>
              <w:ind w:firstLine="18"/>
              <w:jc w:val="center"/>
              <w:rPr>
                <w:rFonts w:cs="Arial"/>
                <w:sz w:val="16"/>
                <w:szCs w:val="16"/>
              </w:rPr>
            </w:pPr>
          </w:p>
        </w:tc>
      </w:tr>
      <w:tr w:rsidR="00AC237C" w:rsidRPr="003478AF" w14:paraId="3794D0E3" w14:textId="77777777" w:rsidTr="00E136AA">
        <w:tc>
          <w:tcPr>
            <w:tcW w:w="1980" w:type="dxa"/>
            <w:vMerge/>
            <w:vAlign w:val="center"/>
          </w:tcPr>
          <w:p w14:paraId="191AFEA8" w14:textId="77777777" w:rsidR="00AC237C" w:rsidRPr="003478AF" w:rsidRDefault="00AC237C" w:rsidP="00E136AA">
            <w:pPr>
              <w:ind w:firstLine="18"/>
              <w:jc w:val="left"/>
              <w:rPr>
                <w:rFonts w:cs="Arial"/>
                <w:sz w:val="16"/>
                <w:szCs w:val="16"/>
              </w:rPr>
            </w:pPr>
          </w:p>
        </w:tc>
        <w:tc>
          <w:tcPr>
            <w:tcW w:w="4648" w:type="dxa"/>
            <w:vAlign w:val="center"/>
          </w:tcPr>
          <w:p w14:paraId="3BA82D67" w14:textId="77777777" w:rsidR="00AC237C" w:rsidRPr="003478AF" w:rsidRDefault="00AC237C" w:rsidP="00E136AA">
            <w:pPr>
              <w:ind w:firstLine="18"/>
              <w:jc w:val="left"/>
              <w:rPr>
                <w:rFonts w:cs="Arial"/>
                <w:sz w:val="16"/>
                <w:szCs w:val="16"/>
              </w:rPr>
            </w:pPr>
            <w:r w:rsidRPr="003478AF">
              <w:rPr>
                <w:rFonts w:cs="Arial"/>
                <w:sz w:val="16"/>
                <w:szCs w:val="16"/>
              </w:rPr>
              <w:t>emisja substancji z zakładów szczególnie uciążliwych</w:t>
            </w:r>
          </w:p>
        </w:tc>
        <w:tc>
          <w:tcPr>
            <w:tcW w:w="0" w:type="auto"/>
            <w:vAlign w:val="center"/>
          </w:tcPr>
          <w:p w14:paraId="3DE28F00" w14:textId="7BA134F9" w:rsidR="00AC237C" w:rsidRPr="003478AF" w:rsidRDefault="00684833" w:rsidP="00E136AA">
            <w:pPr>
              <w:ind w:firstLine="18"/>
              <w:jc w:val="center"/>
              <w:rPr>
                <w:rFonts w:cs="Arial"/>
                <w:sz w:val="16"/>
                <w:szCs w:val="16"/>
              </w:rPr>
            </w:pPr>
            <w:r w:rsidRPr="003478AF">
              <w:rPr>
                <w:rFonts w:eastAsia="Times New Roman" w:cs="Arial"/>
                <w:sz w:val="16"/>
                <w:szCs w:val="16"/>
                <w:lang w:eastAsia="pl-PL"/>
              </w:rPr>
              <w:t>t (tona)</w:t>
            </w:r>
          </w:p>
        </w:tc>
      </w:tr>
      <w:tr w:rsidR="00AC237C" w:rsidRPr="003478AF" w14:paraId="73877926" w14:textId="77777777" w:rsidTr="00E136AA">
        <w:tc>
          <w:tcPr>
            <w:tcW w:w="1980" w:type="dxa"/>
            <w:vMerge/>
            <w:vAlign w:val="center"/>
          </w:tcPr>
          <w:p w14:paraId="631E5ECB" w14:textId="77777777" w:rsidR="00AC237C" w:rsidRPr="003478AF" w:rsidRDefault="00AC237C" w:rsidP="00E136AA">
            <w:pPr>
              <w:ind w:firstLine="18"/>
              <w:jc w:val="left"/>
              <w:rPr>
                <w:rFonts w:cs="Arial"/>
                <w:sz w:val="16"/>
                <w:szCs w:val="16"/>
              </w:rPr>
            </w:pPr>
          </w:p>
        </w:tc>
        <w:tc>
          <w:tcPr>
            <w:tcW w:w="4648" w:type="dxa"/>
            <w:vAlign w:val="center"/>
          </w:tcPr>
          <w:p w14:paraId="1F2772C8" w14:textId="77777777" w:rsidR="00AC237C" w:rsidRPr="003478AF" w:rsidRDefault="00AC237C" w:rsidP="00E136AA">
            <w:pPr>
              <w:ind w:firstLine="18"/>
              <w:jc w:val="left"/>
              <w:rPr>
                <w:rFonts w:cs="Arial"/>
                <w:sz w:val="16"/>
                <w:szCs w:val="16"/>
              </w:rPr>
            </w:pPr>
            <w:r w:rsidRPr="003478AF">
              <w:rPr>
                <w:rFonts w:cs="Arial"/>
                <w:sz w:val="16"/>
                <w:szCs w:val="16"/>
              </w:rPr>
              <w:t>odbiorcy energii elektrycznej</w:t>
            </w:r>
          </w:p>
        </w:tc>
        <w:tc>
          <w:tcPr>
            <w:tcW w:w="0" w:type="auto"/>
            <w:vAlign w:val="center"/>
          </w:tcPr>
          <w:p w14:paraId="476B1EC0" w14:textId="77777777" w:rsidR="00AC237C" w:rsidRPr="003478AF" w:rsidRDefault="00AC237C" w:rsidP="00E136AA">
            <w:pPr>
              <w:ind w:firstLine="18"/>
              <w:jc w:val="center"/>
              <w:rPr>
                <w:rFonts w:cs="Arial"/>
                <w:sz w:val="16"/>
                <w:szCs w:val="16"/>
              </w:rPr>
            </w:pPr>
          </w:p>
        </w:tc>
      </w:tr>
      <w:tr w:rsidR="00AC237C" w:rsidRPr="003478AF" w14:paraId="52CC78B9" w14:textId="77777777" w:rsidTr="00E136AA">
        <w:tc>
          <w:tcPr>
            <w:tcW w:w="1980" w:type="dxa"/>
            <w:vMerge/>
            <w:vAlign w:val="center"/>
          </w:tcPr>
          <w:p w14:paraId="2F3F98FF" w14:textId="77777777" w:rsidR="00AC237C" w:rsidRPr="003478AF" w:rsidRDefault="00AC237C" w:rsidP="00E136AA">
            <w:pPr>
              <w:ind w:firstLine="18"/>
              <w:jc w:val="left"/>
              <w:rPr>
                <w:rFonts w:cs="Arial"/>
                <w:sz w:val="16"/>
                <w:szCs w:val="16"/>
              </w:rPr>
            </w:pPr>
          </w:p>
        </w:tc>
        <w:tc>
          <w:tcPr>
            <w:tcW w:w="4648" w:type="dxa"/>
            <w:vAlign w:val="center"/>
          </w:tcPr>
          <w:p w14:paraId="35DD4195" w14:textId="77777777" w:rsidR="00AC237C" w:rsidRPr="003478AF" w:rsidRDefault="00AC237C" w:rsidP="00E136AA">
            <w:pPr>
              <w:ind w:firstLine="18"/>
              <w:jc w:val="left"/>
              <w:rPr>
                <w:rFonts w:cs="Arial"/>
                <w:sz w:val="16"/>
                <w:szCs w:val="16"/>
              </w:rPr>
            </w:pPr>
            <w:r w:rsidRPr="003478AF">
              <w:rPr>
                <w:rFonts w:cs="Arial"/>
                <w:sz w:val="16"/>
                <w:szCs w:val="16"/>
              </w:rPr>
              <w:t>zużycie energii elektrycznej na 1 odbiorcę w kWh</w:t>
            </w:r>
          </w:p>
        </w:tc>
        <w:tc>
          <w:tcPr>
            <w:tcW w:w="0" w:type="auto"/>
            <w:vAlign w:val="center"/>
          </w:tcPr>
          <w:p w14:paraId="0429CDE5" w14:textId="77777777" w:rsidR="00AC237C" w:rsidRPr="003478AF" w:rsidRDefault="00AC237C" w:rsidP="00E136AA">
            <w:pPr>
              <w:ind w:firstLine="18"/>
              <w:jc w:val="center"/>
              <w:rPr>
                <w:rFonts w:cs="Arial"/>
                <w:sz w:val="16"/>
                <w:szCs w:val="16"/>
              </w:rPr>
            </w:pPr>
            <w:r w:rsidRPr="003478AF">
              <w:rPr>
                <w:rFonts w:cs="Arial"/>
                <w:sz w:val="16"/>
                <w:szCs w:val="16"/>
              </w:rPr>
              <w:t>kWh/1 osoba</w:t>
            </w:r>
          </w:p>
        </w:tc>
      </w:tr>
      <w:tr w:rsidR="00AC237C" w:rsidRPr="003478AF" w14:paraId="5D3F2E19" w14:textId="77777777" w:rsidTr="00E136AA">
        <w:tc>
          <w:tcPr>
            <w:tcW w:w="1980" w:type="dxa"/>
            <w:vMerge/>
            <w:vAlign w:val="center"/>
          </w:tcPr>
          <w:p w14:paraId="09402355" w14:textId="77777777" w:rsidR="00AC237C" w:rsidRPr="003478AF" w:rsidRDefault="00AC237C" w:rsidP="00E136AA">
            <w:pPr>
              <w:ind w:firstLine="18"/>
              <w:jc w:val="left"/>
              <w:rPr>
                <w:rFonts w:cs="Arial"/>
                <w:sz w:val="16"/>
                <w:szCs w:val="16"/>
              </w:rPr>
            </w:pPr>
          </w:p>
        </w:tc>
        <w:tc>
          <w:tcPr>
            <w:tcW w:w="4648" w:type="dxa"/>
            <w:vAlign w:val="center"/>
          </w:tcPr>
          <w:p w14:paraId="7C982A59" w14:textId="77777777" w:rsidR="00AC237C" w:rsidRPr="003478AF" w:rsidRDefault="00AC237C" w:rsidP="00E136AA">
            <w:pPr>
              <w:ind w:firstLine="18"/>
              <w:jc w:val="left"/>
              <w:rPr>
                <w:rFonts w:cs="Arial"/>
                <w:sz w:val="16"/>
                <w:szCs w:val="16"/>
              </w:rPr>
            </w:pPr>
            <w:r w:rsidRPr="003478AF">
              <w:rPr>
                <w:rFonts w:cs="Arial"/>
                <w:sz w:val="16"/>
                <w:szCs w:val="16"/>
              </w:rPr>
              <w:t>przyłącza sieci gazowej</w:t>
            </w:r>
          </w:p>
        </w:tc>
        <w:tc>
          <w:tcPr>
            <w:tcW w:w="0" w:type="auto"/>
            <w:vAlign w:val="center"/>
          </w:tcPr>
          <w:p w14:paraId="749D9A8E" w14:textId="77777777" w:rsidR="00AC237C" w:rsidRPr="003478AF" w:rsidRDefault="00AC237C" w:rsidP="00E136AA">
            <w:pPr>
              <w:ind w:firstLine="18"/>
              <w:jc w:val="center"/>
              <w:rPr>
                <w:rFonts w:cs="Arial"/>
                <w:sz w:val="16"/>
                <w:szCs w:val="16"/>
              </w:rPr>
            </w:pPr>
          </w:p>
        </w:tc>
      </w:tr>
      <w:tr w:rsidR="00AC237C" w:rsidRPr="003478AF" w14:paraId="38BBD541" w14:textId="77777777" w:rsidTr="00E136AA">
        <w:tc>
          <w:tcPr>
            <w:tcW w:w="1980" w:type="dxa"/>
            <w:vMerge/>
            <w:vAlign w:val="center"/>
          </w:tcPr>
          <w:p w14:paraId="5BD8604E" w14:textId="77777777" w:rsidR="00AC237C" w:rsidRPr="003478AF" w:rsidRDefault="00AC237C" w:rsidP="00E136AA">
            <w:pPr>
              <w:ind w:firstLine="18"/>
              <w:jc w:val="left"/>
              <w:rPr>
                <w:rFonts w:cs="Arial"/>
                <w:sz w:val="16"/>
                <w:szCs w:val="16"/>
              </w:rPr>
            </w:pPr>
          </w:p>
        </w:tc>
        <w:tc>
          <w:tcPr>
            <w:tcW w:w="4648" w:type="dxa"/>
            <w:vAlign w:val="center"/>
          </w:tcPr>
          <w:p w14:paraId="16F36768" w14:textId="77777777" w:rsidR="00AC237C" w:rsidRPr="003478AF" w:rsidRDefault="00AC237C" w:rsidP="00E136AA">
            <w:pPr>
              <w:ind w:firstLine="18"/>
              <w:jc w:val="left"/>
              <w:rPr>
                <w:rFonts w:cs="Arial"/>
                <w:sz w:val="16"/>
                <w:szCs w:val="16"/>
              </w:rPr>
            </w:pPr>
            <w:r w:rsidRPr="003478AF">
              <w:rPr>
                <w:rFonts w:cs="Arial"/>
                <w:sz w:val="16"/>
                <w:szCs w:val="16"/>
              </w:rPr>
              <w:t>odsetek ludności korzystającej z gazu</w:t>
            </w:r>
          </w:p>
        </w:tc>
        <w:tc>
          <w:tcPr>
            <w:tcW w:w="0" w:type="auto"/>
            <w:vAlign w:val="center"/>
          </w:tcPr>
          <w:p w14:paraId="12D2B6CF" w14:textId="77777777" w:rsidR="00AC237C" w:rsidRPr="003478AF" w:rsidRDefault="00AC237C" w:rsidP="00E136AA">
            <w:pPr>
              <w:ind w:firstLine="18"/>
              <w:jc w:val="center"/>
              <w:rPr>
                <w:rFonts w:cs="Arial"/>
                <w:sz w:val="16"/>
                <w:szCs w:val="16"/>
              </w:rPr>
            </w:pPr>
            <w:r w:rsidRPr="003478AF">
              <w:rPr>
                <w:rFonts w:cs="Arial"/>
                <w:sz w:val="16"/>
                <w:szCs w:val="16"/>
              </w:rPr>
              <w:t>%</w:t>
            </w:r>
          </w:p>
        </w:tc>
      </w:tr>
      <w:tr w:rsidR="00AC237C" w:rsidRPr="003478AF" w14:paraId="6B3E30FF" w14:textId="77777777" w:rsidTr="00E136AA">
        <w:tc>
          <w:tcPr>
            <w:tcW w:w="1980" w:type="dxa"/>
            <w:vMerge/>
            <w:vAlign w:val="center"/>
          </w:tcPr>
          <w:p w14:paraId="18F0DEFB" w14:textId="77777777" w:rsidR="00AC237C" w:rsidRPr="003478AF" w:rsidRDefault="00AC237C" w:rsidP="00E136AA">
            <w:pPr>
              <w:ind w:firstLine="18"/>
              <w:jc w:val="left"/>
              <w:rPr>
                <w:rFonts w:cs="Arial"/>
                <w:sz w:val="16"/>
                <w:szCs w:val="16"/>
              </w:rPr>
            </w:pPr>
          </w:p>
        </w:tc>
        <w:tc>
          <w:tcPr>
            <w:tcW w:w="4648" w:type="dxa"/>
            <w:vAlign w:val="center"/>
          </w:tcPr>
          <w:p w14:paraId="6BA6F7C8" w14:textId="77777777" w:rsidR="00AC237C" w:rsidRPr="003478AF" w:rsidRDefault="00AC237C" w:rsidP="00E136AA">
            <w:pPr>
              <w:ind w:firstLine="18"/>
              <w:jc w:val="left"/>
              <w:rPr>
                <w:rFonts w:cs="Arial"/>
                <w:sz w:val="16"/>
                <w:szCs w:val="16"/>
              </w:rPr>
            </w:pPr>
            <w:r w:rsidRPr="003478AF">
              <w:rPr>
                <w:rFonts w:cs="Arial"/>
                <w:sz w:val="16"/>
                <w:szCs w:val="16"/>
              </w:rPr>
              <w:t>długość sieci cieplnej</w:t>
            </w:r>
          </w:p>
        </w:tc>
        <w:tc>
          <w:tcPr>
            <w:tcW w:w="0" w:type="auto"/>
            <w:vAlign w:val="center"/>
          </w:tcPr>
          <w:p w14:paraId="7F7CA11F" w14:textId="77777777" w:rsidR="00AC237C" w:rsidRPr="003478AF" w:rsidRDefault="00AC237C" w:rsidP="00E136AA">
            <w:pPr>
              <w:ind w:firstLine="18"/>
              <w:jc w:val="center"/>
              <w:rPr>
                <w:rFonts w:cs="Arial"/>
                <w:sz w:val="16"/>
                <w:szCs w:val="16"/>
              </w:rPr>
            </w:pPr>
            <w:r w:rsidRPr="003478AF">
              <w:rPr>
                <w:rFonts w:cs="Arial"/>
                <w:sz w:val="16"/>
                <w:szCs w:val="16"/>
              </w:rPr>
              <w:t>km</w:t>
            </w:r>
          </w:p>
        </w:tc>
      </w:tr>
      <w:tr w:rsidR="00AC237C" w:rsidRPr="003478AF" w14:paraId="57C24287" w14:textId="77777777" w:rsidTr="00E136AA">
        <w:tc>
          <w:tcPr>
            <w:tcW w:w="1980" w:type="dxa"/>
            <w:vMerge/>
            <w:vAlign w:val="center"/>
          </w:tcPr>
          <w:p w14:paraId="4BEAA7E3" w14:textId="77777777" w:rsidR="00AC237C" w:rsidRPr="003478AF" w:rsidRDefault="00AC237C" w:rsidP="00E136AA">
            <w:pPr>
              <w:ind w:firstLine="18"/>
              <w:jc w:val="left"/>
              <w:rPr>
                <w:rFonts w:cs="Arial"/>
                <w:sz w:val="16"/>
                <w:szCs w:val="16"/>
              </w:rPr>
            </w:pPr>
          </w:p>
        </w:tc>
        <w:tc>
          <w:tcPr>
            <w:tcW w:w="4648" w:type="dxa"/>
            <w:vAlign w:val="center"/>
          </w:tcPr>
          <w:p w14:paraId="0437960C" w14:textId="69EF12B9" w:rsidR="00AC237C" w:rsidRPr="003478AF" w:rsidRDefault="00AC237C" w:rsidP="00E136AA">
            <w:pPr>
              <w:ind w:firstLine="18"/>
              <w:jc w:val="left"/>
              <w:rPr>
                <w:rFonts w:cs="Arial"/>
                <w:sz w:val="16"/>
                <w:szCs w:val="16"/>
              </w:rPr>
            </w:pPr>
            <w:r w:rsidRPr="003478AF">
              <w:rPr>
                <w:rFonts w:cs="Arial"/>
                <w:sz w:val="16"/>
                <w:szCs w:val="16"/>
              </w:rPr>
              <w:t>liczba instalacji OZE</w:t>
            </w:r>
            <w:r w:rsidR="00CB7DB0" w:rsidRPr="003478AF">
              <w:rPr>
                <w:rFonts w:cs="Arial"/>
                <w:sz w:val="16"/>
                <w:szCs w:val="16"/>
              </w:rPr>
              <w:t xml:space="preserve"> </w:t>
            </w:r>
          </w:p>
        </w:tc>
        <w:tc>
          <w:tcPr>
            <w:tcW w:w="0" w:type="auto"/>
            <w:vAlign w:val="center"/>
          </w:tcPr>
          <w:p w14:paraId="6383F105" w14:textId="77777777" w:rsidR="00AC237C" w:rsidRPr="003478AF" w:rsidRDefault="00AC237C" w:rsidP="00E136AA">
            <w:pPr>
              <w:ind w:firstLine="18"/>
              <w:jc w:val="center"/>
              <w:rPr>
                <w:rFonts w:cs="Arial"/>
                <w:sz w:val="16"/>
                <w:szCs w:val="16"/>
              </w:rPr>
            </w:pPr>
          </w:p>
        </w:tc>
      </w:tr>
      <w:tr w:rsidR="00AC237C" w:rsidRPr="003478AF" w14:paraId="6E1C6B1E" w14:textId="77777777" w:rsidTr="00E136AA">
        <w:tc>
          <w:tcPr>
            <w:tcW w:w="1980" w:type="dxa"/>
            <w:vMerge w:val="restart"/>
            <w:vAlign w:val="center"/>
          </w:tcPr>
          <w:p w14:paraId="527F1C98" w14:textId="71D6B582" w:rsidR="00AC237C" w:rsidRPr="003478AF" w:rsidRDefault="00A274D6" w:rsidP="00E136AA">
            <w:pPr>
              <w:ind w:firstLine="18"/>
              <w:jc w:val="left"/>
              <w:rPr>
                <w:rFonts w:cs="Arial"/>
                <w:sz w:val="16"/>
                <w:szCs w:val="16"/>
              </w:rPr>
            </w:pPr>
            <w:r w:rsidRPr="003478AF">
              <w:rPr>
                <w:rFonts w:cs="Arial"/>
                <w:sz w:val="16"/>
                <w:szCs w:val="16"/>
              </w:rPr>
              <w:t>Zagrożenie hałasem</w:t>
            </w:r>
          </w:p>
        </w:tc>
        <w:tc>
          <w:tcPr>
            <w:tcW w:w="4648" w:type="dxa"/>
            <w:vAlign w:val="center"/>
          </w:tcPr>
          <w:p w14:paraId="7178CE1B" w14:textId="1C0CEAF8" w:rsidR="00AC237C" w:rsidRPr="003478AF" w:rsidRDefault="00AC237C" w:rsidP="00E136AA">
            <w:pPr>
              <w:ind w:firstLine="18"/>
              <w:jc w:val="left"/>
              <w:rPr>
                <w:rFonts w:cs="Arial"/>
                <w:sz w:val="16"/>
                <w:szCs w:val="16"/>
              </w:rPr>
            </w:pPr>
            <w:r w:rsidRPr="003478AF">
              <w:rPr>
                <w:rFonts w:cs="Arial"/>
                <w:sz w:val="16"/>
                <w:szCs w:val="16"/>
              </w:rPr>
              <w:t>przypadki przekroczeń krótkookresowych wskaźników poziomu dźwięku L AeqD i L eqN</w:t>
            </w:r>
            <w:r w:rsidR="00CB7DB0" w:rsidRPr="003478AF">
              <w:rPr>
                <w:rFonts w:cs="Arial"/>
                <w:sz w:val="16"/>
                <w:szCs w:val="16"/>
              </w:rPr>
              <w:t xml:space="preserve"> </w:t>
            </w:r>
          </w:p>
        </w:tc>
        <w:tc>
          <w:tcPr>
            <w:tcW w:w="0" w:type="auto"/>
            <w:vAlign w:val="center"/>
          </w:tcPr>
          <w:p w14:paraId="4287C850" w14:textId="77777777" w:rsidR="00AC237C" w:rsidRPr="003478AF" w:rsidRDefault="00AC237C" w:rsidP="00E136AA">
            <w:pPr>
              <w:ind w:firstLine="18"/>
              <w:jc w:val="center"/>
              <w:rPr>
                <w:rFonts w:cs="Arial"/>
                <w:sz w:val="16"/>
                <w:szCs w:val="16"/>
              </w:rPr>
            </w:pPr>
          </w:p>
        </w:tc>
      </w:tr>
      <w:tr w:rsidR="00AC237C" w:rsidRPr="003478AF" w14:paraId="7BB594A7" w14:textId="77777777" w:rsidTr="00E136AA">
        <w:tc>
          <w:tcPr>
            <w:tcW w:w="1980" w:type="dxa"/>
            <w:vMerge/>
            <w:vAlign w:val="center"/>
          </w:tcPr>
          <w:p w14:paraId="534657BB" w14:textId="77777777" w:rsidR="00AC237C" w:rsidRPr="003478AF" w:rsidRDefault="00AC237C" w:rsidP="00E136AA">
            <w:pPr>
              <w:ind w:firstLine="18"/>
              <w:jc w:val="left"/>
              <w:rPr>
                <w:rFonts w:cs="Arial"/>
                <w:sz w:val="16"/>
                <w:szCs w:val="16"/>
              </w:rPr>
            </w:pPr>
          </w:p>
        </w:tc>
        <w:tc>
          <w:tcPr>
            <w:tcW w:w="4648" w:type="dxa"/>
            <w:vAlign w:val="center"/>
          </w:tcPr>
          <w:p w14:paraId="4CA08842" w14:textId="0BD928D7" w:rsidR="00AC237C" w:rsidRPr="003478AF" w:rsidRDefault="00AC237C" w:rsidP="00E136AA">
            <w:pPr>
              <w:ind w:firstLine="18"/>
              <w:jc w:val="left"/>
              <w:rPr>
                <w:rFonts w:cs="Arial"/>
                <w:sz w:val="16"/>
                <w:szCs w:val="16"/>
              </w:rPr>
            </w:pPr>
            <w:r w:rsidRPr="003478AF">
              <w:rPr>
                <w:rFonts w:cs="Arial"/>
                <w:sz w:val="16"/>
                <w:szCs w:val="16"/>
              </w:rPr>
              <w:t>przypadki przekroczeń długookresowych wskaźników poziomu dźwięku L DWN i L N</w:t>
            </w:r>
            <w:r w:rsidR="00CB7DB0" w:rsidRPr="003478AF">
              <w:rPr>
                <w:rFonts w:cs="Arial"/>
                <w:sz w:val="16"/>
                <w:szCs w:val="16"/>
              </w:rPr>
              <w:t xml:space="preserve"> </w:t>
            </w:r>
          </w:p>
        </w:tc>
        <w:tc>
          <w:tcPr>
            <w:tcW w:w="0" w:type="auto"/>
            <w:vAlign w:val="center"/>
          </w:tcPr>
          <w:p w14:paraId="45983853" w14:textId="77777777" w:rsidR="00AC237C" w:rsidRPr="003478AF" w:rsidRDefault="00AC237C" w:rsidP="00E136AA">
            <w:pPr>
              <w:ind w:firstLine="18"/>
              <w:jc w:val="center"/>
              <w:rPr>
                <w:rFonts w:cs="Arial"/>
                <w:sz w:val="16"/>
                <w:szCs w:val="16"/>
              </w:rPr>
            </w:pPr>
          </w:p>
        </w:tc>
      </w:tr>
      <w:tr w:rsidR="00AC237C" w:rsidRPr="003478AF" w14:paraId="612EA1D5" w14:textId="77777777" w:rsidTr="00E136AA">
        <w:tc>
          <w:tcPr>
            <w:tcW w:w="1980" w:type="dxa"/>
            <w:vAlign w:val="center"/>
          </w:tcPr>
          <w:p w14:paraId="3595A2C4" w14:textId="56518808" w:rsidR="00AC237C" w:rsidRPr="003478AF" w:rsidRDefault="00A274D6" w:rsidP="00E136AA">
            <w:pPr>
              <w:ind w:firstLine="18"/>
              <w:jc w:val="left"/>
              <w:rPr>
                <w:rFonts w:cs="Arial"/>
                <w:sz w:val="16"/>
                <w:szCs w:val="16"/>
              </w:rPr>
            </w:pPr>
            <w:r w:rsidRPr="003478AF">
              <w:rPr>
                <w:rFonts w:cs="Arial"/>
                <w:sz w:val="16"/>
                <w:szCs w:val="16"/>
              </w:rPr>
              <w:t xml:space="preserve">Pola </w:t>
            </w:r>
            <w:r w:rsidR="00155D24" w:rsidRPr="003478AF">
              <w:rPr>
                <w:rFonts w:cs="Arial"/>
                <w:sz w:val="16"/>
                <w:szCs w:val="16"/>
              </w:rPr>
              <w:t>e</w:t>
            </w:r>
            <w:r w:rsidRPr="003478AF">
              <w:rPr>
                <w:rFonts w:cs="Arial"/>
                <w:sz w:val="16"/>
                <w:szCs w:val="16"/>
              </w:rPr>
              <w:t>lektromagnetyczne</w:t>
            </w:r>
          </w:p>
        </w:tc>
        <w:tc>
          <w:tcPr>
            <w:tcW w:w="4648" w:type="dxa"/>
            <w:vAlign w:val="center"/>
          </w:tcPr>
          <w:p w14:paraId="0B0E1846" w14:textId="58B22087" w:rsidR="00AC237C" w:rsidRPr="003478AF" w:rsidRDefault="00AC237C" w:rsidP="00E136AA">
            <w:pPr>
              <w:ind w:firstLine="18"/>
              <w:jc w:val="left"/>
              <w:rPr>
                <w:rFonts w:cs="Arial"/>
                <w:sz w:val="16"/>
                <w:szCs w:val="16"/>
              </w:rPr>
            </w:pPr>
            <w:r w:rsidRPr="003478AF">
              <w:rPr>
                <w:rFonts w:cs="Arial"/>
                <w:sz w:val="16"/>
                <w:szCs w:val="16"/>
              </w:rPr>
              <w:t>przypadki przekroczeń wartości dopuszczalnych poziomów pól elektromagnetycznych</w:t>
            </w:r>
          </w:p>
        </w:tc>
        <w:tc>
          <w:tcPr>
            <w:tcW w:w="0" w:type="auto"/>
            <w:vAlign w:val="center"/>
          </w:tcPr>
          <w:p w14:paraId="36C5E6A9" w14:textId="77777777" w:rsidR="00AC237C" w:rsidRPr="003478AF" w:rsidRDefault="00AC237C" w:rsidP="00E136AA">
            <w:pPr>
              <w:ind w:firstLine="18"/>
              <w:jc w:val="center"/>
              <w:rPr>
                <w:rFonts w:cs="Arial"/>
                <w:sz w:val="16"/>
                <w:szCs w:val="16"/>
              </w:rPr>
            </w:pPr>
          </w:p>
        </w:tc>
      </w:tr>
      <w:tr w:rsidR="00AC237C" w:rsidRPr="003478AF" w14:paraId="1989D8E6" w14:textId="77777777" w:rsidTr="00E136AA">
        <w:tc>
          <w:tcPr>
            <w:tcW w:w="1980" w:type="dxa"/>
            <w:vMerge w:val="restart"/>
            <w:vAlign w:val="center"/>
          </w:tcPr>
          <w:p w14:paraId="7A46A20C" w14:textId="3E6D08A7" w:rsidR="00AC237C" w:rsidRPr="003478AF" w:rsidRDefault="00A274D6" w:rsidP="00E136AA">
            <w:pPr>
              <w:ind w:firstLine="18"/>
              <w:jc w:val="left"/>
              <w:rPr>
                <w:rFonts w:cs="Arial"/>
                <w:sz w:val="16"/>
                <w:szCs w:val="16"/>
              </w:rPr>
            </w:pPr>
            <w:r w:rsidRPr="003478AF">
              <w:rPr>
                <w:rFonts w:cs="Arial"/>
                <w:sz w:val="16"/>
                <w:szCs w:val="16"/>
              </w:rPr>
              <w:t xml:space="preserve">Gospodarowanie </w:t>
            </w:r>
            <w:r w:rsidR="00155D24" w:rsidRPr="003478AF">
              <w:rPr>
                <w:rFonts w:cs="Arial"/>
                <w:sz w:val="16"/>
                <w:szCs w:val="16"/>
              </w:rPr>
              <w:t>w</w:t>
            </w:r>
            <w:r w:rsidRPr="003478AF">
              <w:rPr>
                <w:rFonts w:cs="Arial"/>
                <w:sz w:val="16"/>
                <w:szCs w:val="16"/>
              </w:rPr>
              <w:t>odami</w:t>
            </w:r>
          </w:p>
        </w:tc>
        <w:tc>
          <w:tcPr>
            <w:tcW w:w="4648" w:type="dxa"/>
            <w:vAlign w:val="center"/>
          </w:tcPr>
          <w:p w14:paraId="467FA224" w14:textId="3F6BE5F0" w:rsidR="00AC237C" w:rsidRPr="003478AF" w:rsidRDefault="00AC237C" w:rsidP="00E136AA">
            <w:pPr>
              <w:ind w:firstLine="18"/>
              <w:jc w:val="left"/>
              <w:rPr>
                <w:rFonts w:cs="Arial"/>
                <w:sz w:val="16"/>
                <w:szCs w:val="16"/>
              </w:rPr>
            </w:pPr>
            <w:r w:rsidRPr="003478AF">
              <w:rPr>
                <w:rFonts w:cs="Arial"/>
                <w:sz w:val="16"/>
                <w:szCs w:val="16"/>
              </w:rPr>
              <w:t>liczba (odsetek) JCWP rzecznych o stanie/potencjale ekologicznym co najmniej dobrym</w:t>
            </w:r>
          </w:p>
        </w:tc>
        <w:tc>
          <w:tcPr>
            <w:tcW w:w="0" w:type="auto"/>
            <w:vAlign w:val="center"/>
          </w:tcPr>
          <w:p w14:paraId="297C1DA4" w14:textId="77777777" w:rsidR="00AC237C" w:rsidRPr="003478AF" w:rsidRDefault="00AC237C" w:rsidP="00E136AA">
            <w:pPr>
              <w:ind w:firstLine="18"/>
              <w:jc w:val="center"/>
              <w:rPr>
                <w:rFonts w:cs="Arial"/>
                <w:sz w:val="16"/>
                <w:szCs w:val="16"/>
              </w:rPr>
            </w:pPr>
            <w:r w:rsidRPr="003478AF">
              <w:rPr>
                <w:rFonts w:cs="Arial"/>
                <w:sz w:val="16"/>
                <w:szCs w:val="16"/>
              </w:rPr>
              <w:t>%</w:t>
            </w:r>
          </w:p>
        </w:tc>
      </w:tr>
      <w:tr w:rsidR="00AC237C" w:rsidRPr="003478AF" w14:paraId="537011D1" w14:textId="77777777" w:rsidTr="00E136AA">
        <w:tc>
          <w:tcPr>
            <w:tcW w:w="1980" w:type="dxa"/>
            <w:vMerge/>
            <w:vAlign w:val="center"/>
          </w:tcPr>
          <w:p w14:paraId="5852AB7F" w14:textId="77777777" w:rsidR="00AC237C" w:rsidRPr="003478AF" w:rsidRDefault="00AC237C" w:rsidP="00E136AA">
            <w:pPr>
              <w:ind w:firstLine="18"/>
              <w:jc w:val="left"/>
              <w:rPr>
                <w:rFonts w:cs="Arial"/>
                <w:sz w:val="16"/>
                <w:szCs w:val="16"/>
              </w:rPr>
            </w:pPr>
          </w:p>
        </w:tc>
        <w:tc>
          <w:tcPr>
            <w:tcW w:w="4648" w:type="dxa"/>
            <w:vAlign w:val="center"/>
          </w:tcPr>
          <w:p w14:paraId="768A0CF6" w14:textId="77777777" w:rsidR="00AC237C" w:rsidRPr="003478AF" w:rsidRDefault="00AC237C" w:rsidP="00E136AA">
            <w:pPr>
              <w:ind w:firstLine="18"/>
              <w:jc w:val="left"/>
              <w:rPr>
                <w:rFonts w:cs="Arial"/>
                <w:sz w:val="16"/>
                <w:szCs w:val="16"/>
              </w:rPr>
            </w:pPr>
            <w:r w:rsidRPr="003478AF">
              <w:rPr>
                <w:rFonts w:cs="Arial"/>
                <w:sz w:val="16"/>
                <w:szCs w:val="16"/>
              </w:rPr>
              <w:t>liczba (odsetek) JCWP rzecznych o stanie chemicznym dobrym</w:t>
            </w:r>
          </w:p>
        </w:tc>
        <w:tc>
          <w:tcPr>
            <w:tcW w:w="0" w:type="auto"/>
            <w:vAlign w:val="center"/>
          </w:tcPr>
          <w:p w14:paraId="292033CD" w14:textId="77777777" w:rsidR="00AC237C" w:rsidRPr="003478AF" w:rsidRDefault="00AC237C" w:rsidP="00E136AA">
            <w:pPr>
              <w:ind w:firstLine="18"/>
              <w:jc w:val="center"/>
              <w:rPr>
                <w:rFonts w:cs="Arial"/>
                <w:sz w:val="16"/>
                <w:szCs w:val="16"/>
              </w:rPr>
            </w:pPr>
            <w:r w:rsidRPr="003478AF">
              <w:rPr>
                <w:rFonts w:cs="Arial"/>
                <w:sz w:val="16"/>
                <w:szCs w:val="16"/>
              </w:rPr>
              <w:t>%</w:t>
            </w:r>
          </w:p>
        </w:tc>
      </w:tr>
      <w:tr w:rsidR="00AC237C" w:rsidRPr="003478AF" w14:paraId="38CB719D" w14:textId="77777777" w:rsidTr="00E136AA">
        <w:tc>
          <w:tcPr>
            <w:tcW w:w="1980" w:type="dxa"/>
            <w:vMerge/>
            <w:vAlign w:val="center"/>
          </w:tcPr>
          <w:p w14:paraId="0D6870AC" w14:textId="77777777" w:rsidR="00AC237C" w:rsidRPr="003478AF" w:rsidRDefault="00AC237C" w:rsidP="00E136AA">
            <w:pPr>
              <w:ind w:firstLine="18"/>
              <w:jc w:val="left"/>
              <w:rPr>
                <w:rFonts w:cs="Arial"/>
                <w:sz w:val="16"/>
                <w:szCs w:val="16"/>
              </w:rPr>
            </w:pPr>
          </w:p>
        </w:tc>
        <w:tc>
          <w:tcPr>
            <w:tcW w:w="4648" w:type="dxa"/>
            <w:vAlign w:val="center"/>
          </w:tcPr>
          <w:p w14:paraId="1434081D" w14:textId="41CE0945" w:rsidR="00AC237C" w:rsidRPr="003478AF" w:rsidRDefault="00AC237C" w:rsidP="00E136AA">
            <w:pPr>
              <w:ind w:firstLine="18"/>
              <w:jc w:val="left"/>
              <w:rPr>
                <w:rFonts w:cs="Arial"/>
                <w:sz w:val="16"/>
                <w:szCs w:val="16"/>
              </w:rPr>
            </w:pPr>
            <w:r w:rsidRPr="003478AF">
              <w:rPr>
                <w:rFonts w:cs="Arial"/>
                <w:sz w:val="16"/>
                <w:szCs w:val="16"/>
              </w:rPr>
              <w:t>liczba (odsetek) JCWP jeziornych o stanie/potencjale ekologicznym co najmniej dobrym – badanych w danym roku</w:t>
            </w:r>
          </w:p>
        </w:tc>
        <w:tc>
          <w:tcPr>
            <w:tcW w:w="0" w:type="auto"/>
            <w:vAlign w:val="center"/>
          </w:tcPr>
          <w:p w14:paraId="2B28016D" w14:textId="77777777" w:rsidR="00AC237C" w:rsidRPr="003478AF" w:rsidRDefault="00AC237C" w:rsidP="00E136AA">
            <w:pPr>
              <w:ind w:firstLine="18"/>
              <w:jc w:val="center"/>
              <w:rPr>
                <w:rFonts w:cs="Arial"/>
                <w:sz w:val="16"/>
                <w:szCs w:val="16"/>
              </w:rPr>
            </w:pPr>
            <w:r w:rsidRPr="003478AF">
              <w:rPr>
                <w:rFonts w:cs="Arial"/>
                <w:sz w:val="16"/>
                <w:szCs w:val="16"/>
              </w:rPr>
              <w:t>%</w:t>
            </w:r>
          </w:p>
        </w:tc>
      </w:tr>
      <w:tr w:rsidR="00AC237C" w:rsidRPr="003478AF" w14:paraId="6518B7FB" w14:textId="77777777" w:rsidTr="00E136AA">
        <w:tc>
          <w:tcPr>
            <w:tcW w:w="1980" w:type="dxa"/>
            <w:vMerge/>
            <w:vAlign w:val="center"/>
          </w:tcPr>
          <w:p w14:paraId="6FD264A8" w14:textId="77777777" w:rsidR="00AC237C" w:rsidRPr="003478AF" w:rsidRDefault="00AC237C" w:rsidP="00E136AA">
            <w:pPr>
              <w:ind w:firstLine="18"/>
              <w:jc w:val="left"/>
              <w:rPr>
                <w:rFonts w:cs="Arial"/>
                <w:sz w:val="16"/>
                <w:szCs w:val="16"/>
              </w:rPr>
            </w:pPr>
          </w:p>
        </w:tc>
        <w:tc>
          <w:tcPr>
            <w:tcW w:w="4648" w:type="dxa"/>
            <w:vAlign w:val="center"/>
          </w:tcPr>
          <w:p w14:paraId="756C6BF3" w14:textId="77777777" w:rsidR="00AC237C" w:rsidRPr="003478AF" w:rsidRDefault="00AC237C" w:rsidP="00E136AA">
            <w:pPr>
              <w:ind w:firstLine="18"/>
              <w:jc w:val="left"/>
              <w:rPr>
                <w:rFonts w:cs="Arial"/>
                <w:sz w:val="16"/>
                <w:szCs w:val="16"/>
              </w:rPr>
            </w:pPr>
            <w:r w:rsidRPr="003478AF">
              <w:rPr>
                <w:rFonts w:cs="Arial"/>
                <w:sz w:val="16"/>
                <w:szCs w:val="16"/>
              </w:rPr>
              <w:t>liczba (odsetek) JCWP jeziornych o stanie chemicznym dobrym – badanych w danym roku</w:t>
            </w:r>
          </w:p>
        </w:tc>
        <w:tc>
          <w:tcPr>
            <w:tcW w:w="0" w:type="auto"/>
            <w:vAlign w:val="center"/>
          </w:tcPr>
          <w:p w14:paraId="5B765145" w14:textId="77777777" w:rsidR="00AC237C" w:rsidRPr="003478AF" w:rsidRDefault="00AC237C" w:rsidP="00E136AA">
            <w:pPr>
              <w:ind w:firstLine="18"/>
              <w:jc w:val="center"/>
              <w:rPr>
                <w:rFonts w:cs="Arial"/>
                <w:sz w:val="16"/>
                <w:szCs w:val="16"/>
              </w:rPr>
            </w:pPr>
            <w:r w:rsidRPr="003478AF">
              <w:rPr>
                <w:rFonts w:cs="Arial"/>
                <w:sz w:val="16"/>
                <w:szCs w:val="16"/>
              </w:rPr>
              <w:t>%</w:t>
            </w:r>
          </w:p>
        </w:tc>
      </w:tr>
      <w:tr w:rsidR="00AC237C" w:rsidRPr="003478AF" w14:paraId="049A63E8" w14:textId="77777777" w:rsidTr="00E136AA">
        <w:tc>
          <w:tcPr>
            <w:tcW w:w="1980" w:type="dxa"/>
            <w:vMerge/>
            <w:vAlign w:val="center"/>
          </w:tcPr>
          <w:p w14:paraId="0056F1F4" w14:textId="77777777" w:rsidR="00AC237C" w:rsidRPr="003478AF" w:rsidRDefault="00AC237C" w:rsidP="00E136AA">
            <w:pPr>
              <w:ind w:firstLine="18"/>
              <w:jc w:val="left"/>
              <w:rPr>
                <w:rFonts w:cs="Arial"/>
                <w:sz w:val="16"/>
                <w:szCs w:val="16"/>
              </w:rPr>
            </w:pPr>
          </w:p>
        </w:tc>
        <w:tc>
          <w:tcPr>
            <w:tcW w:w="4648" w:type="dxa"/>
            <w:vAlign w:val="center"/>
          </w:tcPr>
          <w:p w14:paraId="228CC1FC" w14:textId="77777777" w:rsidR="00AC237C" w:rsidRPr="003478AF" w:rsidRDefault="00AC237C" w:rsidP="00E136AA">
            <w:pPr>
              <w:ind w:firstLine="18"/>
              <w:jc w:val="left"/>
              <w:rPr>
                <w:rFonts w:cs="Arial"/>
                <w:sz w:val="16"/>
                <w:szCs w:val="16"/>
              </w:rPr>
            </w:pPr>
            <w:r w:rsidRPr="003478AF">
              <w:rPr>
                <w:rFonts w:cs="Arial"/>
                <w:sz w:val="16"/>
                <w:szCs w:val="16"/>
              </w:rPr>
              <w:t>długość wałów / obszar chroniony</w:t>
            </w:r>
          </w:p>
        </w:tc>
        <w:tc>
          <w:tcPr>
            <w:tcW w:w="0" w:type="auto"/>
            <w:vAlign w:val="center"/>
          </w:tcPr>
          <w:p w14:paraId="0CFA97B3" w14:textId="77777777" w:rsidR="00AC237C" w:rsidRPr="003478AF" w:rsidRDefault="00AC237C" w:rsidP="00E136AA">
            <w:pPr>
              <w:ind w:firstLine="18"/>
              <w:jc w:val="center"/>
              <w:rPr>
                <w:rFonts w:cs="Arial"/>
                <w:sz w:val="16"/>
                <w:szCs w:val="16"/>
              </w:rPr>
            </w:pPr>
            <w:r w:rsidRPr="003478AF">
              <w:rPr>
                <w:rFonts w:cs="Arial"/>
                <w:sz w:val="16"/>
                <w:szCs w:val="16"/>
              </w:rPr>
              <w:t>ha</w:t>
            </w:r>
          </w:p>
        </w:tc>
      </w:tr>
      <w:tr w:rsidR="00AC237C" w:rsidRPr="003478AF" w14:paraId="5C53BBD2" w14:textId="77777777" w:rsidTr="00E136AA">
        <w:tc>
          <w:tcPr>
            <w:tcW w:w="1980" w:type="dxa"/>
            <w:vMerge/>
            <w:vAlign w:val="center"/>
          </w:tcPr>
          <w:p w14:paraId="31F75F66" w14:textId="77777777" w:rsidR="00AC237C" w:rsidRPr="003478AF" w:rsidRDefault="00AC237C" w:rsidP="00E136AA">
            <w:pPr>
              <w:ind w:firstLine="18"/>
              <w:jc w:val="left"/>
              <w:rPr>
                <w:rFonts w:cs="Arial"/>
                <w:sz w:val="16"/>
                <w:szCs w:val="16"/>
              </w:rPr>
            </w:pPr>
          </w:p>
        </w:tc>
        <w:tc>
          <w:tcPr>
            <w:tcW w:w="4648" w:type="dxa"/>
            <w:vAlign w:val="center"/>
          </w:tcPr>
          <w:p w14:paraId="7A1394A8" w14:textId="77777777" w:rsidR="00AC237C" w:rsidRPr="003478AF" w:rsidRDefault="00AC237C" w:rsidP="00E136AA">
            <w:pPr>
              <w:ind w:firstLine="18"/>
              <w:jc w:val="left"/>
              <w:rPr>
                <w:rFonts w:cs="Arial"/>
                <w:sz w:val="16"/>
                <w:szCs w:val="16"/>
              </w:rPr>
            </w:pPr>
            <w:r w:rsidRPr="003478AF">
              <w:rPr>
                <w:rFonts w:cs="Arial"/>
                <w:sz w:val="16"/>
                <w:szCs w:val="16"/>
              </w:rPr>
              <w:t>pojemność użytkowa zbiorników wodnych</w:t>
            </w:r>
          </w:p>
        </w:tc>
        <w:tc>
          <w:tcPr>
            <w:tcW w:w="0" w:type="auto"/>
            <w:vAlign w:val="center"/>
          </w:tcPr>
          <w:p w14:paraId="5C3AF19B" w14:textId="77777777" w:rsidR="00AC237C" w:rsidRPr="003478AF" w:rsidRDefault="00AC237C" w:rsidP="00E136AA">
            <w:pPr>
              <w:ind w:firstLine="18"/>
              <w:jc w:val="center"/>
              <w:rPr>
                <w:rFonts w:cs="Arial"/>
                <w:sz w:val="16"/>
                <w:szCs w:val="16"/>
              </w:rPr>
            </w:pPr>
            <w:r w:rsidRPr="003478AF">
              <w:rPr>
                <w:rFonts w:cs="Arial"/>
                <w:sz w:val="16"/>
                <w:szCs w:val="16"/>
              </w:rPr>
              <w:t>dam</w:t>
            </w:r>
            <w:r w:rsidRPr="003478AF">
              <w:rPr>
                <w:rFonts w:cs="Arial"/>
                <w:sz w:val="16"/>
                <w:szCs w:val="16"/>
                <w:vertAlign w:val="superscript"/>
              </w:rPr>
              <w:t>3</w:t>
            </w:r>
          </w:p>
        </w:tc>
      </w:tr>
      <w:tr w:rsidR="00AC237C" w:rsidRPr="003478AF" w14:paraId="4C85DBF1" w14:textId="77777777" w:rsidTr="00E136AA">
        <w:tc>
          <w:tcPr>
            <w:tcW w:w="1980" w:type="dxa"/>
            <w:vMerge/>
            <w:vAlign w:val="center"/>
          </w:tcPr>
          <w:p w14:paraId="13595271" w14:textId="77777777" w:rsidR="00AC237C" w:rsidRPr="003478AF" w:rsidRDefault="00AC237C" w:rsidP="00E136AA">
            <w:pPr>
              <w:ind w:firstLine="18"/>
              <w:jc w:val="left"/>
              <w:rPr>
                <w:rFonts w:cs="Arial"/>
                <w:sz w:val="16"/>
                <w:szCs w:val="16"/>
              </w:rPr>
            </w:pPr>
          </w:p>
        </w:tc>
        <w:tc>
          <w:tcPr>
            <w:tcW w:w="4648" w:type="dxa"/>
            <w:vAlign w:val="center"/>
          </w:tcPr>
          <w:p w14:paraId="25DCA816" w14:textId="367B49AC" w:rsidR="00AC237C" w:rsidRPr="003478AF" w:rsidRDefault="00AC237C" w:rsidP="00E136AA">
            <w:pPr>
              <w:ind w:firstLine="18"/>
              <w:jc w:val="left"/>
              <w:rPr>
                <w:rFonts w:cs="Arial"/>
                <w:sz w:val="16"/>
                <w:szCs w:val="16"/>
              </w:rPr>
            </w:pPr>
            <w:r w:rsidRPr="003478AF">
              <w:rPr>
                <w:rFonts w:cs="Arial"/>
                <w:sz w:val="16"/>
                <w:szCs w:val="16"/>
              </w:rPr>
              <w:t>obiekty małej retencji wodnej: liczba</w:t>
            </w:r>
            <w:r w:rsidR="00155D24" w:rsidRPr="003478AF">
              <w:rPr>
                <w:rFonts w:cs="Arial"/>
                <w:sz w:val="16"/>
                <w:szCs w:val="16"/>
              </w:rPr>
              <w:t>/ pojemność</w:t>
            </w:r>
            <w:r w:rsidRPr="003478AF">
              <w:rPr>
                <w:rFonts w:cs="Arial"/>
                <w:sz w:val="16"/>
                <w:szCs w:val="16"/>
              </w:rPr>
              <w:t>/</w:t>
            </w:r>
            <w:r w:rsidR="00155D24" w:rsidRPr="003478AF">
              <w:rPr>
                <w:rFonts w:cs="Arial"/>
                <w:sz w:val="16"/>
                <w:szCs w:val="16"/>
              </w:rPr>
              <w:t xml:space="preserve"> </w:t>
            </w:r>
            <w:r w:rsidRPr="003478AF">
              <w:rPr>
                <w:rFonts w:cs="Arial"/>
                <w:sz w:val="16"/>
                <w:szCs w:val="16"/>
              </w:rPr>
              <w:t>powierzchnia nawadniana</w:t>
            </w:r>
          </w:p>
        </w:tc>
        <w:tc>
          <w:tcPr>
            <w:tcW w:w="0" w:type="auto"/>
            <w:vAlign w:val="center"/>
          </w:tcPr>
          <w:p w14:paraId="1D2917E1" w14:textId="77777777" w:rsidR="00AC237C" w:rsidRPr="003478AF" w:rsidRDefault="00AC237C" w:rsidP="00E136AA">
            <w:pPr>
              <w:ind w:firstLine="18"/>
              <w:jc w:val="center"/>
              <w:rPr>
                <w:rFonts w:cs="Arial"/>
                <w:sz w:val="16"/>
                <w:szCs w:val="16"/>
              </w:rPr>
            </w:pPr>
            <w:r w:rsidRPr="003478AF">
              <w:rPr>
                <w:rFonts w:cs="Arial"/>
                <w:sz w:val="16"/>
                <w:szCs w:val="16"/>
              </w:rPr>
              <w:t>szt., dam</w:t>
            </w:r>
            <w:r w:rsidRPr="003478AF">
              <w:rPr>
                <w:rFonts w:cs="Arial"/>
                <w:sz w:val="16"/>
                <w:szCs w:val="16"/>
                <w:vertAlign w:val="superscript"/>
              </w:rPr>
              <w:t>3</w:t>
            </w:r>
            <w:r w:rsidRPr="003478AF">
              <w:rPr>
                <w:rFonts w:cs="Arial"/>
                <w:sz w:val="16"/>
                <w:szCs w:val="16"/>
              </w:rPr>
              <w:t>, ha</w:t>
            </w:r>
          </w:p>
        </w:tc>
      </w:tr>
      <w:tr w:rsidR="00AC237C" w:rsidRPr="003478AF" w14:paraId="26FEA4CB" w14:textId="77777777" w:rsidTr="00E136AA">
        <w:tc>
          <w:tcPr>
            <w:tcW w:w="1980" w:type="dxa"/>
            <w:vMerge/>
            <w:vAlign w:val="center"/>
          </w:tcPr>
          <w:p w14:paraId="46539826" w14:textId="77777777" w:rsidR="00AC237C" w:rsidRPr="003478AF" w:rsidRDefault="00AC237C" w:rsidP="00E136AA">
            <w:pPr>
              <w:ind w:firstLine="18"/>
              <w:jc w:val="left"/>
              <w:rPr>
                <w:rFonts w:cs="Arial"/>
                <w:sz w:val="16"/>
                <w:szCs w:val="16"/>
              </w:rPr>
            </w:pPr>
          </w:p>
        </w:tc>
        <w:tc>
          <w:tcPr>
            <w:tcW w:w="4648" w:type="dxa"/>
            <w:vAlign w:val="center"/>
          </w:tcPr>
          <w:p w14:paraId="1000BD5A" w14:textId="7FE21040" w:rsidR="00AC237C" w:rsidRPr="003478AF" w:rsidRDefault="00AC237C" w:rsidP="00E136AA">
            <w:pPr>
              <w:ind w:firstLine="18"/>
              <w:jc w:val="left"/>
              <w:rPr>
                <w:rFonts w:cs="Arial"/>
                <w:sz w:val="16"/>
                <w:szCs w:val="16"/>
              </w:rPr>
            </w:pPr>
            <w:r w:rsidRPr="003478AF">
              <w:rPr>
                <w:rFonts w:cs="Arial"/>
                <w:sz w:val="16"/>
                <w:szCs w:val="16"/>
              </w:rPr>
              <w:t xml:space="preserve">realizacja inwestycji małej retencji wodnej w danym roku </w:t>
            </w:r>
          </w:p>
          <w:p w14:paraId="076CED7B" w14:textId="77777777" w:rsidR="00AC237C" w:rsidRPr="003478AF" w:rsidRDefault="00AC237C" w:rsidP="00E136AA">
            <w:pPr>
              <w:ind w:firstLine="18"/>
              <w:jc w:val="left"/>
              <w:rPr>
                <w:rFonts w:cs="Arial"/>
                <w:sz w:val="16"/>
                <w:szCs w:val="16"/>
              </w:rPr>
            </w:pPr>
            <w:r w:rsidRPr="003478AF">
              <w:rPr>
                <w:rFonts w:cs="Arial"/>
                <w:sz w:val="16"/>
                <w:szCs w:val="16"/>
              </w:rPr>
              <w:t>- nakłady inwestycyjne</w:t>
            </w:r>
          </w:p>
        </w:tc>
        <w:tc>
          <w:tcPr>
            <w:tcW w:w="0" w:type="auto"/>
            <w:vAlign w:val="center"/>
          </w:tcPr>
          <w:p w14:paraId="78DF3B9B" w14:textId="77777777" w:rsidR="00AC237C" w:rsidRPr="003478AF" w:rsidRDefault="00AC237C" w:rsidP="00E136AA">
            <w:pPr>
              <w:ind w:firstLine="18"/>
              <w:jc w:val="center"/>
              <w:rPr>
                <w:rFonts w:cs="Arial"/>
                <w:sz w:val="16"/>
                <w:szCs w:val="16"/>
              </w:rPr>
            </w:pPr>
            <w:r w:rsidRPr="003478AF">
              <w:rPr>
                <w:rFonts w:cs="Arial"/>
                <w:sz w:val="16"/>
                <w:szCs w:val="16"/>
              </w:rPr>
              <w:t>tys. zł</w:t>
            </w:r>
          </w:p>
        </w:tc>
      </w:tr>
      <w:tr w:rsidR="00AC237C" w:rsidRPr="003478AF" w14:paraId="04BB6767" w14:textId="77777777" w:rsidTr="00E136AA">
        <w:tc>
          <w:tcPr>
            <w:tcW w:w="1980" w:type="dxa"/>
            <w:vMerge/>
            <w:vAlign w:val="center"/>
          </w:tcPr>
          <w:p w14:paraId="1204C06A" w14:textId="77777777" w:rsidR="00AC237C" w:rsidRPr="003478AF" w:rsidRDefault="00AC237C" w:rsidP="00E136AA">
            <w:pPr>
              <w:ind w:firstLine="18"/>
              <w:jc w:val="left"/>
              <w:rPr>
                <w:rFonts w:cs="Arial"/>
                <w:sz w:val="16"/>
                <w:szCs w:val="16"/>
              </w:rPr>
            </w:pPr>
          </w:p>
        </w:tc>
        <w:tc>
          <w:tcPr>
            <w:tcW w:w="4648" w:type="dxa"/>
            <w:vAlign w:val="center"/>
          </w:tcPr>
          <w:p w14:paraId="5B564C9E" w14:textId="52E006B0" w:rsidR="00AC237C" w:rsidRPr="003478AF" w:rsidRDefault="00AC237C" w:rsidP="00E136AA">
            <w:pPr>
              <w:ind w:firstLine="18"/>
              <w:jc w:val="left"/>
              <w:rPr>
                <w:rFonts w:cs="Arial"/>
                <w:sz w:val="16"/>
                <w:szCs w:val="16"/>
              </w:rPr>
            </w:pPr>
            <w:r w:rsidRPr="003478AF">
              <w:rPr>
                <w:rFonts w:cs="Arial"/>
                <w:sz w:val="16"/>
                <w:szCs w:val="16"/>
              </w:rPr>
              <w:t>pobór wody na potrzeby gospodarki narodowej i ludności</w:t>
            </w:r>
          </w:p>
        </w:tc>
        <w:tc>
          <w:tcPr>
            <w:tcW w:w="0" w:type="auto"/>
            <w:vAlign w:val="center"/>
          </w:tcPr>
          <w:p w14:paraId="18C62663" w14:textId="77777777" w:rsidR="00AC237C" w:rsidRPr="003478AF" w:rsidRDefault="00AC237C" w:rsidP="00E136AA">
            <w:pPr>
              <w:ind w:firstLine="18"/>
              <w:jc w:val="center"/>
              <w:rPr>
                <w:rFonts w:cs="Arial"/>
                <w:sz w:val="16"/>
                <w:szCs w:val="16"/>
              </w:rPr>
            </w:pPr>
            <w:r w:rsidRPr="003478AF">
              <w:rPr>
                <w:rFonts w:cs="Arial"/>
                <w:sz w:val="16"/>
                <w:szCs w:val="16"/>
              </w:rPr>
              <w:t>hm</w:t>
            </w:r>
            <w:r w:rsidRPr="003478AF">
              <w:rPr>
                <w:rFonts w:cs="Arial"/>
                <w:sz w:val="16"/>
                <w:szCs w:val="16"/>
                <w:vertAlign w:val="superscript"/>
              </w:rPr>
              <w:t>3</w:t>
            </w:r>
          </w:p>
        </w:tc>
      </w:tr>
      <w:tr w:rsidR="00AC237C" w:rsidRPr="003478AF" w14:paraId="2FE68FB1" w14:textId="77777777" w:rsidTr="00E136AA">
        <w:tc>
          <w:tcPr>
            <w:tcW w:w="1980" w:type="dxa"/>
            <w:vMerge/>
            <w:vAlign w:val="center"/>
          </w:tcPr>
          <w:p w14:paraId="247AA02E" w14:textId="77777777" w:rsidR="00AC237C" w:rsidRPr="003478AF" w:rsidRDefault="00AC237C" w:rsidP="00E136AA">
            <w:pPr>
              <w:ind w:firstLine="18"/>
              <w:jc w:val="left"/>
              <w:rPr>
                <w:rFonts w:cs="Arial"/>
                <w:sz w:val="16"/>
                <w:szCs w:val="16"/>
              </w:rPr>
            </w:pPr>
          </w:p>
        </w:tc>
        <w:tc>
          <w:tcPr>
            <w:tcW w:w="4648" w:type="dxa"/>
            <w:vAlign w:val="center"/>
          </w:tcPr>
          <w:p w14:paraId="66C7F3FF" w14:textId="04AEAFBB" w:rsidR="00AC237C" w:rsidRPr="003478AF" w:rsidRDefault="00AC237C" w:rsidP="00E136AA">
            <w:pPr>
              <w:ind w:firstLine="18"/>
              <w:jc w:val="left"/>
              <w:rPr>
                <w:rFonts w:cs="Arial"/>
                <w:sz w:val="16"/>
                <w:szCs w:val="16"/>
              </w:rPr>
            </w:pPr>
            <w:r w:rsidRPr="003478AF">
              <w:rPr>
                <w:rFonts w:cs="Arial"/>
                <w:sz w:val="16"/>
                <w:szCs w:val="16"/>
              </w:rPr>
              <w:t>zużycie wody z wodociągów w gospodarstwach domowych</w:t>
            </w:r>
          </w:p>
        </w:tc>
        <w:tc>
          <w:tcPr>
            <w:tcW w:w="0" w:type="auto"/>
            <w:vAlign w:val="center"/>
          </w:tcPr>
          <w:p w14:paraId="1FE85A8D" w14:textId="77777777" w:rsidR="00AC237C" w:rsidRPr="003478AF" w:rsidRDefault="00AC237C" w:rsidP="00E136AA">
            <w:pPr>
              <w:ind w:firstLine="18"/>
              <w:jc w:val="center"/>
              <w:rPr>
                <w:rFonts w:cs="Arial"/>
                <w:sz w:val="16"/>
                <w:szCs w:val="16"/>
              </w:rPr>
            </w:pPr>
            <w:r w:rsidRPr="003478AF">
              <w:rPr>
                <w:rFonts w:cs="Arial"/>
                <w:sz w:val="16"/>
                <w:szCs w:val="16"/>
              </w:rPr>
              <w:t>hm</w:t>
            </w:r>
            <w:r w:rsidRPr="003478AF">
              <w:rPr>
                <w:rFonts w:cs="Arial"/>
                <w:sz w:val="16"/>
                <w:szCs w:val="16"/>
                <w:vertAlign w:val="superscript"/>
              </w:rPr>
              <w:t>3</w:t>
            </w:r>
          </w:p>
        </w:tc>
      </w:tr>
      <w:tr w:rsidR="00AC237C" w:rsidRPr="003478AF" w14:paraId="7C761AAE" w14:textId="77777777" w:rsidTr="00E136AA">
        <w:tc>
          <w:tcPr>
            <w:tcW w:w="1980" w:type="dxa"/>
            <w:vMerge/>
            <w:vAlign w:val="center"/>
          </w:tcPr>
          <w:p w14:paraId="3B23432E" w14:textId="77777777" w:rsidR="00AC237C" w:rsidRPr="003478AF" w:rsidRDefault="00AC237C" w:rsidP="00E136AA">
            <w:pPr>
              <w:ind w:firstLine="18"/>
              <w:jc w:val="left"/>
              <w:rPr>
                <w:rFonts w:cs="Arial"/>
                <w:sz w:val="16"/>
                <w:szCs w:val="16"/>
              </w:rPr>
            </w:pPr>
          </w:p>
        </w:tc>
        <w:tc>
          <w:tcPr>
            <w:tcW w:w="4648" w:type="dxa"/>
            <w:vAlign w:val="center"/>
          </w:tcPr>
          <w:p w14:paraId="54384D6D" w14:textId="57D7498D" w:rsidR="00AC237C" w:rsidRPr="003478AF" w:rsidRDefault="00AC237C" w:rsidP="00E136AA">
            <w:pPr>
              <w:ind w:firstLine="18"/>
              <w:jc w:val="left"/>
              <w:rPr>
                <w:rFonts w:cs="Arial"/>
                <w:sz w:val="16"/>
                <w:szCs w:val="16"/>
              </w:rPr>
            </w:pPr>
            <w:r w:rsidRPr="003478AF">
              <w:rPr>
                <w:rFonts w:cs="Arial"/>
                <w:sz w:val="16"/>
                <w:szCs w:val="16"/>
              </w:rPr>
              <w:t xml:space="preserve">ścieki przemysłowe i komunalnewymagające oczyszczenia </w:t>
            </w:r>
          </w:p>
          <w:p w14:paraId="0EFF401E" w14:textId="1A2774B0" w:rsidR="00AC237C" w:rsidRPr="003478AF" w:rsidRDefault="00AC237C" w:rsidP="00E136AA">
            <w:pPr>
              <w:ind w:firstLine="18"/>
              <w:jc w:val="left"/>
              <w:rPr>
                <w:rFonts w:cs="Arial"/>
                <w:sz w:val="16"/>
                <w:szCs w:val="16"/>
              </w:rPr>
            </w:pPr>
            <w:r w:rsidRPr="003478AF">
              <w:rPr>
                <w:rFonts w:cs="Arial"/>
                <w:sz w:val="16"/>
                <w:szCs w:val="16"/>
              </w:rPr>
              <w:t xml:space="preserve">odprowadzane do wód lub do ziemi: </w:t>
            </w:r>
          </w:p>
          <w:p w14:paraId="714B797D" w14:textId="77777777" w:rsidR="00AC237C" w:rsidRPr="003478AF" w:rsidRDefault="00AC237C" w:rsidP="00E136AA">
            <w:pPr>
              <w:ind w:firstLine="18"/>
              <w:jc w:val="left"/>
              <w:rPr>
                <w:rFonts w:cs="Arial"/>
                <w:sz w:val="16"/>
                <w:szCs w:val="16"/>
              </w:rPr>
            </w:pPr>
            <w:r w:rsidRPr="003478AF">
              <w:rPr>
                <w:rFonts w:cs="Arial"/>
                <w:sz w:val="16"/>
                <w:szCs w:val="16"/>
              </w:rPr>
              <w:t xml:space="preserve">- ogółem </w:t>
            </w:r>
          </w:p>
          <w:p w14:paraId="7780B242" w14:textId="77777777" w:rsidR="00AC237C" w:rsidRPr="003478AF" w:rsidRDefault="00AC237C" w:rsidP="00E136AA">
            <w:pPr>
              <w:ind w:firstLine="18"/>
              <w:jc w:val="left"/>
              <w:rPr>
                <w:rFonts w:cs="Arial"/>
                <w:sz w:val="16"/>
                <w:szCs w:val="16"/>
              </w:rPr>
            </w:pPr>
            <w:r w:rsidRPr="003478AF">
              <w:rPr>
                <w:rFonts w:cs="Arial"/>
                <w:sz w:val="16"/>
                <w:szCs w:val="16"/>
              </w:rPr>
              <w:lastRenderedPageBreak/>
              <w:t>- nieoczyszczane</w:t>
            </w:r>
          </w:p>
        </w:tc>
        <w:tc>
          <w:tcPr>
            <w:tcW w:w="0" w:type="auto"/>
            <w:vAlign w:val="center"/>
          </w:tcPr>
          <w:p w14:paraId="1F4385F0" w14:textId="77777777" w:rsidR="00AC237C" w:rsidRPr="003478AF" w:rsidRDefault="00AC237C" w:rsidP="00E136AA">
            <w:pPr>
              <w:ind w:firstLine="18"/>
              <w:jc w:val="center"/>
              <w:rPr>
                <w:rFonts w:cs="Arial"/>
                <w:sz w:val="16"/>
                <w:szCs w:val="16"/>
              </w:rPr>
            </w:pPr>
            <w:r w:rsidRPr="003478AF">
              <w:rPr>
                <w:rFonts w:cs="Arial"/>
                <w:sz w:val="16"/>
                <w:szCs w:val="16"/>
              </w:rPr>
              <w:lastRenderedPageBreak/>
              <w:t>hm</w:t>
            </w:r>
            <w:r w:rsidRPr="003478AF">
              <w:rPr>
                <w:rFonts w:cs="Arial"/>
                <w:sz w:val="16"/>
                <w:szCs w:val="16"/>
                <w:vertAlign w:val="superscript"/>
              </w:rPr>
              <w:t>3</w:t>
            </w:r>
          </w:p>
        </w:tc>
      </w:tr>
      <w:tr w:rsidR="00AC237C" w:rsidRPr="003478AF" w14:paraId="0852FCA8" w14:textId="77777777" w:rsidTr="00E136AA">
        <w:tc>
          <w:tcPr>
            <w:tcW w:w="1980" w:type="dxa"/>
            <w:vMerge w:val="restart"/>
            <w:vAlign w:val="center"/>
          </w:tcPr>
          <w:p w14:paraId="59EA84E3" w14:textId="34971BD0" w:rsidR="00AC237C" w:rsidRPr="003478AF" w:rsidRDefault="00A274D6" w:rsidP="00E136AA">
            <w:pPr>
              <w:ind w:firstLine="18"/>
              <w:jc w:val="left"/>
              <w:rPr>
                <w:rFonts w:cs="Arial"/>
                <w:sz w:val="16"/>
                <w:szCs w:val="16"/>
              </w:rPr>
            </w:pPr>
            <w:r w:rsidRPr="003478AF">
              <w:rPr>
                <w:rFonts w:cs="Arial"/>
                <w:sz w:val="16"/>
                <w:szCs w:val="16"/>
              </w:rPr>
              <w:t>Gospodarka wodno-</w:t>
            </w:r>
          </w:p>
          <w:p w14:paraId="14F8E616" w14:textId="7D1B76BF" w:rsidR="00AC237C" w:rsidRPr="003478AF" w:rsidRDefault="00A274D6" w:rsidP="00E136AA">
            <w:pPr>
              <w:ind w:firstLine="18"/>
              <w:jc w:val="left"/>
              <w:rPr>
                <w:rFonts w:cs="Arial"/>
                <w:sz w:val="16"/>
                <w:szCs w:val="16"/>
              </w:rPr>
            </w:pPr>
            <w:r w:rsidRPr="003478AF">
              <w:rPr>
                <w:rFonts w:cs="Arial"/>
                <w:sz w:val="16"/>
                <w:szCs w:val="16"/>
              </w:rPr>
              <w:t>Ściekowa</w:t>
            </w:r>
          </w:p>
        </w:tc>
        <w:tc>
          <w:tcPr>
            <w:tcW w:w="4648" w:type="dxa"/>
            <w:vAlign w:val="center"/>
          </w:tcPr>
          <w:p w14:paraId="2B9FA9DE" w14:textId="77777777" w:rsidR="00AC237C" w:rsidRPr="003478AF" w:rsidRDefault="00AC237C" w:rsidP="00E136AA">
            <w:pPr>
              <w:ind w:firstLine="18"/>
              <w:jc w:val="left"/>
              <w:rPr>
                <w:rFonts w:cs="Arial"/>
                <w:sz w:val="16"/>
                <w:szCs w:val="16"/>
              </w:rPr>
            </w:pPr>
            <w:r w:rsidRPr="003478AF">
              <w:rPr>
                <w:rFonts w:cs="Arial"/>
                <w:sz w:val="16"/>
                <w:szCs w:val="16"/>
              </w:rPr>
              <w:t>długość sieci wodociągowej</w:t>
            </w:r>
          </w:p>
        </w:tc>
        <w:tc>
          <w:tcPr>
            <w:tcW w:w="0" w:type="auto"/>
            <w:vAlign w:val="center"/>
          </w:tcPr>
          <w:p w14:paraId="27447541" w14:textId="77777777" w:rsidR="00AC237C" w:rsidRPr="003478AF" w:rsidRDefault="00AC237C" w:rsidP="00E136AA">
            <w:pPr>
              <w:ind w:firstLine="18"/>
              <w:jc w:val="center"/>
              <w:rPr>
                <w:rFonts w:cs="Arial"/>
                <w:sz w:val="16"/>
                <w:szCs w:val="16"/>
              </w:rPr>
            </w:pPr>
            <w:r w:rsidRPr="003478AF">
              <w:rPr>
                <w:rFonts w:cs="Arial"/>
                <w:sz w:val="16"/>
                <w:szCs w:val="16"/>
              </w:rPr>
              <w:t>km</w:t>
            </w:r>
          </w:p>
        </w:tc>
      </w:tr>
      <w:tr w:rsidR="00AC237C" w:rsidRPr="003478AF" w14:paraId="686F933E" w14:textId="77777777" w:rsidTr="00E136AA">
        <w:tc>
          <w:tcPr>
            <w:tcW w:w="1980" w:type="dxa"/>
            <w:vMerge/>
            <w:vAlign w:val="center"/>
          </w:tcPr>
          <w:p w14:paraId="72B37BCA" w14:textId="77777777" w:rsidR="00AC237C" w:rsidRPr="003478AF" w:rsidRDefault="00AC237C" w:rsidP="00E136AA">
            <w:pPr>
              <w:ind w:firstLine="18"/>
              <w:jc w:val="left"/>
              <w:rPr>
                <w:rFonts w:cs="Arial"/>
                <w:sz w:val="16"/>
                <w:szCs w:val="16"/>
              </w:rPr>
            </w:pPr>
          </w:p>
        </w:tc>
        <w:tc>
          <w:tcPr>
            <w:tcW w:w="4648" w:type="dxa"/>
            <w:vAlign w:val="center"/>
          </w:tcPr>
          <w:p w14:paraId="6AA0EE83" w14:textId="77777777" w:rsidR="00AC237C" w:rsidRPr="003478AF" w:rsidRDefault="00AC237C" w:rsidP="00E136AA">
            <w:pPr>
              <w:ind w:firstLine="18"/>
              <w:jc w:val="left"/>
              <w:rPr>
                <w:rFonts w:cs="Arial"/>
                <w:sz w:val="16"/>
                <w:szCs w:val="16"/>
              </w:rPr>
            </w:pPr>
            <w:r w:rsidRPr="003478AF">
              <w:rPr>
                <w:rFonts w:cs="Arial"/>
                <w:sz w:val="16"/>
                <w:szCs w:val="16"/>
              </w:rPr>
              <w:t>długość sieci kanalizacyjnej</w:t>
            </w:r>
          </w:p>
        </w:tc>
        <w:tc>
          <w:tcPr>
            <w:tcW w:w="0" w:type="auto"/>
            <w:vAlign w:val="center"/>
          </w:tcPr>
          <w:p w14:paraId="3AEB1ACA" w14:textId="77777777" w:rsidR="00AC237C" w:rsidRPr="003478AF" w:rsidRDefault="00AC237C" w:rsidP="00E136AA">
            <w:pPr>
              <w:ind w:firstLine="18"/>
              <w:jc w:val="center"/>
              <w:rPr>
                <w:rFonts w:cs="Arial"/>
                <w:sz w:val="16"/>
                <w:szCs w:val="16"/>
              </w:rPr>
            </w:pPr>
            <w:r w:rsidRPr="003478AF">
              <w:rPr>
                <w:rFonts w:cs="Arial"/>
                <w:sz w:val="16"/>
                <w:szCs w:val="16"/>
              </w:rPr>
              <w:t>km</w:t>
            </w:r>
          </w:p>
        </w:tc>
      </w:tr>
      <w:tr w:rsidR="00AC237C" w:rsidRPr="003478AF" w14:paraId="156E8433" w14:textId="77777777" w:rsidTr="00E136AA">
        <w:tc>
          <w:tcPr>
            <w:tcW w:w="1980" w:type="dxa"/>
            <w:vMerge/>
            <w:vAlign w:val="center"/>
          </w:tcPr>
          <w:p w14:paraId="1B70A5E4" w14:textId="77777777" w:rsidR="00AC237C" w:rsidRPr="003478AF" w:rsidRDefault="00AC237C" w:rsidP="00E136AA">
            <w:pPr>
              <w:ind w:firstLine="18"/>
              <w:jc w:val="left"/>
              <w:rPr>
                <w:rFonts w:cs="Arial"/>
                <w:sz w:val="16"/>
                <w:szCs w:val="16"/>
              </w:rPr>
            </w:pPr>
          </w:p>
        </w:tc>
        <w:tc>
          <w:tcPr>
            <w:tcW w:w="4648" w:type="dxa"/>
            <w:vAlign w:val="center"/>
          </w:tcPr>
          <w:p w14:paraId="4B98D2AD" w14:textId="77777777" w:rsidR="00AC237C" w:rsidRPr="003478AF" w:rsidRDefault="00AC237C" w:rsidP="00E136AA">
            <w:pPr>
              <w:ind w:firstLine="18"/>
              <w:jc w:val="left"/>
              <w:rPr>
                <w:rFonts w:cs="Arial"/>
                <w:sz w:val="16"/>
                <w:szCs w:val="16"/>
              </w:rPr>
            </w:pPr>
            <w:r w:rsidRPr="003478AF">
              <w:rPr>
                <w:rFonts w:cs="Arial"/>
                <w:sz w:val="16"/>
                <w:szCs w:val="16"/>
              </w:rPr>
              <w:t>odsetek ludności korzystającej z wodociągu</w:t>
            </w:r>
          </w:p>
        </w:tc>
        <w:tc>
          <w:tcPr>
            <w:tcW w:w="0" w:type="auto"/>
            <w:vAlign w:val="center"/>
          </w:tcPr>
          <w:p w14:paraId="40D70F30" w14:textId="77777777" w:rsidR="00AC237C" w:rsidRPr="003478AF" w:rsidRDefault="00AC237C" w:rsidP="00E136AA">
            <w:pPr>
              <w:ind w:firstLine="18"/>
              <w:jc w:val="center"/>
              <w:rPr>
                <w:rFonts w:cs="Arial"/>
                <w:sz w:val="16"/>
                <w:szCs w:val="16"/>
              </w:rPr>
            </w:pPr>
            <w:r w:rsidRPr="003478AF">
              <w:rPr>
                <w:rFonts w:cs="Arial"/>
                <w:sz w:val="16"/>
                <w:szCs w:val="16"/>
              </w:rPr>
              <w:t>%</w:t>
            </w:r>
          </w:p>
        </w:tc>
      </w:tr>
      <w:tr w:rsidR="00AC237C" w:rsidRPr="003478AF" w14:paraId="345A6DD0" w14:textId="77777777" w:rsidTr="00E136AA">
        <w:tc>
          <w:tcPr>
            <w:tcW w:w="1980" w:type="dxa"/>
            <w:vMerge/>
            <w:vAlign w:val="center"/>
          </w:tcPr>
          <w:p w14:paraId="4BD2513F" w14:textId="77777777" w:rsidR="00AC237C" w:rsidRPr="003478AF" w:rsidRDefault="00AC237C" w:rsidP="00E136AA">
            <w:pPr>
              <w:ind w:firstLine="18"/>
              <w:jc w:val="left"/>
              <w:rPr>
                <w:rFonts w:cs="Arial"/>
                <w:sz w:val="16"/>
                <w:szCs w:val="16"/>
              </w:rPr>
            </w:pPr>
          </w:p>
        </w:tc>
        <w:tc>
          <w:tcPr>
            <w:tcW w:w="4648" w:type="dxa"/>
            <w:vAlign w:val="center"/>
          </w:tcPr>
          <w:p w14:paraId="5E83CAFB" w14:textId="1BB85FD0" w:rsidR="00AC237C" w:rsidRPr="003478AF" w:rsidRDefault="00AC237C" w:rsidP="00E136AA">
            <w:pPr>
              <w:ind w:firstLine="18"/>
              <w:jc w:val="left"/>
              <w:rPr>
                <w:rFonts w:cs="Arial"/>
                <w:sz w:val="16"/>
                <w:szCs w:val="16"/>
              </w:rPr>
            </w:pPr>
            <w:r w:rsidRPr="003478AF">
              <w:rPr>
                <w:rFonts w:cs="Arial"/>
                <w:sz w:val="16"/>
                <w:szCs w:val="16"/>
              </w:rPr>
              <w:t>odsetek ludności korzystającej z kanalizacji</w:t>
            </w:r>
            <w:r w:rsidR="00CB7DB0" w:rsidRPr="003478AF">
              <w:rPr>
                <w:rFonts w:cs="Arial"/>
                <w:sz w:val="16"/>
                <w:szCs w:val="16"/>
              </w:rPr>
              <w:t xml:space="preserve"> </w:t>
            </w:r>
          </w:p>
        </w:tc>
        <w:tc>
          <w:tcPr>
            <w:tcW w:w="0" w:type="auto"/>
            <w:vAlign w:val="center"/>
          </w:tcPr>
          <w:p w14:paraId="010EEB02" w14:textId="77777777" w:rsidR="00AC237C" w:rsidRPr="003478AF" w:rsidRDefault="00AC237C" w:rsidP="00E136AA">
            <w:pPr>
              <w:ind w:firstLine="18"/>
              <w:jc w:val="center"/>
              <w:rPr>
                <w:rFonts w:cs="Arial"/>
                <w:sz w:val="16"/>
                <w:szCs w:val="16"/>
              </w:rPr>
            </w:pPr>
            <w:r w:rsidRPr="003478AF">
              <w:rPr>
                <w:rFonts w:cs="Arial"/>
                <w:sz w:val="16"/>
                <w:szCs w:val="16"/>
              </w:rPr>
              <w:t>%</w:t>
            </w:r>
          </w:p>
        </w:tc>
      </w:tr>
      <w:tr w:rsidR="00AC237C" w:rsidRPr="003478AF" w14:paraId="46A67F52" w14:textId="77777777" w:rsidTr="00E136AA">
        <w:tc>
          <w:tcPr>
            <w:tcW w:w="1980" w:type="dxa"/>
            <w:vMerge/>
            <w:vAlign w:val="center"/>
          </w:tcPr>
          <w:p w14:paraId="0C33A659" w14:textId="77777777" w:rsidR="00AC237C" w:rsidRPr="003478AF" w:rsidRDefault="00AC237C" w:rsidP="00E136AA">
            <w:pPr>
              <w:ind w:firstLine="18"/>
              <w:jc w:val="left"/>
              <w:rPr>
                <w:rFonts w:cs="Arial"/>
                <w:sz w:val="16"/>
                <w:szCs w:val="16"/>
              </w:rPr>
            </w:pPr>
          </w:p>
        </w:tc>
        <w:tc>
          <w:tcPr>
            <w:tcW w:w="4648" w:type="dxa"/>
            <w:vAlign w:val="center"/>
          </w:tcPr>
          <w:p w14:paraId="348164E2" w14:textId="77777777" w:rsidR="00AC237C" w:rsidRPr="003478AF" w:rsidRDefault="00AC237C" w:rsidP="00E136AA">
            <w:pPr>
              <w:ind w:firstLine="18"/>
              <w:jc w:val="left"/>
              <w:rPr>
                <w:rFonts w:cs="Arial"/>
                <w:sz w:val="16"/>
                <w:szCs w:val="16"/>
              </w:rPr>
            </w:pPr>
            <w:r w:rsidRPr="003478AF">
              <w:rPr>
                <w:rFonts w:cs="Arial"/>
                <w:sz w:val="16"/>
                <w:szCs w:val="16"/>
              </w:rPr>
              <w:t>ścieki odprowadzone siecią kanalizacyjną</w:t>
            </w:r>
          </w:p>
        </w:tc>
        <w:tc>
          <w:tcPr>
            <w:tcW w:w="0" w:type="auto"/>
            <w:vAlign w:val="center"/>
          </w:tcPr>
          <w:p w14:paraId="63080B4D" w14:textId="77777777" w:rsidR="00AC237C" w:rsidRPr="003478AF" w:rsidRDefault="00AC237C" w:rsidP="00E136AA">
            <w:pPr>
              <w:ind w:firstLine="18"/>
              <w:jc w:val="center"/>
              <w:rPr>
                <w:rFonts w:cs="Arial"/>
                <w:sz w:val="16"/>
                <w:szCs w:val="16"/>
              </w:rPr>
            </w:pPr>
            <w:r w:rsidRPr="003478AF">
              <w:rPr>
                <w:rFonts w:cs="Arial"/>
                <w:sz w:val="16"/>
                <w:szCs w:val="16"/>
              </w:rPr>
              <w:t>dam</w:t>
            </w:r>
            <w:r w:rsidRPr="003478AF">
              <w:rPr>
                <w:rFonts w:cs="Arial"/>
                <w:sz w:val="16"/>
                <w:szCs w:val="16"/>
                <w:vertAlign w:val="superscript"/>
              </w:rPr>
              <w:t>3</w:t>
            </w:r>
          </w:p>
        </w:tc>
      </w:tr>
      <w:tr w:rsidR="00AC237C" w:rsidRPr="003478AF" w14:paraId="764A9FAC" w14:textId="77777777" w:rsidTr="00E136AA">
        <w:tc>
          <w:tcPr>
            <w:tcW w:w="1980" w:type="dxa"/>
            <w:vMerge/>
            <w:vAlign w:val="center"/>
          </w:tcPr>
          <w:p w14:paraId="7C6F55FC" w14:textId="77777777" w:rsidR="00AC237C" w:rsidRPr="003478AF" w:rsidRDefault="00AC237C" w:rsidP="00E136AA">
            <w:pPr>
              <w:ind w:firstLine="18"/>
              <w:jc w:val="left"/>
              <w:rPr>
                <w:rFonts w:cs="Arial"/>
                <w:sz w:val="16"/>
                <w:szCs w:val="16"/>
              </w:rPr>
            </w:pPr>
          </w:p>
        </w:tc>
        <w:tc>
          <w:tcPr>
            <w:tcW w:w="4648" w:type="dxa"/>
            <w:vAlign w:val="center"/>
          </w:tcPr>
          <w:p w14:paraId="55D9A9F2" w14:textId="3DD87D52" w:rsidR="00AC237C" w:rsidRPr="003478AF" w:rsidRDefault="00AC237C" w:rsidP="00E136AA">
            <w:pPr>
              <w:ind w:firstLine="18"/>
              <w:jc w:val="left"/>
              <w:rPr>
                <w:rFonts w:cs="Arial"/>
                <w:sz w:val="16"/>
                <w:szCs w:val="16"/>
              </w:rPr>
            </w:pPr>
            <w:r w:rsidRPr="003478AF">
              <w:rPr>
                <w:rFonts w:cs="Arial"/>
                <w:sz w:val="16"/>
                <w:szCs w:val="16"/>
              </w:rPr>
              <w:t>miasta obsługiwane przez oczyszczalnie ścieków</w:t>
            </w:r>
          </w:p>
        </w:tc>
        <w:tc>
          <w:tcPr>
            <w:tcW w:w="0" w:type="auto"/>
            <w:vAlign w:val="center"/>
          </w:tcPr>
          <w:p w14:paraId="1A597E2F" w14:textId="77777777" w:rsidR="00AC237C" w:rsidRPr="003478AF" w:rsidRDefault="00AC237C" w:rsidP="00E136AA">
            <w:pPr>
              <w:ind w:firstLine="18"/>
              <w:jc w:val="center"/>
              <w:rPr>
                <w:rFonts w:cs="Arial"/>
                <w:sz w:val="16"/>
                <w:szCs w:val="16"/>
              </w:rPr>
            </w:pPr>
          </w:p>
        </w:tc>
      </w:tr>
      <w:tr w:rsidR="00AC237C" w:rsidRPr="003478AF" w14:paraId="1E0FCC64" w14:textId="77777777" w:rsidTr="00E136AA">
        <w:tc>
          <w:tcPr>
            <w:tcW w:w="1980" w:type="dxa"/>
            <w:vMerge/>
            <w:vAlign w:val="center"/>
          </w:tcPr>
          <w:p w14:paraId="27DC7815" w14:textId="77777777" w:rsidR="00AC237C" w:rsidRPr="003478AF" w:rsidRDefault="00AC237C" w:rsidP="00E136AA">
            <w:pPr>
              <w:ind w:firstLine="18"/>
              <w:jc w:val="left"/>
              <w:rPr>
                <w:rFonts w:cs="Arial"/>
                <w:sz w:val="16"/>
                <w:szCs w:val="16"/>
              </w:rPr>
            </w:pPr>
          </w:p>
        </w:tc>
        <w:tc>
          <w:tcPr>
            <w:tcW w:w="4648" w:type="dxa"/>
            <w:vAlign w:val="center"/>
          </w:tcPr>
          <w:p w14:paraId="4FF77500" w14:textId="77777777" w:rsidR="00AC237C" w:rsidRPr="003478AF" w:rsidRDefault="00AC237C" w:rsidP="00E136AA">
            <w:pPr>
              <w:ind w:firstLine="18"/>
              <w:jc w:val="left"/>
              <w:rPr>
                <w:rFonts w:cs="Arial"/>
                <w:sz w:val="16"/>
                <w:szCs w:val="16"/>
              </w:rPr>
            </w:pPr>
            <w:r w:rsidRPr="003478AF">
              <w:rPr>
                <w:rFonts w:cs="Arial"/>
                <w:sz w:val="16"/>
                <w:szCs w:val="16"/>
              </w:rPr>
              <w:t>liczba oczyszczalni ścieków</w:t>
            </w:r>
          </w:p>
        </w:tc>
        <w:tc>
          <w:tcPr>
            <w:tcW w:w="0" w:type="auto"/>
            <w:vAlign w:val="center"/>
          </w:tcPr>
          <w:p w14:paraId="635063C1" w14:textId="77777777" w:rsidR="00AC237C" w:rsidRPr="003478AF" w:rsidRDefault="00AC237C" w:rsidP="00E136AA">
            <w:pPr>
              <w:ind w:firstLine="18"/>
              <w:jc w:val="center"/>
              <w:rPr>
                <w:rFonts w:cs="Arial"/>
                <w:sz w:val="16"/>
                <w:szCs w:val="16"/>
              </w:rPr>
            </w:pPr>
          </w:p>
        </w:tc>
      </w:tr>
      <w:tr w:rsidR="00AC237C" w:rsidRPr="003478AF" w14:paraId="5AEAEDF9" w14:textId="77777777" w:rsidTr="00E136AA">
        <w:tc>
          <w:tcPr>
            <w:tcW w:w="1980" w:type="dxa"/>
            <w:vAlign w:val="center"/>
          </w:tcPr>
          <w:p w14:paraId="5F20D3AB" w14:textId="32E88BD3" w:rsidR="00AC237C" w:rsidRPr="003478AF" w:rsidRDefault="00A274D6" w:rsidP="00E136AA">
            <w:pPr>
              <w:ind w:firstLine="18"/>
              <w:jc w:val="left"/>
              <w:rPr>
                <w:rFonts w:cs="Arial"/>
                <w:sz w:val="16"/>
                <w:szCs w:val="16"/>
              </w:rPr>
            </w:pPr>
            <w:r w:rsidRPr="003478AF">
              <w:rPr>
                <w:rFonts w:cs="Arial"/>
                <w:sz w:val="16"/>
                <w:szCs w:val="16"/>
              </w:rPr>
              <w:t>Zasoby geologiczne</w:t>
            </w:r>
          </w:p>
        </w:tc>
        <w:tc>
          <w:tcPr>
            <w:tcW w:w="4648" w:type="dxa"/>
            <w:vAlign w:val="center"/>
          </w:tcPr>
          <w:p w14:paraId="096541EF" w14:textId="77777777" w:rsidR="00AC237C" w:rsidRPr="003478AF" w:rsidRDefault="00AC237C" w:rsidP="00E136AA">
            <w:pPr>
              <w:ind w:firstLine="18"/>
              <w:jc w:val="left"/>
              <w:rPr>
                <w:rFonts w:cs="Arial"/>
                <w:sz w:val="16"/>
                <w:szCs w:val="16"/>
              </w:rPr>
            </w:pPr>
            <w:r w:rsidRPr="003478AF">
              <w:rPr>
                <w:rFonts w:cs="Arial"/>
                <w:sz w:val="16"/>
                <w:szCs w:val="16"/>
              </w:rPr>
              <w:t xml:space="preserve">wydobycie surowców: </w:t>
            </w:r>
          </w:p>
          <w:p w14:paraId="0C9F1624" w14:textId="77777777" w:rsidR="00AC237C" w:rsidRPr="003478AF" w:rsidRDefault="00AC237C" w:rsidP="00E136AA">
            <w:pPr>
              <w:ind w:firstLine="18"/>
              <w:jc w:val="left"/>
              <w:rPr>
                <w:rFonts w:cs="Arial"/>
                <w:sz w:val="16"/>
                <w:szCs w:val="16"/>
              </w:rPr>
            </w:pPr>
            <w:r w:rsidRPr="003478AF">
              <w:rPr>
                <w:rFonts w:cs="Arial"/>
                <w:sz w:val="16"/>
                <w:szCs w:val="16"/>
              </w:rPr>
              <w:t xml:space="preserve">- węgiel brunatny </w:t>
            </w:r>
          </w:p>
          <w:p w14:paraId="4E210BEA" w14:textId="77777777" w:rsidR="00AC237C" w:rsidRPr="003478AF" w:rsidRDefault="00AC237C" w:rsidP="00E136AA">
            <w:pPr>
              <w:ind w:firstLine="18"/>
              <w:jc w:val="left"/>
              <w:rPr>
                <w:rFonts w:cs="Arial"/>
                <w:sz w:val="16"/>
                <w:szCs w:val="16"/>
              </w:rPr>
            </w:pPr>
            <w:r w:rsidRPr="003478AF">
              <w:rPr>
                <w:rFonts w:cs="Arial"/>
                <w:sz w:val="16"/>
                <w:szCs w:val="16"/>
              </w:rPr>
              <w:t xml:space="preserve">- gaz ziemny </w:t>
            </w:r>
          </w:p>
          <w:p w14:paraId="64D2E99F" w14:textId="77777777" w:rsidR="00AC237C" w:rsidRPr="003478AF" w:rsidRDefault="00AC237C" w:rsidP="00E136AA">
            <w:pPr>
              <w:ind w:firstLine="18"/>
              <w:jc w:val="left"/>
              <w:rPr>
                <w:rFonts w:cs="Arial"/>
                <w:sz w:val="16"/>
                <w:szCs w:val="16"/>
              </w:rPr>
            </w:pPr>
            <w:r w:rsidRPr="003478AF">
              <w:rPr>
                <w:rFonts w:cs="Arial"/>
                <w:sz w:val="16"/>
                <w:szCs w:val="16"/>
              </w:rPr>
              <w:t xml:space="preserve">- ropa naftowa </w:t>
            </w:r>
          </w:p>
          <w:p w14:paraId="0A595BE5" w14:textId="77777777" w:rsidR="00AC237C" w:rsidRPr="003478AF" w:rsidRDefault="00AC237C" w:rsidP="00E136AA">
            <w:pPr>
              <w:ind w:firstLine="18"/>
              <w:jc w:val="left"/>
              <w:rPr>
                <w:rFonts w:cs="Arial"/>
                <w:sz w:val="16"/>
                <w:szCs w:val="16"/>
              </w:rPr>
            </w:pPr>
            <w:r w:rsidRPr="003478AF">
              <w:rPr>
                <w:rFonts w:cs="Arial"/>
                <w:sz w:val="16"/>
                <w:szCs w:val="16"/>
              </w:rPr>
              <w:t xml:space="preserve">- piaski i żwiry </w:t>
            </w:r>
          </w:p>
          <w:p w14:paraId="21271F95" w14:textId="77777777" w:rsidR="00AC237C" w:rsidRPr="003478AF" w:rsidRDefault="00AC237C" w:rsidP="00E136AA">
            <w:pPr>
              <w:ind w:firstLine="18"/>
              <w:jc w:val="left"/>
              <w:rPr>
                <w:rFonts w:cs="Arial"/>
                <w:sz w:val="16"/>
                <w:szCs w:val="16"/>
              </w:rPr>
            </w:pPr>
            <w:r w:rsidRPr="003478AF">
              <w:rPr>
                <w:rFonts w:cs="Arial"/>
                <w:sz w:val="16"/>
                <w:szCs w:val="16"/>
              </w:rPr>
              <w:t xml:space="preserve">- torf </w:t>
            </w:r>
          </w:p>
          <w:p w14:paraId="74F3643A" w14:textId="77777777" w:rsidR="00AC237C" w:rsidRPr="003478AF" w:rsidRDefault="00AC237C" w:rsidP="00E136AA">
            <w:pPr>
              <w:ind w:firstLine="18"/>
              <w:jc w:val="left"/>
              <w:rPr>
                <w:rFonts w:cs="Arial"/>
                <w:sz w:val="16"/>
                <w:szCs w:val="16"/>
              </w:rPr>
            </w:pPr>
            <w:r w:rsidRPr="003478AF">
              <w:rPr>
                <w:rFonts w:cs="Arial"/>
                <w:sz w:val="16"/>
                <w:szCs w:val="16"/>
              </w:rPr>
              <w:t xml:space="preserve">- sól kamienna </w:t>
            </w:r>
          </w:p>
          <w:p w14:paraId="385901C0" w14:textId="77777777" w:rsidR="00AC237C" w:rsidRPr="003478AF" w:rsidRDefault="00AC237C" w:rsidP="00E136AA">
            <w:pPr>
              <w:ind w:firstLine="18"/>
              <w:jc w:val="left"/>
              <w:rPr>
                <w:rFonts w:cs="Arial"/>
                <w:sz w:val="16"/>
                <w:szCs w:val="16"/>
              </w:rPr>
            </w:pPr>
            <w:r w:rsidRPr="003478AF">
              <w:rPr>
                <w:rFonts w:cs="Arial"/>
                <w:sz w:val="16"/>
                <w:szCs w:val="16"/>
              </w:rPr>
              <w:t>- wody termalne</w:t>
            </w:r>
          </w:p>
        </w:tc>
        <w:tc>
          <w:tcPr>
            <w:tcW w:w="0" w:type="auto"/>
            <w:vAlign w:val="center"/>
          </w:tcPr>
          <w:p w14:paraId="49A5062E" w14:textId="77777777" w:rsidR="00AC237C" w:rsidRPr="003478AF" w:rsidRDefault="00AC237C" w:rsidP="00E136AA">
            <w:pPr>
              <w:ind w:firstLine="18"/>
              <w:jc w:val="center"/>
              <w:rPr>
                <w:rFonts w:cs="Arial"/>
                <w:sz w:val="16"/>
                <w:szCs w:val="16"/>
              </w:rPr>
            </w:pPr>
            <w:r w:rsidRPr="003478AF">
              <w:rPr>
                <w:rFonts w:cs="Arial"/>
                <w:sz w:val="16"/>
                <w:szCs w:val="16"/>
              </w:rPr>
              <w:t>tys. ton, mln m</w:t>
            </w:r>
            <w:r w:rsidRPr="003478AF">
              <w:rPr>
                <w:rFonts w:cs="Arial"/>
                <w:sz w:val="16"/>
                <w:szCs w:val="16"/>
                <w:vertAlign w:val="superscript"/>
              </w:rPr>
              <w:t>3</w:t>
            </w:r>
            <w:r w:rsidRPr="003478AF">
              <w:rPr>
                <w:rFonts w:cs="Arial"/>
                <w:sz w:val="16"/>
                <w:szCs w:val="16"/>
              </w:rPr>
              <w:t>, tys. ton, tys. ton, tys. ton, tys. ton, m</w:t>
            </w:r>
            <w:r w:rsidRPr="003478AF">
              <w:rPr>
                <w:rFonts w:cs="Arial"/>
                <w:sz w:val="16"/>
                <w:szCs w:val="16"/>
                <w:vertAlign w:val="superscript"/>
              </w:rPr>
              <w:t>3</w:t>
            </w:r>
          </w:p>
        </w:tc>
      </w:tr>
      <w:tr w:rsidR="00AC237C" w:rsidRPr="003478AF" w14:paraId="6D5C3BD3" w14:textId="77777777" w:rsidTr="00E136AA">
        <w:tc>
          <w:tcPr>
            <w:tcW w:w="1980" w:type="dxa"/>
            <w:vMerge w:val="restart"/>
            <w:vAlign w:val="center"/>
          </w:tcPr>
          <w:p w14:paraId="01B84C71" w14:textId="70AA4A2D" w:rsidR="00AC237C" w:rsidRPr="003478AF" w:rsidRDefault="00A274D6" w:rsidP="00E136AA">
            <w:pPr>
              <w:ind w:firstLine="18"/>
              <w:jc w:val="left"/>
              <w:rPr>
                <w:rFonts w:cs="Arial"/>
                <w:sz w:val="16"/>
                <w:szCs w:val="16"/>
              </w:rPr>
            </w:pPr>
            <w:r w:rsidRPr="003478AF">
              <w:rPr>
                <w:rFonts w:cs="Arial"/>
                <w:sz w:val="16"/>
                <w:szCs w:val="16"/>
              </w:rPr>
              <w:t>Gleby</w:t>
            </w:r>
          </w:p>
        </w:tc>
        <w:tc>
          <w:tcPr>
            <w:tcW w:w="4648" w:type="dxa"/>
            <w:vAlign w:val="center"/>
          </w:tcPr>
          <w:p w14:paraId="16593C82" w14:textId="77777777" w:rsidR="00AC237C" w:rsidRPr="003478AF" w:rsidRDefault="00AC237C" w:rsidP="00E136AA">
            <w:pPr>
              <w:ind w:firstLine="18"/>
              <w:jc w:val="left"/>
              <w:rPr>
                <w:rFonts w:cs="Arial"/>
                <w:sz w:val="16"/>
                <w:szCs w:val="16"/>
              </w:rPr>
            </w:pPr>
            <w:r w:rsidRPr="003478AF">
              <w:rPr>
                <w:rFonts w:cs="Arial"/>
                <w:sz w:val="16"/>
                <w:szCs w:val="16"/>
              </w:rPr>
              <w:t>udział gleb kwaśnych</w:t>
            </w:r>
          </w:p>
        </w:tc>
        <w:tc>
          <w:tcPr>
            <w:tcW w:w="0" w:type="auto"/>
            <w:vAlign w:val="center"/>
          </w:tcPr>
          <w:p w14:paraId="7872F635" w14:textId="77777777" w:rsidR="00AC237C" w:rsidRPr="003478AF" w:rsidRDefault="00AC237C" w:rsidP="00E136AA">
            <w:pPr>
              <w:ind w:firstLine="18"/>
              <w:jc w:val="center"/>
              <w:rPr>
                <w:rFonts w:cs="Arial"/>
                <w:sz w:val="16"/>
                <w:szCs w:val="16"/>
              </w:rPr>
            </w:pPr>
            <w:r w:rsidRPr="003478AF">
              <w:rPr>
                <w:rFonts w:cs="Arial"/>
                <w:sz w:val="16"/>
                <w:szCs w:val="16"/>
              </w:rPr>
              <w:t>%</w:t>
            </w:r>
          </w:p>
        </w:tc>
      </w:tr>
      <w:tr w:rsidR="00AC237C" w:rsidRPr="003478AF" w14:paraId="0DF61E69" w14:textId="77777777" w:rsidTr="00E136AA">
        <w:tc>
          <w:tcPr>
            <w:tcW w:w="1980" w:type="dxa"/>
            <w:vMerge/>
            <w:vAlign w:val="center"/>
          </w:tcPr>
          <w:p w14:paraId="066FEF23" w14:textId="77777777" w:rsidR="00AC237C" w:rsidRPr="003478AF" w:rsidRDefault="00AC237C" w:rsidP="00E136AA">
            <w:pPr>
              <w:ind w:firstLine="18"/>
              <w:jc w:val="left"/>
              <w:rPr>
                <w:rFonts w:cs="Arial"/>
                <w:sz w:val="16"/>
                <w:szCs w:val="16"/>
              </w:rPr>
            </w:pPr>
          </w:p>
        </w:tc>
        <w:tc>
          <w:tcPr>
            <w:tcW w:w="4648" w:type="dxa"/>
            <w:vAlign w:val="center"/>
          </w:tcPr>
          <w:p w14:paraId="1EAC6586" w14:textId="5D175309" w:rsidR="00AC237C" w:rsidRPr="003478AF" w:rsidRDefault="00AC237C" w:rsidP="00E136AA">
            <w:pPr>
              <w:ind w:firstLine="18"/>
              <w:jc w:val="left"/>
              <w:rPr>
                <w:rFonts w:cs="Arial"/>
                <w:sz w:val="16"/>
                <w:szCs w:val="16"/>
              </w:rPr>
            </w:pPr>
            <w:r w:rsidRPr="003478AF">
              <w:rPr>
                <w:rFonts w:cs="Arial"/>
                <w:sz w:val="16"/>
                <w:szCs w:val="16"/>
              </w:rPr>
              <w:t>powierzchnia gruntów zabudowanych i zurbanizowanych</w:t>
            </w:r>
          </w:p>
        </w:tc>
        <w:tc>
          <w:tcPr>
            <w:tcW w:w="0" w:type="auto"/>
            <w:vAlign w:val="center"/>
          </w:tcPr>
          <w:p w14:paraId="56BF8FA2" w14:textId="77777777" w:rsidR="00AC237C" w:rsidRPr="003478AF" w:rsidRDefault="00AC237C" w:rsidP="00E136AA">
            <w:pPr>
              <w:ind w:firstLine="18"/>
              <w:jc w:val="center"/>
              <w:rPr>
                <w:rFonts w:cs="Arial"/>
                <w:sz w:val="16"/>
                <w:szCs w:val="16"/>
              </w:rPr>
            </w:pPr>
            <w:r w:rsidRPr="003478AF">
              <w:rPr>
                <w:rFonts w:cs="Arial"/>
                <w:sz w:val="16"/>
                <w:szCs w:val="16"/>
              </w:rPr>
              <w:t>ha</w:t>
            </w:r>
          </w:p>
        </w:tc>
      </w:tr>
      <w:tr w:rsidR="00AC237C" w:rsidRPr="003478AF" w14:paraId="229EE6F8" w14:textId="77777777" w:rsidTr="00E136AA">
        <w:tc>
          <w:tcPr>
            <w:tcW w:w="1980" w:type="dxa"/>
            <w:vMerge/>
            <w:vAlign w:val="center"/>
          </w:tcPr>
          <w:p w14:paraId="35F94C7B" w14:textId="77777777" w:rsidR="00AC237C" w:rsidRPr="003478AF" w:rsidRDefault="00AC237C" w:rsidP="00E136AA">
            <w:pPr>
              <w:ind w:firstLine="18"/>
              <w:jc w:val="left"/>
              <w:rPr>
                <w:rFonts w:cs="Arial"/>
                <w:sz w:val="16"/>
                <w:szCs w:val="16"/>
              </w:rPr>
            </w:pPr>
          </w:p>
        </w:tc>
        <w:tc>
          <w:tcPr>
            <w:tcW w:w="4648" w:type="dxa"/>
            <w:vAlign w:val="center"/>
          </w:tcPr>
          <w:p w14:paraId="37F7D636" w14:textId="77777777" w:rsidR="00AC237C" w:rsidRPr="003478AF" w:rsidRDefault="00AC237C" w:rsidP="00E136AA">
            <w:pPr>
              <w:ind w:firstLine="18"/>
              <w:jc w:val="left"/>
              <w:rPr>
                <w:rFonts w:cs="Arial"/>
                <w:sz w:val="16"/>
                <w:szCs w:val="16"/>
              </w:rPr>
            </w:pPr>
            <w:r w:rsidRPr="003478AF">
              <w:rPr>
                <w:rFonts w:cs="Arial"/>
                <w:sz w:val="16"/>
                <w:szCs w:val="16"/>
              </w:rPr>
              <w:t>powierzchnia gruntów zdewastowanych i zdegradowanych wymagających rekultywacji</w:t>
            </w:r>
          </w:p>
        </w:tc>
        <w:tc>
          <w:tcPr>
            <w:tcW w:w="0" w:type="auto"/>
            <w:vAlign w:val="center"/>
          </w:tcPr>
          <w:p w14:paraId="39E1B30E" w14:textId="77777777" w:rsidR="00AC237C" w:rsidRPr="003478AF" w:rsidRDefault="00AC237C" w:rsidP="00E136AA">
            <w:pPr>
              <w:ind w:firstLine="18"/>
              <w:jc w:val="center"/>
              <w:rPr>
                <w:rFonts w:cs="Arial"/>
                <w:sz w:val="16"/>
                <w:szCs w:val="16"/>
              </w:rPr>
            </w:pPr>
            <w:r w:rsidRPr="003478AF">
              <w:rPr>
                <w:rFonts w:cs="Arial"/>
                <w:sz w:val="16"/>
                <w:szCs w:val="16"/>
              </w:rPr>
              <w:t>ha</w:t>
            </w:r>
          </w:p>
        </w:tc>
      </w:tr>
      <w:tr w:rsidR="00AC237C" w:rsidRPr="003478AF" w14:paraId="39D7DBD5" w14:textId="77777777" w:rsidTr="00E136AA">
        <w:tc>
          <w:tcPr>
            <w:tcW w:w="1980" w:type="dxa"/>
            <w:vMerge/>
            <w:vAlign w:val="center"/>
          </w:tcPr>
          <w:p w14:paraId="450F8B7D" w14:textId="77777777" w:rsidR="00AC237C" w:rsidRPr="003478AF" w:rsidRDefault="00AC237C" w:rsidP="00E136AA">
            <w:pPr>
              <w:ind w:firstLine="18"/>
              <w:jc w:val="left"/>
              <w:rPr>
                <w:rFonts w:cs="Arial"/>
                <w:sz w:val="16"/>
                <w:szCs w:val="16"/>
              </w:rPr>
            </w:pPr>
          </w:p>
        </w:tc>
        <w:tc>
          <w:tcPr>
            <w:tcW w:w="4648" w:type="dxa"/>
            <w:vAlign w:val="center"/>
          </w:tcPr>
          <w:p w14:paraId="00671A9F" w14:textId="77777777" w:rsidR="00AC237C" w:rsidRPr="003478AF" w:rsidRDefault="00AC237C" w:rsidP="00E136AA">
            <w:pPr>
              <w:ind w:firstLine="18"/>
              <w:jc w:val="left"/>
              <w:rPr>
                <w:rFonts w:cs="Arial"/>
                <w:sz w:val="16"/>
                <w:szCs w:val="16"/>
              </w:rPr>
            </w:pPr>
            <w:r w:rsidRPr="003478AF">
              <w:rPr>
                <w:rFonts w:cs="Arial"/>
                <w:sz w:val="16"/>
                <w:szCs w:val="16"/>
              </w:rPr>
              <w:t>powierzchnia gruntów zrekultywowanych</w:t>
            </w:r>
          </w:p>
        </w:tc>
        <w:tc>
          <w:tcPr>
            <w:tcW w:w="0" w:type="auto"/>
            <w:vAlign w:val="center"/>
          </w:tcPr>
          <w:p w14:paraId="0E7501EF" w14:textId="77777777" w:rsidR="00AC237C" w:rsidRPr="003478AF" w:rsidRDefault="00AC237C" w:rsidP="00E136AA">
            <w:pPr>
              <w:ind w:firstLine="18"/>
              <w:jc w:val="center"/>
              <w:rPr>
                <w:rFonts w:cs="Arial"/>
                <w:sz w:val="16"/>
                <w:szCs w:val="16"/>
              </w:rPr>
            </w:pPr>
            <w:r w:rsidRPr="003478AF">
              <w:rPr>
                <w:rFonts w:cs="Arial"/>
                <w:sz w:val="16"/>
                <w:szCs w:val="16"/>
              </w:rPr>
              <w:t>ha</w:t>
            </w:r>
          </w:p>
        </w:tc>
      </w:tr>
      <w:tr w:rsidR="00AC237C" w:rsidRPr="003478AF" w14:paraId="454DA0A4" w14:textId="77777777" w:rsidTr="00E136AA">
        <w:tc>
          <w:tcPr>
            <w:tcW w:w="1980" w:type="dxa"/>
            <w:vMerge/>
            <w:vAlign w:val="center"/>
          </w:tcPr>
          <w:p w14:paraId="29195074" w14:textId="77777777" w:rsidR="00AC237C" w:rsidRPr="003478AF" w:rsidRDefault="00AC237C" w:rsidP="00E136AA">
            <w:pPr>
              <w:ind w:firstLine="18"/>
              <w:jc w:val="left"/>
              <w:rPr>
                <w:rFonts w:cs="Arial"/>
                <w:sz w:val="16"/>
                <w:szCs w:val="16"/>
              </w:rPr>
            </w:pPr>
          </w:p>
        </w:tc>
        <w:tc>
          <w:tcPr>
            <w:tcW w:w="4648" w:type="dxa"/>
            <w:vAlign w:val="center"/>
          </w:tcPr>
          <w:p w14:paraId="4D767CFA" w14:textId="3693A8A5" w:rsidR="00AC237C" w:rsidRPr="003478AF" w:rsidRDefault="00AC237C" w:rsidP="00E136AA">
            <w:pPr>
              <w:ind w:firstLine="18"/>
              <w:jc w:val="left"/>
              <w:rPr>
                <w:rFonts w:cs="Arial"/>
                <w:sz w:val="16"/>
                <w:szCs w:val="16"/>
              </w:rPr>
            </w:pPr>
            <w:r w:rsidRPr="003478AF">
              <w:rPr>
                <w:rFonts w:cs="Arial"/>
                <w:sz w:val="16"/>
                <w:szCs w:val="16"/>
              </w:rPr>
              <w:t>liczba gospodarstw ekologicznych z certyfikatem powierzchnia ekologicznych użytków rolnych</w:t>
            </w:r>
          </w:p>
        </w:tc>
        <w:tc>
          <w:tcPr>
            <w:tcW w:w="0" w:type="auto"/>
            <w:vAlign w:val="center"/>
          </w:tcPr>
          <w:p w14:paraId="55A5662D" w14:textId="77777777" w:rsidR="00AC237C" w:rsidRPr="003478AF" w:rsidRDefault="00AC237C" w:rsidP="00E136AA">
            <w:pPr>
              <w:ind w:firstLine="18"/>
              <w:jc w:val="center"/>
              <w:rPr>
                <w:rFonts w:cs="Arial"/>
                <w:sz w:val="16"/>
                <w:szCs w:val="16"/>
              </w:rPr>
            </w:pPr>
            <w:r w:rsidRPr="003478AF">
              <w:rPr>
                <w:rFonts w:cs="Arial"/>
                <w:sz w:val="16"/>
                <w:szCs w:val="16"/>
              </w:rPr>
              <w:t>ha</w:t>
            </w:r>
          </w:p>
        </w:tc>
      </w:tr>
      <w:tr w:rsidR="00684833" w:rsidRPr="003478AF" w14:paraId="13EE5B93" w14:textId="77777777" w:rsidTr="00E136AA">
        <w:tc>
          <w:tcPr>
            <w:tcW w:w="1980" w:type="dxa"/>
            <w:vMerge w:val="restart"/>
            <w:vAlign w:val="center"/>
          </w:tcPr>
          <w:p w14:paraId="435AB85E" w14:textId="7E4E9113" w:rsidR="00684833" w:rsidRPr="003478AF" w:rsidRDefault="00684833" w:rsidP="00E136AA">
            <w:pPr>
              <w:ind w:firstLine="18"/>
              <w:jc w:val="left"/>
              <w:rPr>
                <w:rFonts w:cs="Arial"/>
                <w:sz w:val="16"/>
                <w:szCs w:val="16"/>
              </w:rPr>
            </w:pPr>
            <w:r w:rsidRPr="003478AF">
              <w:rPr>
                <w:rFonts w:cs="Arial"/>
                <w:sz w:val="16"/>
                <w:szCs w:val="16"/>
              </w:rPr>
              <w:t xml:space="preserve">Gospodarka </w:t>
            </w:r>
            <w:r w:rsidR="00E136AA" w:rsidRPr="003478AF">
              <w:rPr>
                <w:rFonts w:cs="Arial"/>
                <w:sz w:val="16"/>
                <w:szCs w:val="16"/>
              </w:rPr>
              <w:t>o</w:t>
            </w:r>
            <w:r w:rsidRPr="003478AF">
              <w:rPr>
                <w:rFonts w:cs="Arial"/>
                <w:sz w:val="16"/>
                <w:szCs w:val="16"/>
              </w:rPr>
              <w:t xml:space="preserve">dpadami </w:t>
            </w:r>
            <w:r w:rsidR="00E136AA" w:rsidRPr="003478AF">
              <w:rPr>
                <w:rFonts w:cs="Arial"/>
                <w:sz w:val="16"/>
                <w:szCs w:val="16"/>
              </w:rPr>
              <w:t>i</w:t>
            </w:r>
            <w:r w:rsidRPr="003478AF">
              <w:rPr>
                <w:rFonts w:cs="Arial"/>
                <w:sz w:val="16"/>
                <w:szCs w:val="16"/>
              </w:rPr>
              <w:t xml:space="preserve"> zapobieganie </w:t>
            </w:r>
            <w:r w:rsidR="00E136AA" w:rsidRPr="003478AF">
              <w:rPr>
                <w:rFonts w:cs="Arial"/>
                <w:sz w:val="16"/>
                <w:szCs w:val="16"/>
              </w:rPr>
              <w:t>p</w:t>
            </w:r>
            <w:r w:rsidRPr="003478AF">
              <w:rPr>
                <w:rFonts w:cs="Arial"/>
                <w:sz w:val="16"/>
                <w:szCs w:val="16"/>
              </w:rPr>
              <w:t xml:space="preserve">owstawaniu </w:t>
            </w:r>
            <w:r w:rsidR="00E136AA" w:rsidRPr="003478AF">
              <w:rPr>
                <w:rFonts w:cs="Arial"/>
                <w:sz w:val="16"/>
                <w:szCs w:val="16"/>
              </w:rPr>
              <w:t>o</w:t>
            </w:r>
            <w:r w:rsidRPr="003478AF">
              <w:rPr>
                <w:rFonts w:cs="Arial"/>
                <w:sz w:val="16"/>
                <w:szCs w:val="16"/>
              </w:rPr>
              <w:t>dpadów</w:t>
            </w:r>
          </w:p>
        </w:tc>
        <w:tc>
          <w:tcPr>
            <w:tcW w:w="4648" w:type="dxa"/>
            <w:vAlign w:val="center"/>
          </w:tcPr>
          <w:p w14:paraId="0A5FB782" w14:textId="77777777" w:rsidR="00684833" w:rsidRPr="003478AF" w:rsidRDefault="00684833" w:rsidP="00E136AA">
            <w:pPr>
              <w:ind w:firstLine="18"/>
              <w:jc w:val="left"/>
              <w:rPr>
                <w:rFonts w:cs="Arial"/>
                <w:sz w:val="16"/>
                <w:szCs w:val="16"/>
              </w:rPr>
            </w:pPr>
            <w:r w:rsidRPr="003478AF">
              <w:rPr>
                <w:rFonts w:cs="Arial"/>
                <w:sz w:val="16"/>
                <w:szCs w:val="16"/>
              </w:rPr>
              <w:t>masa zebranych zmieszanych odpadów komunalnych</w:t>
            </w:r>
          </w:p>
        </w:tc>
        <w:tc>
          <w:tcPr>
            <w:tcW w:w="0" w:type="auto"/>
            <w:vAlign w:val="center"/>
          </w:tcPr>
          <w:p w14:paraId="150FA309" w14:textId="727A1D94" w:rsidR="00684833" w:rsidRPr="003478AF" w:rsidRDefault="00684833" w:rsidP="00E136AA">
            <w:pPr>
              <w:ind w:firstLine="18"/>
              <w:jc w:val="center"/>
              <w:rPr>
                <w:rFonts w:cs="Arial"/>
                <w:sz w:val="16"/>
                <w:szCs w:val="16"/>
              </w:rPr>
            </w:pPr>
            <w:r w:rsidRPr="003478AF">
              <w:rPr>
                <w:rFonts w:eastAsia="Times New Roman" w:cs="Arial"/>
                <w:sz w:val="16"/>
                <w:szCs w:val="16"/>
                <w:lang w:eastAsia="pl-PL"/>
              </w:rPr>
              <w:t>t (tona)</w:t>
            </w:r>
          </w:p>
        </w:tc>
      </w:tr>
      <w:tr w:rsidR="00684833" w:rsidRPr="003478AF" w14:paraId="3E46FDF9" w14:textId="77777777" w:rsidTr="00E136AA">
        <w:tc>
          <w:tcPr>
            <w:tcW w:w="1980" w:type="dxa"/>
            <w:vMerge/>
            <w:vAlign w:val="center"/>
          </w:tcPr>
          <w:p w14:paraId="3A3BDEEF" w14:textId="77777777" w:rsidR="00684833" w:rsidRPr="003478AF" w:rsidRDefault="00684833" w:rsidP="00E136AA">
            <w:pPr>
              <w:ind w:firstLine="18"/>
              <w:jc w:val="left"/>
              <w:rPr>
                <w:rFonts w:cs="Arial"/>
                <w:sz w:val="16"/>
                <w:szCs w:val="16"/>
              </w:rPr>
            </w:pPr>
          </w:p>
        </w:tc>
        <w:tc>
          <w:tcPr>
            <w:tcW w:w="4648" w:type="dxa"/>
            <w:vAlign w:val="center"/>
          </w:tcPr>
          <w:p w14:paraId="25E44A12" w14:textId="77777777" w:rsidR="00684833" w:rsidRPr="003478AF" w:rsidRDefault="00684833" w:rsidP="00E136AA">
            <w:pPr>
              <w:ind w:firstLine="18"/>
              <w:jc w:val="left"/>
              <w:rPr>
                <w:rFonts w:cs="Arial"/>
                <w:sz w:val="16"/>
                <w:szCs w:val="16"/>
              </w:rPr>
            </w:pPr>
            <w:r w:rsidRPr="003478AF">
              <w:rPr>
                <w:rFonts w:cs="Arial"/>
                <w:sz w:val="16"/>
                <w:szCs w:val="16"/>
              </w:rPr>
              <w:t>masa odpadów zebranych selektywnie</w:t>
            </w:r>
          </w:p>
        </w:tc>
        <w:tc>
          <w:tcPr>
            <w:tcW w:w="0" w:type="auto"/>
            <w:vAlign w:val="center"/>
          </w:tcPr>
          <w:p w14:paraId="41FA66CF" w14:textId="51CDB0F9" w:rsidR="00684833" w:rsidRPr="003478AF" w:rsidRDefault="00684833" w:rsidP="00E136AA">
            <w:pPr>
              <w:ind w:firstLine="18"/>
              <w:jc w:val="center"/>
              <w:rPr>
                <w:rFonts w:cs="Arial"/>
                <w:sz w:val="16"/>
                <w:szCs w:val="16"/>
              </w:rPr>
            </w:pPr>
            <w:r w:rsidRPr="003478AF">
              <w:rPr>
                <w:rFonts w:eastAsia="Times New Roman" w:cs="Arial"/>
                <w:sz w:val="16"/>
                <w:szCs w:val="16"/>
                <w:lang w:eastAsia="pl-PL"/>
              </w:rPr>
              <w:t>t (tona)</w:t>
            </w:r>
          </w:p>
        </w:tc>
      </w:tr>
      <w:tr w:rsidR="00AC237C" w:rsidRPr="003478AF" w14:paraId="0468C511" w14:textId="77777777" w:rsidTr="00E136AA">
        <w:tc>
          <w:tcPr>
            <w:tcW w:w="1980" w:type="dxa"/>
            <w:vMerge/>
            <w:vAlign w:val="center"/>
          </w:tcPr>
          <w:p w14:paraId="448A0D14" w14:textId="77777777" w:rsidR="00AC237C" w:rsidRPr="003478AF" w:rsidRDefault="00AC237C" w:rsidP="00E136AA">
            <w:pPr>
              <w:ind w:firstLine="18"/>
              <w:jc w:val="left"/>
              <w:rPr>
                <w:rFonts w:cs="Arial"/>
                <w:sz w:val="16"/>
                <w:szCs w:val="16"/>
              </w:rPr>
            </w:pPr>
          </w:p>
        </w:tc>
        <w:tc>
          <w:tcPr>
            <w:tcW w:w="4648" w:type="dxa"/>
            <w:vAlign w:val="center"/>
          </w:tcPr>
          <w:p w14:paraId="71D8FB67" w14:textId="2097FE42" w:rsidR="00AC237C" w:rsidRPr="003478AF" w:rsidRDefault="00AC237C" w:rsidP="00E136AA">
            <w:pPr>
              <w:ind w:firstLine="18"/>
              <w:jc w:val="left"/>
              <w:rPr>
                <w:rFonts w:cs="Arial"/>
                <w:sz w:val="16"/>
                <w:szCs w:val="16"/>
              </w:rPr>
            </w:pPr>
            <w:r w:rsidRPr="003478AF">
              <w:rPr>
                <w:rFonts w:cs="Arial"/>
                <w:sz w:val="16"/>
                <w:szCs w:val="16"/>
              </w:rPr>
              <w:t>liczba instalacji zapewniających mechaniczno-biologiczne przetwarzanie niesegregowanych (zmieszanych) odpadów komunalnych</w:t>
            </w:r>
          </w:p>
        </w:tc>
        <w:tc>
          <w:tcPr>
            <w:tcW w:w="0" w:type="auto"/>
            <w:vAlign w:val="center"/>
          </w:tcPr>
          <w:p w14:paraId="2C318FDC" w14:textId="77777777" w:rsidR="00AC237C" w:rsidRPr="003478AF" w:rsidRDefault="00AC237C" w:rsidP="00E136AA">
            <w:pPr>
              <w:ind w:firstLine="18"/>
              <w:jc w:val="center"/>
              <w:rPr>
                <w:rFonts w:cs="Arial"/>
                <w:sz w:val="16"/>
                <w:szCs w:val="16"/>
              </w:rPr>
            </w:pPr>
          </w:p>
        </w:tc>
      </w:tr>
      <w:tr w:rsidR="00AC237C" w:rsidRPr="003478AF" w14:paraId="438EAFE8" w14:textId="77777777" w:rsidTr="00E136AA">
        <w:tc>
          <w:tcPr>
            <w:tcW w:w="1980" w:type="dxa"/>
            <w:vMerge/>
            <w:vAlign w:val="center"/>
          </w:tcPr>
          <w:p w14:paraId="425CBDFF" w14:textId="77777777" w:rsidR="00AC237C" w:rsidRPr="003478AF" w:rsidRDefault="00AC237C" w:rsidP="00E136AA">
            <w:pPr>
              <w:ind w:firstLine="18"/>
              <w:jc w:val="left"/>
              <w:rPr>
                <w:rFonts w:cs="Arial"/>
                <w:sz w:val="16"/>
                <w:szCs w:val="16"/>
              </w:rPr>
            </w:pPr>
          </w:p>
        </w:tc>
        <w:tc>
          <w:tcPr>
            <w:tcW w:w="4648" w:type="dxa"/>
            <w:vAlign w:val="center"/>
          </w:tcPr>
          <w:p w14:paraId="3D6AC460" w14:textId="33B86262" w:rsidR="00AC237C" w:rsidRPr="003478AF" w:rsidRDefault="00AC237C" w:rsidP="00E136AA">
            <w:pPr>
              <w:ind w:firstLine="18"/>
              <w:jc w:val="left"/>
              <w:rPr>
                <w:rFonts w:cs="Arial"/>
                <w:sz w:val="16"/>
                <w:szCs w:val="16"/>
              </w:rPr>
            </w:pPr>
            <w:r w:rsidRPr="003478AF">
              <w:rPr>
                <w:rFonts w:cs="Arial"/>
                <w:sz w:val="16"/>
                <w:szCs w:val="16"/>
              </w:rPr>
              <w:t>liczba instalacji komunalnych zapewniających składowanie odpadów powstających w procesie mechaniczno-biologicznego przetwarzania niesegregowanych (zmieszanych) odpadów komunalnych</w:t>
            </w:r>
          </w:p>
        </w:tc>
        <w:tc>
          <w:tcPr>
            <w:tcW w:w="0" w:type="auto"/>
            <w:vAlign w:val="center"/>
          </w:tcPr>
          <w:p w14:paraId="43FC5D28" w14:textId="77777777" w:rsidR="00AC237C" w:rsidRPr="003478AF" w:rsidRDefault="00AC237C" w:rsidP="00E136AA">
            <w:pPr>
              <w:ind w:firstLine="18"/>
              <w:jc w:val="center"/>
              <w:rPr>
                <w:rFonts w:cs="Arial"/>
                <w:sz w:val="16"/>
                <w:szCs w:val="16"/>
              </w:rPr>
            </w:pPr>
          </w:p>
        </w:tc>
      </w:tr>
      <w:tr w:rsidR="00AC237C" w:rsidRPr="003478AF" w14:paraId="73F67BD7" w14:textId="77777777" w:rsidTr="00E136AA">
        <w:tc>
          <w:tcPr>
            <w:tcW w:w="1980" w:type="dxa"/>
            <w:vMerge/>
            <w:vAlign w:val="center"/>
          </w:tcPr>
          <w:p w14:paraId="53FF3218" w14:textId="77777777" w:rsidR="00AC237C" w:rsidRPr="003478AF" w:rsidRDefault="00AC237C" w:rsidP="00E136AA">
            <w:pPr>
              <w:ind w:firstLine="18"/>
              <w:jc w:val="left"/>
              <w:rPr>
                <w:rFonts w:cs="Arial"/>
                <w:sz w:val="16"/>
                <w:szCs w:val="16"/>
              </w:rPr>
            </w:pPr>
          </w:p>
        </w:tc>
        <w:tc>
          <w:tcPr>
            <w:tcW w:w="4648" w:type="dxa"/>
            <w:vAlign w:val="center"/>
          </w:tcPr>
          <w:p w14:paraId="0031A242" w14:textId="77777777" w:rsidR="00AC237C" w:rsidRPr="003478AF" w:rsidRDefault="00AC237C" w:rsidP="00E136AA">
            <w:pPr>
              <w:ind w:firstLine="18"/>
              <w:jc w:val="left"/>
              <w:rPr>
                <w:rFonts w:cs="Arial"/>
                <w:sz w:val="16"/>
                <w:szCs w:val="16"/>
              </w:rPr>
            </w:pPr>
            <w:r w:rsidRPr="003478AF">
              <w:rPr>
                <w:rFonts w:cs="Arial"/>
                <w:sz w:val="16"/>
                <w:szCs w:val="16"/>
              </w:rPr>
              <w:t>instalacje przetwarzające odpady inne niż komunalne</w:t>
            </w:r>
          </w:p>
        </w:tc>
        <w:tc>
          <w:tcPr>
            <w:tcW w:w="0" w:type="auto"/>
            <w:vAlign w:val="center"/>
          </w:tcPr>
          <w:p w14:paraId="0B2A61CC" w14:textId="77777777" w:rsidR="00AC237C" w:rsidRPr="003478AF" w:rsidRDefault="00AC237C" w:rsidP="00E136AA">
            <w:pPr>
              <w:ind w:firstLine="18"/>
              <w:jc w:val="center"/>
              <w:rPr>
                <w:rFonts w:cs="Arial"/>
                <w:sz w:val="16"/>
                <w:szCs w:val="16"/>
              </w:rPr>
            </w:pPr>
          </w:p>
        </w:tc>
      </w:tr>
      <w:tr w:rsidR="00AC237C" w:rsidRPr="003478AF" w14:paraId="51A2EA8C" w14:textId="77777777" w:rsidTr="00E136AA">
        <w:tc>
          <w:tcPr>
            <w:tcW w:w="1980" w:type="dxa"/>
            <w:vMerge/>
            <w:vAlign w:val="center"/>
          </w:tcPr>
          <w:p w14:paraId="51F9E02E" w14:textId="77777777" w:rsidR="00AC237C" w:rsidRPr="003478AF" w:rsidRDefault="00AC237C" w:rsidP="00E136AA">
            <w:pPr>
              <w:ind w:firstLine="18"/>
              <w:jc w:val="left"/>
              <w:rPr>
                <w:rFonts w:cs="Arial"/>
                <w:sz w:val="16"/>
                <w:szCs w:val="16"/>
              </w:rPr>
            </w:pPr>
          </w:p>
        </w:tc>
        <w:tc>
          <w:tcPr>
            <w:tcW w:w="4648" w:type="dxa"/>
            <w:vAlign w:val="center"/>
          </w:tcPr>
          <w:p w14:paraId="57DC0FD7" w14:textId="381BDC1A" w:rsidR="00AC237C" w:rsidRPr="003478AF" w:rsidRDefault="00AC237C" w:rsidP="00E136AA">
            <w:pPr>
              <w:ind w:firstLine="18"/>
              <w:jc w:val="left"/>
              <w:rPr>
                <w:rFonts w:cs="Arial"/>
                <w:sz w:val="16"/>
                <w:szCs w:val="16"/>
              </w:rPr>
            </w:pPr>
            <w:r w:rsidRPr="003478AF">
              <w:rPr>
                <w:rFonts w:cs="Arial"/>
                <w:sz w:val="16"/>
                <w:szCs w:val="16"/>
              </w:rPr>
              <w:t xml:space="preserve">masa odpadów zdeponowanych </w:t>
            </w:r>
            <w:r w:rsidR="00155D24" w:rsidRPr="003478AF">
              <w:rPr>
                <w:rFonts w:cs="Arial"/>
                <w:sz w:val="16"/>
                <w:szCs w:val="16"/>
              </w:rPr>
              <w:t>n</w:t>
            </w:r>
            <w:r w:rsidRPr="003478AF">
              <w:rPr>
                <w:rFonts w:cs="Arial"/>
                <w:sz w:val="16"/>
                <w:szCs w:val="16"/>
              </w:rPr>
              <w:t>a składowiskach</w:t>
            </w:r>
          </w:p>
        </w:tc>
        <w:tc>
          <w:tcPr>
            <w:tcW w:w="0" w:type="auto"/>
            <w:vAlign w:val="center"/>
          </w:tcPr>
          <w:p w14:paraId="305896EE" w14:textId="5B0B242F" w:rsidR="00AC237C" w:rsidRPr="003478AF" w:rsidRDefault="00684833" w:rsidP="00E136AA">
            <w:pPr>
              <w:ind w:firstLine="18"/>
              <w:jc w:val="center"/>
              <w:rPr>
                <w:rFonts w:cs="Arial"/>
                <w:sz w:val="16"/>
                <w:szCs w:val="16"/>
              </w:rPr>
            </w:pPr>
            <w:r w:rsidRPr="003478AF">
              <w:rPr>
                <w:rFonts w:eastAsia="Times New Roman" w:cs="Arial"/>
                <w:sz w:val="16"/>
                <w:szCs w:val="16"/>
                <w:lang w:eastAsia="pl-PL"/>
              </w:rPr>
              <w:t>t (tona)</w:t>
            </w:r>
          </w:p>
        </w:tc>
      </w:tr>
      <w:tr w:rsidR="00AC237C" w:rsidRPr="003478AF" w14:paraId="4F4B7AAA" w14:textId="77777777" w:rsidTr="00E136AA">
        <w:tc>
          <w:tcPr>
            <w:tcW w:w="1980" w:type="dxa"/>
            <w:vMerge w:val="restart"/>
            <w:vAlign w:val="center"/>
          </w:tcPr>
          <w:p w14:paraId="720CDEA3" w14:textId="4897B072" w:rsidR="00AC237C" w:rsidRPr="003478AF" w:rsidRDefault="00A274D6" w:rsidP="00E136AA">
            <w:pPr>
              <w:ind w:firstLine="18"/>
              <w:jc w:val="left"/>
              <w:rPr>
                <w:rFonts w:cs="Arial"/>
                <w:sz w:val="16"/>
                <w:szCs w:val="16"/>
              </w:rPr>
            </w:pPr>
            <w:r w:rsidRPr="003478AF">
              <w:rPr>
                <w:rFonts w:cs="Arial"/>
                <w:sz w:val="16"/>
                <w:szCs w:val="16"/>
              </w:rPr>
              <w:t>Zasoby przyrodnicze</w:t>
            </w:r>
          </w:p>
        </w:tc>
        <w:tc>
          <w:tcPr>
            <w:tcW w:w="4648" w:type="dxa"/>
            <w:vAlign w:val="center"/>
          </w:tcPr>
          <w:p w14:paraId="72C614FD" w14:textId="77777777" w:rsidR="00AC237C" w:rsidRPr="003478AF" w:rsidRDefault="00AC237C" w:rsidP="00E136AA">
            <w:pPr>
              <w:ind w:firstLine="18"/>
              <w:jc w:val="left"/>
              <w:rPr>
                <w:rFonts w:cs="Arial"/>
                <w:sz w:val="16"/>
                <w:szCs w:val="16"/>
              </w:rPr>
            </w:pPr>
            <w:r w:rsidRPr="003478AF">
              <w:rPr>
                <w:rFonts w:cs="Arial"/>
                <w:sz w:val="16"/>
                <w:szCs w:val="16"/>
              </w:rPr>
              <w:t>lesistość</w:t>
            </w:r>
          </w:p>
        </w:tc>
        <w:tc>
          <w:tcPr>
            <w:tcW w:w="0" w:type="auto"/>
            <w:vAlign w:val="center"/>
          </w:tcPr>
          <w:p w14:paraId="34201ED4" w14:textId="77777777" w:rsidR="00AC237C" w:rsidRPr="003478AF" w:rsidRDefault="00AC237C" w:rsidP="00E136AA">
            <w:pPr>
              <w:ind w:firstLine="18"/>
              <w:jc w:val="center"/>
              <w:rPr>
                <w:rFonts w:cs="Arial"/>
                <w:sz w:val="16"/>
                <w:szCs w:val="16"/>
              </w:rPr>
            </w:pPr>
            <w:r w:rsidRPr="003478AF">
              <w:rPr>
                <w:rFonts w:cs="Arial"/>
                <w:sz w:val="16"/>
                <w:szCs w:val="16"/>
              </w:rPr>
              <w:t>%</w:t>
            </w:r>
          </w:p>
        </w:tc>
      </w:tr>
      <w:tr w:rsidR="00AC237C" w:rsidRPr="003478AF" w14:paraId="2D5D3C7A" w14:textId="77777777" w:rsidTr="00E136AA">
        <w:tc>
          <w:tcPr>
            <w:tcW w:w="1980" w:type="dxa"/>
            <w:vMerge/>
            <w:vAlign w:val="center"/>
          </w:tcPr>
          <w:p w14:paraId="1DADA8D2" w14:textId="77777777" w:rsidR="00AC237C" w:rsidRPr="003478AF" w:rsidRDefault="00AC237C" w:rsidP="00E136AA">
            <w:pPr>
              <w:ind w:firstLine="18"/>
              <w:jc w:val="left"/>
              <w:rPr>
                <w:rFonts w:cs="Arial"/>
                <w:sz w:val="16"/>
                <w:szCs w:val="16"/>
              </w:rPr>
            </w:pPr>
          </w:p>
        </w:tc>
        <w:tc>
          <w:tcPr>
            <w:tcW w:w="4648" w:type="dxa"/>
            <w:vAlign w:val="center"/>
          </w:tcPr>
          <w:p w14:paraId="6668504D" w14:textId="3E0A17C7" w:rsidR="00AC237C" w:rsidRPr="003478AF" w:rsidRDefault="00155D24" w:rsidP="00E136AA">
            <w:pPr>
              <w:ind w:firstLine="18"/>
              <w:jc w:val="left"/>
              <w:rPr>
                <w:rFonts w:cs="Arial"/>
                <w:sz w:val="16"/>
                <w:szCs w:val="16"/>
              </w:rPr>
            </w:pPr>
            <w:r w:rsidRPr="003478AF">
              <w:rPr>
                <w:rFonts w:cs="Arial"/>
                <w:sz w:val="16"/>
                <w:szCs w:val="16"/>
              </w:rPr>
              <w:t xml:space="preserve">powierzchnia </w:t>
            </w:r>
            <w:r w:rsidR="00AC237C" w:rsidRPr="003478AF">
              <w:rPr>
                <w:rFonts w:cs="Arial"/>
                <w:sz w:val="16"/>
                <w:szCs w:val="16"/>
              </w:rPr>
              <w:t>gruntów leśnych lasów</w:t>
            </w:r>
          </w:p>
        </w:tc>
        <w:tc>
          <w:tcPr>
            <w:tcW w:w="0" w:type="auto"/>
            <w:vAlign w:val="center"/>
          </w:tcPr>
          <w:p w14:paraId="4ADD784F" w14:textId="77777777" w:rsidR="00AC237C" w:rsidRPr="003478AF" w:rsidRDefault="00AC237C" w:rsidP="00E136AA">
            <w:pPr>
              <w:ind w:firstLine="18"/>
              <w:jc w:val="center"/>
              <w:rPr>
                <w:rFonts w:cs="Arial"/>
                <w:sz w:val="16"/>
                <w:szCs w:val="16"/>
              </w:rPr>
            </w:pPr>
            <w:r w:rsidRPr="003478AF">
              <w:rPr>
                <w:rFonts w:cs="Arial"/>
                <w:sz w:val="16"/>
                <w:szCs w:val="16"/>
              </w:rPr>
              <w:t>ha</w:t>
            </w:r>
          </w:p>
        </w:tc>
      </w:tr>
      <w:tr w:rsidR="00AC237C" w:rsidRPr="003478AF" w14:paraId="4CC49AF4" w14:textId="77777777" w:rsidTr="00E136AA">
        <w:tc>
          <w:tcPr>
            <w:tcW w:w="1980" w:type="dxa"/>
            <w:vMerge/>
            <w:vAlign w:val="center"/>
          </w:tcPr>
          <w:p w14:paraId="6CE5DCA0" w14:textId="77777777" w:rsidR="00AC237C" w:rsidRPr="003478AF" w:rsidRDefault="00AC237C" w:rsidP="00E136AA">
            <w:pPr>
              <w:ind w:firstLine="18"/>
              <w:jc w:val="left"/>
              <w:rPr>
                <w:rFonts w:cs="Arial"/>
                <w:sz w:val="16"/>
                <w:szCs w:val="16"/>
              </w:rPr>
            </w:pPr>
          </w:p>
        </w:tc>
        <w:tc>
          <w:tcPr>
            <w:tcW w:w="4648" w:type="dxa"/>
            <w:vAlign w:val="center"/>
          </w:tcPr>
          <w:p w14:paraId="494DCAD4" w14:textId="77777777" w:rsidR="00AC237C" w:rsidRPr="003478AF" w:rsidRDefault="00AC237C" w:rsidP="00E136AA">
            <w:pPr>
              <w:ind w:firstLine="18"/>
              <w:jc w:val="left"/>
              <w:rPr>
                <w:rFonts w:cs="Arial"/>
                <w:sz w:val="16"/>
                <w:szCs w:val="16"/>
              </w:rPr>
            </w:pPr>
            <w:r w:rsidRPr="003478AF">
              <w:rPr>
                <w:rFonts w:cs="Arial"/>
                <w:sz w:val="16"/>
                <w:szCs w:val="16"/>
              </w:rPr>
              <w:t>zalesienia użytków rolnych i nieużytków w danym roku</w:t>
            </w:r>
          </w:p>
        </w:tc>
        <w:tc>
          <w:tcPr>
            <w:tcW w:w="0" w:type="auto"/>
            <w:vAlign w:val="center"/>
          </w:tcPr>
          <w:p w14:paraId="486B05A6" w14:textId="77777777" w:rsidR="00AC237C" w:rsidRPr="003478AF" w:rsidRDefault="00AC237C" w:rsidP="00E136AA">
            <w:pPr>
              <w:ind w:firstLine="18"/>
              <w:jc w:val="center"/>
              <w:rPr>
                <w:rFonts w:cs="Arial"/>
                <w:sz w:val="16"/>
                <w:szCs w:val="16"/>
              </w:rPr>
            </w:pPr>
            <w:r w:rsidRPr="003478AF">
              <w:rPr>
                <w:rFonts w:cs="Arial"/>
                <w:sz w:val="16"/>
                <w:szCs w:val="16"/>
              </w:rPr>
              <w:t>ha</w:t>
            </w:r>
          </w:p>
        </w:tc>
      </w:tr>
      <w:tr w:rsidR="00AC237C" w:rsidRPr="003478AF" w14:paraId="69EF1784" w14:textId="77777777" w:rsidTr="00E136AA">
        <w:tc>
          <w:tcPr>
            <w:tcW w:w="1980" w:type="dxa"/>
            <w:vMerge/>
            <w:vAlign w:val="center"/>
          </w:tcPr>
          <w:p w14:paraId="2D7960D4" w14:textId="77777777" w:rsidR="00AC237C" w:rsidRPr="003478AF" w:rsidRDefault="00AC237C" w:rsidP="00E136AA">
            <w:pPr>
              <w:ind w:firstLine="18"/>
              <w:jc w:val="left"/>
              <w:rPr>
                <w:rFonts w:cs="Arial"/>
                <w:sz w:val="16"/>
                <w:szCs w:val="16"/>
              </w:rPr>
            </w:pPr>
          </w:p>
        </w:tc>
        <w:tc>
          <w:tcPr>
            <w:tcW w:w="4648" w:type="dxa"/>
            <w:vAlign w:val="center"/>
          </w:tcPr>
          <w:p w14:paraId="248464DB" w14:textId="77777777" w:rsidR="00AC237C" w:rsidRPr="003478AF" w:rsidRDefault="00AC237C" w:rsidP="00E136AA">
            <w:pPr>
              <w:ind w:firstLine="18"/>
              <w:jc w:val="left"/>
              <w:rPr>
                <w:rFonts w:cs="Arial"/>
                <w:sz w:val="16"/>
                <w:szCs w:val="16"/>
              </w:rPr>
            </w:pPr>
            <w:r w:rsidRPr="003478AF">
              <w:rPr>
                <w:rFonts w:cs="Arial"/>
                <w:sz w:val="16"/>
                <w:szCs w:val="16"/>
              </w:rPr>
              <w:t xml:space="preserve">powierzchnia obszarów prawnie </w:t>
            </w:r>
          </w:p>
          <w:p w14:paraId="061DF61C" w14:textId="77777777" w:rsidR="00AC237C" w:rsidRPr="003478AF" w:rsidRDefault="00AC237C" w:rsidP="00E136AA">
            <w:pPr>
              <w:ind w:firstLine="18"/>
              <w:jc w:val="left"/>
              <w:rPr>
                <w:rFonts w:cs="Arial"/>
                <w:sz w:val="16"/>
                <w:szCs w:val="16"/>
              </w:rPr>
            </w:pPr>
            <w:r w:rsidRPr="003478AF">
              <w:rPr>
                <w:rFonts w:cs="Arial"/>
                <w:sz w:val="16"/>
                <w:szCs w:val="16"/>
              </w:rPr>
              <w:t>chronionych</w:t>
            </w:r>
          </w:p>
        </w:tc>
        <w:tc>
          <w:tcPr>
            <w:tcW w:w="0" w:type="auto"/>
            <w:vAlign w:val="center"/>
          </w:tcPr>
          <w:p w14:paraId="46774DC3" w14:textId="77777777" w:rsidR="00AC237C" w:rsidRPr="003478AF" w:rsidRDefault="00AC237C" w:rsidP="00E136AA">
            <w:pPr>
              <w:ind w:firstLine="18"/>
              <w:jc w:val="center"/>
              <w:rPr>
                <w:rFonts w:cs="Arial"/>
                <w:sz w:val="16"/>
                <w:szCs w:val="16"/>
              </w:rPr>
            </w:pPr>
            <w:r w:rsidRPr="003478AF">
              <w:rPr>
                <w:rFonts w:cs="Arial"/>
                <w:sz w:val="16"/>
                <w:szCs w:val="16"/>
              </w:rPr>
              <w:t>ha</w:t>
            </w:r>
          </w:p>
        </w:tc>
      </w:tr>
      <w:tr w:rsidR="00AC237C" w:rsidRPr="003478AF" w14:paraId="7E34C60D" w14:textId="77777777" w:rsidTr="00E136AA">
        <w:tc>
          <w:tcPr>
            <w:tcW w:w="1980" w:type="dxa"/>
            <w:vMerge/>
            <w:vAlign w:val="center"/>
          </w:tcPr>
          <w:p w14:paraId="14660F74" w14:textId="77777777" w:rsidR="00AC237C" w:rsidRPr="003478AF" w:rsidRDefault="00AC237C" w:rsidP="00E136AA">
            <w:pPr>
              <w:ind w:firstLine="18"/>
              <w:jc w:val="left"/>
              <w:rPr>
                <w:rFonts w:cs="Arial"/>
                <w:sz w:val="16"/>
                <w:szCs w:val="16"/>
              </w:rPr>
            </w:pPr>
          </w:p>
        </w:tc>
        <w:tc>
          <w:tcPr>
            <w:tcW w:w="4648" w:type="dxa"/>
            <w:vAlign w:val="center"/>
          </w:tcPr>
          <w:p w14:paraId="2A6B8938" w14:textId="77777777" w:rsidR="00AC237C" w:rsidRPr="003478AF" w:rsidRDefault="00AC237C" w:rsidP="00E136AA">
            <w:pPr>
              <w:ind w:firstLine="18"/>
              <w:jc w:val="left"/>
              <w:rPr>
                <w:rFonts w:cs="Arial"/>
                <w:sz w:val="16"/>
                <w:szCs w:val="16"/>
              </w:rPr>
            </w:pPr>
            <w:r w:rsidRPr="003478AF">
              <w:rPr>
                <w:rFonts w:cs="Arial"/>
                <w:sz w:val="16"/>
                <w:szCs w:val="16"/>
              </w:rPr>
              <w:t>liczba pomników przyrody</w:t>
            </w:r>
          </w:p>
        </w:tc>
        <w:tc>
          <w:tcPr>
            <w:tcW w:w="0" w:type="auto"/>
            <w:vAlign w:val="center"/>
          </w:tcPr>
          <w:p w14:paraId="7A7BE608" w14:textId="77777777" w:rsidR="00AC237C" w:rsidRPr="003478AF" w:rsidRDefault="00AC237C" w:rsidP="00E136AA">
            <w:pPr>
              <w:ind w:firstLine="18"/>
              <w:jc w:val="center"/>
              <w:rPr>
                <w:rFonts w:cs="Arial"/>
                <w:sz w:val="16"/>
                <w:szCs w:val="16"/>
              </w:rPr>
            </w:pPr>
          </w:p>
        </w:tc>
      </w:tr>
      <w:tr w:rsidR="00AC237C" w:rsidRPr="003478AF" w14:paraId="09CD4874" w14:textId="77777777" w:rsidTr="00E136AA">
        <w:tc>
          <w:tcPr>
            <w:tcW w:w="1980" w:type="dxa"/>
            <w:vMerge/>
            <w:vAlign w:val="center"/>
          </w:tcPr>
          <w:p w14:paraId="499ED862" w14:textId="77777777" w:rsidR="00AC237C" w:rsidRPr="003478AF" w:rsidRDefault="00AC237C" w:rsidP="00E136AA">
            <w:pPr>
              <w:ind w:firstLine="18"/>
              <w:jc w:val="left"/>
              <w:rPr>
                <w:rFonts w:cs="Arial"/>
                <w:sz w:val="16"/>
                <w:szCs w:val="16"/>
              </w:rPr>
            </w:pPr>
          </w:p>
        </w:tc>
        <w:tc>
          <w:tcPr>
            <w:tcW w:w="4648" w:type="dxa"/>
            <w:vAlign w:val="center"/>
          </w:tcPr>
          <w:p w14:paraId="5BA27B01" w14:textId="0AF2E729" w:rsidR="00AC237C" w:rsidRPr="003478AF" w:rsidRDefault="00AC237C" w:rsidP="00E136AA">
            <w:pPr>
              <w:ind w:firstLine="18"/>
              <w:jc w:val="left"/>
              <w:rPr>
                <w:rFonts w:cs="Arial"/>
                <w:sz w:val="16"/>
                <w:szCs w:val="16"/>
              </w:rPr>
            </w:pPr>
            <w:r w:rsidRPr="003478AF">
              <w:rPr>
                <w:rFonts w:cs="Arial"/>
                <w:sz w:val="16"/>
                <w:szCs w:val="16"/>
              </w:rPr>
              <w:t>tereny zielen</w:t>
            </w:r>
            <w:r w:rsidR="00155D24" w:rsidRPr="003478AF">
              <w:rPr>
                <w:rFonts w:cs="Arial"/>
                <w:sz w:val="16"/>
                <w:szCs w:val="16"/>
              </w:rPr>
              <w:t xml:space="preserve">i ogólnodostępnej i osiedlowej </w:t>
            </w:r>
            <w:r w:rsidRPr="003478AF">
              <w:rPr>
                <w:rFonts w:cs="Arial"/>
                <w:sz w:val="16"/>
                <w:szCs w:val="16"/>
              </w:rPr>
              <w:t>ogółem</w:t>
            </w:r>
          </w:p>
        </w:tc>
        <w:tc>
          <w:tcPr>
            <w:tcW w:w="0" w:type="auto"/>
            <w:vAlign w:val="center"/>
          </w:tcPr>
          <w:p w14:paraId="0355B354" w14:textId="77777777" w:rsidR="00AC237C" w:rsidRPr="003478AF" w:rsidRDefault="00AC237C" w:rsidP="00E136AA">
            <w:pPr>
              <w:ind w:firstLine="18"/>
              <w:jc w:val="center"/>
              <w:rPr>
                <w:rFonts w:cs="Arial"/>
                <w:sz w:val="16"/>
                <w:szCs w:val="16"/>
              </w:rPr>
            </w:pPr>
            <w:r w:rsidRPr="003478AF">
              <w:rPr>
                <w:rFonts w:cs="Arial"/>
                <w:sz w:val="16"/>
                <w:szCs w:val="16"/>
              </w:rPr>
              <w:t>zł</w:t>
            </w:r>
          </w:p>
        </w:tc>
      </w:tr>
      <w:tr w:rsidR="00AC237C" w:rsidRPr="003478AF" w14:paraId="1F66BF72" w14:textId="77777777" w:rsidTr="00E136AA">
        <w:tc>
          <w:tcPr>
            <w:tcW w:w="1980" w:type="dxa"/>
            <w:vAlign w:val="center"/>
          </w:tcPr>
          <w:p w14:paraId="1FD48973" w14:textId="4D18AC7B" w:rsidR="00AC237C" w:rsidRPr="003478AF" w:rsidRDefault="00A274D6" w:rsidP="00E136AA">
            <w:pPr>
              <w:ind w:firstLine="18"/>
              <w:jc w:val="left"/>
              <w:rPr>
                <w:rFonts w:cs="Arial"/>
                <w:sz w:val="16"/>
                <w:szCs w:val="16"/>
              </w:rPr>
            </w:pPr>
            <w:r w:rsidRPr="003478AF">
              <w:rPr>
                <w:rFonts w:cs="Arial"/>
                <w:sz w:val="16"/>
                <w:szCs w:val="16"/>
              </w:rPr>
              <w:t xml:space="preserve">Zagrożenie </w:t>
            </w:r>
            <w:r w:rsidR="00155D24" w:rsidRPr="003478AF">
              <w:rPr>
                <w:rFonts w:cs="Arial"/>
                <w:sz w:val="16"/>
                <w:szCs w:val="16"/>
              </w:rPr>
              <w:t>p</w:t>
            </w:r>
            <w:r w:rsidRPr="003478AF">
              <w:rPr>
                <w:rFonts w:cs="Arial"/>
                <w:sz w:val="16"/>
                <w:szCs w:val="16"/>
              </w:rPr>
              <w:t xml:space="preserve">oważnymi </w:t>
            </w:r>
            <w:r w:rsidR="00155D24" w:rsidRPr="003478AF">
              <w:rPr>
                <w:rFonts w:cs="Arial"/>
                <w:sz w:val="16"/>
                <w:szCs w:val="16"/>
              </w:rPr>
              <w:t>a</w:t>
            </w:r>
            <w:r w:rsidRPr="003478AF">
              <w:rPr>
                <w:rFonts w:cs="Arial"/>
                <w:sz w:val="16"/>
                <w:szCs w:val="16"/>
              </w:rPr>
              <w:t>wariami</w:t>
            </w:r>
          </w:p>
        </w:tc>
        <w:tc>
          <w:tcPr>
            <w:tcW w:w="4648" w:type="dxa"/>
            <w:vAlign w:val="center"/>
          </w:tcPr>
          <w:p w14:paraId="37A9B800" w14:textId="77777777" w:rsidR="00AC237C" w:rsidRPr="003478AF" w:rsidRDefault="00AC237C" w:rsidP="00E136AA">
            <w:pPr>
              <w:ind w:firstLine="18"/>
              <w:jc w:val="left"/>
              <w:rPr>
                <w:rFonts w:cs="Arial"/>
                <w:sz w:val="16"/>
                <w:szCs w:val="16"/>
              </w:rPr>
            </w:pPr>
            <w:r w:rsidRPr="003478AF">
              <w:rPr>
                <w:rFonts w:cs="Arial"/>
                <w:sz w:val="16"/>
                <w:szCs w:val="16"/>
              </w:rPr>
              <w:t>liczba poważnych awarii</w:t>
            </w:r>
          </w:p>
        </w:tc>
        <w:tc>
          <w:tcPr>
            <w:tcW w:w="0" w:type="auto"/>
            <w:vAlign w:val="center"/>
          </w:tcPr>
          <w:p w14:paraId="0504ACD3" w14:textId="77777777" w:rsidR="00AC237C" w:rsidRPr="003478AF" w:rsidRDefault="00AC237C" w:rsidP="00E136AA">
            <w:pPr>
              <w:ind w:firstLine="18"/>
              <w:jc w:val="center"/>
              <w:rPr>
                <w:rFonts w:cs="Arial"/>
                <w:sz w:val="16"/>
                <w:szCs w:val="16"/>
              </w:rPr>
            </w:pPr>
          </w:p>
        </w:tc>
      </w:tr>
      <w:tr w:rsidR="00AC237C" w:rsidRPr="003478AF" w14:paraId="0880A001" w14:textId="77777777" w:rsidTr="00E136AA">
        <w:tc>
          <w:tcPr>
            <w:tcW w:w="1980" w:type="dxa"/>
            <w:vMerge w:val="restart"/>
            <w:vAlign w:val="center"/>
          </w:tcPr>
          <w:p w14:paraId="6570AF36" w14:textId="5EF26054" w:rsidR="00AC237C" w:rsidRPr="003478AF" w:rsidRDefault="00A274D6" w:rsidP="00E136AA">
            <w:pPr>
              <w:ind w:firstLine="18"/>
              <w:jc w:val="left"/>
              <w:rPr>
                <w:rFonts w:cs="Arial"/>
                <w:sz w:val="16"/>
                <w:szCs w:val="16"/>
              </w:rPr>
            </w:pPr>
            <w:r w:rsidRPr="003478AF">
              <w:rPr>
                <w:rFonts w:cs="Arial"/>
                <w:sz w:val="16"/>
                <w:szCs w:val="16"/>
              </w:rPr>
              <w:t xml:space="preserve">Wszystkie obszary </w:t>
            </w:r>
            <w:r w:rsidR="00155D24" w:rsidRPr="003478AF">
              <w:rPr>
                <w:rFonts w:cs="Arial"/>
                <w:sz w:val="16"/>
                <w:szCs w:val="16"/>
              </w:rPr>
              <w:t>i</w:t>
            </w:r>
            <w:r w:rsidRPr="003478AF">
              <w:rPr>
                <w:rFonts w:cs="Arial"/>
                <w:sz w:val="16"/>
                <w:szCs w:val="16"/>
              </w:rPr>
              <w:t>nterwencji</w:t>
            </w:r>
          </w:p>
        </w:tc>
        <w:tc>
          <w:tcPr>
            <w:tcW w:w="4648" w:type="dxa"/>
            <w:vAlign w:val="center"/>
          </w:tcPr>
          <w:p w14:paraId="7C0BCBE4" w14:textId="04A890BC" w:rsidR="00AC237C" w:rsidRPr="003478AF" w:rsidRDefault="00AC237C" w:rsidP="00E136AA">
            <w:pPr>
              <w:ind w:firstLine="18"/>
              <w:jc w:val="left"/>
              <w:rPr>
                <w:rFonts w:cs="Arial"/>
                <w:sz w:val="16"/>
                <w:szCs w:val="16"/>
              </w:rPr>
            </w:pPr>
            <w:r w:rsidRPr="003478AF">
              <w:rPr>
                <w:rFonts w:cs="Arial"/>
                <w:sz w:val="16"/>
                <w:szCs w:val="16"/>
              </w:rPr>
              <w:t xml:space="preserve">nakłady na środki trwałe służące ochronie środowiska </w:t>
            </w:r>
            <w:r w:rsidR="00155D24" w:rsidRPr="003478AF">
              <w:rPr>
                <w:rFonts w:cs="Arial"/>
                <w:sz w:val="16"/>
                <w:szCs w:val="16"/>
              </w:rPr>
              <w:br/>
            </w:r>
            <w:r w:rsidRPr="003478AF">
              <w:rPr>
                <w:rFonts w:cs="Arial"/>
                <w:sz w:val="16"/>
                <w:szCs w:val="16"/>
              </w:rPr>
              <w:t>i gospodarce wodnej w przeliczeniu na 1 mieszkańca</w:t>
            </w:r>
          </w:p>
        </w:tc>
        <w:tc>
          <w:tcPr>
            <w:tcW w:w="0" w:type="auto"/>
            <w:vAlign w:val="center"/>
          </w:tcPr>
          <w:p w14:paraId="6B99DB58" w14:textId="77777777" w:rsidR="00AC237C" w:rsidRPr="003478AF" w:rsidRDefault="00AC237C" w:rsidP="00E136AA">
            <w:pPr>
              <w:ind w:firstLine="18"/>
              <w:jc w:val="center"/>
              <w:rPr>
                <w:rFonts w:cs="Arial"/>
                <w:sz w:val="16"/>
                <w:szCs w:val="16"/>
              </w:rPr>
            </w:pPr>
            <w:r w:rsidRPr="003478AF">
              <w:rPr>
                <w:rFonts w:cs="Arial"/>
                <w:sz w:val="16"/>
                <w:szCs w:val="16"/>
              </w:rPr>
              <w:t>zł</w:t>
            </w:r>
          </w:p>
        </w:tc>
      </w:tr>
      <w:tr w:rsidR="00AC237C" w:rsidRPr="003478AF" w14:paraId="7D926D2F" w14:textId="77777777" w:rsidTr="00E136AA">
        <w:tc>
          <w:tcPr>
            <w:tcW w:w="1980" w:type="dxa"/>
            <w:vMerge/>
            <w:vAlign w:val="center"/>
          </w:tcPr>
          <w:p w14:paraId="49870288" w14:textId="77777777" w:rsidR="00AC237C" w:rsidRPr="003478AF" w:rsidRDefault="00AC237C" w:rsidP="00E136AA">
            <w:pPr>
              <w:ind w:firstLine="18"/>
              <w:jc w:val="left"/>
              <w:rPr>
                <w:rFonts w:cs="Arial"/>
                <w:sz w:val="16"/>
                <w:szCs w:val="16"/>
              </w:rPr>
            </w:pPr>
          </w:p>
        </w:tc>
        <w:tc>
          <w:tcPr>
            <w:tcW w:w="4648" w:type="dxa"/>
            <w:vAlign w:val="center"/>
          </w:tcPr>
          <w:p w14:paraId="5B78EFC6" w14:textId="77777777" w:rsidR="00AC237C" w:rsidRPr="003478AF" w:rsidRDefault="00AC237C" w:rsidP="00E136AA">
            <w:pPr>
              <w:ind w:firstLine="18"/>
              <w:jc w:val="left"/>
              <w:rPr>
                <w:rFonts w:cs="Arial"/>
                <w:sz w:val="16"/>
                <w:szCs w:val="16"/>
              </w:rPr>
            </w:pPr>
            <w:r w:rsidRPr="003478AF">
              <w:rPr>
                <w:rFonts w:cs="Arial"/>
                <w:sz w:val="16"/>
                <w:szCs w:val="16"/>
              </w:rPr>
              <w:t xml:space="preserve">wydatki budżetu województwa: </w:t>
            </w:r>
          </w:p>
          <w:p w14:paraId="49936D00" w14:textId="77777777" w:rsidR="00AC237C" w:rsidRPr="003478AF" w:rsidRDefault="00AC237C" w:rsidP="00E136AA">
            <w:pPr>
              <w:ind w:firstLine="18"/>
              <w:jc w:val="left"/>
              <w:rPr>
                <w:rFonts w:cs="Arial"/>
                <w:sz w:val="16"/>
                <w:szCs w:val="16"/>
              </w:rPr>
            </w:pPr>
            <w:r w:rsidRPr="003478AF">
              <w:rPr>
                <w:rFonts w:cs="Arial"/>
                <w:sz w:val="16"/>
                <w:szCs w:val="16"/>
              </w:rPr>
              <w:t xml:space="preserve">- w dziale: Gospodarka komunalna </w:t>
            </w:r>
          </w:p>
          <w:p w14:paraId="37C96C52" w14:textId="77777777" w:rsidR="00AC237C" w:rsidRPr="003478AF" w:rsidRDefault="00AC237C" w:rsidP="00E136AA">
            <w:pPr>
              <w:ind w:firstLine="18"/>
              <w:jc w:val="left"/>
              <w:rPr>
                <w:rFonts w:cs="Arial"/>
                <w:sz w:val="16"/>
                <w:szCs w:val="16"/>
              </w:rPr>
            </w:pPr>
            <w:r w:rsidRPr="003478AF">
              <w:rPr>
                <w:rFonts w:cs="Arial"/>
                <w:sz w:val="16"/>
                <w:szCs w:val="16"/>
              </w:rPr>
              <w:t xml:space="preserve">i ochrona środowiska </w:t>
            </w:r>
          </w:p>
          <w:p w14:paraId="454D5F07" w14:textId="77777777" w:rsidR="00AC237C" w:rsidRPr="003478AF" w:rsidRDefault="00AC237C" w:rsidP="00E136AA">
            <w:pPr>
              <w:ind w:firstLine="18"/>
              <w:jc w:val="left"/>
              <w:rPr>
                <w:rFonts w:cs="Arial"/>
                <w:sz w:val="16"/>
                <w:szCs w:val="16"/>
              </w:rPr>
            </w:pPr>
            <w:r w:rsidRPr="003478AF">
              <w:rPr>
                <w:rFonts w:cs="Arial"/>
                <w:sz w:val="16"/>
                <w:szCs w:val="16"/>
              </w:rPr>
              <w:t xml:space="preserve">- w dziale: Ogrody botaniczne i zoologiczne </w:t>
            </w:r>
          </w:p>
          <w:p w14:paraId="44437632" w14:textId="77777777" w:rsidR="00AC237C" w:rsidRPr="003478AF" w:rsidRDefault="00AC237C" w:rsidP="00E136AA">
            <w:pPr>
              <w:ind w:firstLine="18"/>
              <w:jc w:val="left"/>
              <w:rPr>
                <w:rFonts w:cs="Arial"/>
                <w:sz w:val="16"/>
                <w:szCs w:val="16"/>
              </w:rPr>
            </w:pPr>
            <w:r w:rsidRPr="003478AF">
              <w:rPr>
                <w:rFonts w:cs="Arial"/>
                <w:sz w:val="16"/>
                <w:szCs w:val="16"/>
              </w:rPr>
              <w:t xml:space="preserve">oraz naturalne obszary i obiekty chronionej </w:t>
            </w:r>
          </w:p>
          <w:p w14:paraId="6B1A3028" w14:textId="77777777" w:rsidR="00AC237C" w:rsidRPr="003478AF" w:rsidRDefault="00AC237C" w:rsidP="00E136AA">
            <w:pPr>
              <w:ind w:firstLine="18"/>
              <w:jc w:val="left"/>
              <w:rPr>
                <w:rFonts w:cs="Arial"/>
                <w:sz w:val="16"/>
                <w:szCs w:val="16"/>
              </w:rPr>
            </w:pPr>
            <w:r w:rsidRPr="003478AF">
              <w:rPr>
                <w:rFonts w:cs="Arial"/>
                <w:sz w:val="16"/>
                <w:szCs w:val="16"/>
              </w:rPr>
              <w:t>przyrody</w:t>
            </w:r>
          </w:p>
        </w:tc>
        <w:tc>
          <w:tcPr>
            <w:tcW w:w="0" w:type="auto"/>
            <w:vAlign w:val="center"/>
          </w:tcPr>
          <w:p w14:paraId="66B6601F" w14:textId="77777777" w:rsidR="00AC237C" w:rsidRPr="003478AF" w:rsidRDefault="00AC237C" w:rsidP="00E136AA">
            <w:pPr>
              <w:ind w:firstLine="18"/>
              <w:jc w:val="center"/>
              <w:rPr>
                <w:rFonts w:cs="Arial"/>
                <w:sz w:val="16"/>
                <w:szCs w:val="16"/>
              </w:rPr>
            </w:pPr>
            <w:r w:rsidRPr="003478AF">
              <w:rPr>
                <w:rFonts w:cs="Arial"/>
                <w:sz w:val="16"/>
                <w:szCs w:val="16"/>
              </w:rPr>
              <w:t>zł</w:t>
            </w:r>
          </w:p>
        </w:tc>
      </w:tr>
    </w:tbl>
    <w:p w14:paraId="01EDD238" w14:textId="49C12530" w:rsidR="00155D24" w:rsidRPr="003478AF" w:rsidRDefault="00155D24" w:rsidP="00986D40">
      <w:pPr>
        <w:pStyle w:val="AZRODLO"/>
      </w:pPr>
      <w:r w:rsidRPr="003478AF">
        <w:t xml:space="preserve">Źródło: Opracowanie własne na podstawie danych Programu ochrony środowiska dla województwa </w:t>
      </w:r>
      <w:r w:rsidR="00892CB1" w:rsidRPr="003478AF">
        <w:br/>
      </w:r>
      <w:r w:rsidRPr="003478AF">
        <w:t xml:space="preserve">wielkopolskiego do roku 2030, Ekostandard Pracownia Analiz Środowiskowych, Urząd Marszałkowski </w:t>
      </w:r>
      <w:r w:rsidR="00892CB1" w:rsidRPr="003478AF">
        <w:br/>
      </w:r>
      <w:r w:rsidRPr="003478AF">
        <w:t>Województwa Wielkopolskiego w Poznaniu, 2020</w:t>
      </w:r>
    </w:p>
    <w:p w14:paraId="7108FDD7" w14:textId="77777777" w:rsidR="00E136AA" w:rsidRPr="003478AF" w:rsidRDefault="00E136AA">
      <w:pPr>
        <w:spacing w:line="240" w:lineRule="auto"/>
        <w:ind w:firstLine="0"/>
        <w:jc w:val="left"/>
        <w:rPr>
          <w:rFonts w:eastAsia="Arial" w:cs="Arial"/>
          <w:b/>
          <w:bCs/>
          <w:sz w:val="16"/>
          <w:szCs w:val="16"/>
        </w:rPr>
      </w:pPr>
      <w:r w:rsidRPr="003478AF">
        <w:br w:type="page"/>
      </w:r>
    </w:p>
    <w:p w14:paraId="2AD40D0C" w14:textId="34DBD862" w:rsidR="00AC237C" w:rsidRPr="003478AF" w:rsidRDefault="005D34A6" w:rsidP="00986D40">
      <w:pPr>
        <w:pStyle w:val="ARYCINA"/>
      </w:pPr>
      <w:r w:rsidRPr="003478AF">
        <w:lastRenderedPageBreak/>
        <w:t xml:space="preserve">Tab. </w:t>
      </w:r>
      <w:r w:rsidR="00AC237C" w:rsidRPr="003478AF">
        <w:t xml:space="preserve">3. Wskaźniki GOZ w Wielkopolskim </w:t>
      </w:r>
      <w:r w:rsidR="00155D24" w:rsidRPr="003478AF">
        <w:t xml:space="preserve">Regionalnym </w:t>
      </w:r>
      <w:r w:rsidR="00AC237C" w:rsidRPr="003478AF">
        <w:t xml:space="preserve">Programie Operacyjnym na </w:t>
      </w:r>
      <w:r w:rsidR="00155D24" w:rsidRPr="003478AF">
        <w:t>l</w:t>
      </w:r>
      <w:r w:rsidR="00AC237C" w:rsidRPr="003478AF">
        <w:t>ata 2014-2020</w:t>
      </w:r>
    </w:p>
    <w:tbl>
      <w:tblPr>
        <w:tblStyle w:val="Tabela-Siatka"/>
        <w:tblW w:w="5000" w:type="pct"/>
        <w:tblLook w:val="04A0" w:firstRow="1" w:lastRow="0" w:firstColumn="1" w:lastColumn="0" w:noHBand="0" w:noVBand="1"/>
      </w:tblPr>
      <w:tblGrid>
        <w:gridCol w:w="2875"/>
        <w:gridCol w:w="3963"/>
        <w:gridCol w:w="1429"/>
      </w:tblGrid>
      <w:tr w:rsidR="00AC237C" w:rsidRPr="003478AF" w14:paraId="4387AB8B" w14:textId="77777777" w:rsidTr="00E136AA">
        <w:trPr>
          <w:tblHeader/>
        </w:trPr>
        <w:tc>
          <w:tcPr>
            <w:tcW w:w="1739" w:type="pct"/>
            <w:shd w:val="clear" w:color="auto" w:fill="CCA879"/>
            <w:vAlign w:val="center"/>
          </w:tcPr>
          <w:p w14:paraId="24054606" w14:textId="77777777" w:rsidR="00AC237C" w:rsidRPr="003478AF" w:rsidRDefault="00AC237C" w:rsidP="00E136AA">
            <w:pPr>
              <w:ind w:firstLine="0"/>
              <w:jc w:val="center"/>
              <w:rPr>
                <w:rFonts w:cs="Arial"/>
                <w:b/>
                <w:bCs/>
                <w:sz w:val="16"/>
                <w:szCs w:val="16"/>
              </w:rPr>
            </w:pPr>
            <w:r w:rsidRPr="003478AF">
              <w:rPr>
                <w:rFonts w:cs="Arial"/>
                <w:b/>
                <w:bCs/>
                <w:sz w:val="16"/>
                <w:szCs w:val="16"/>
              </w:rPr>
              <w:t>Obszar interwencji/Działanie</w:t>
            </w:r>
          </w:p>
        </w:tc>
        <w:tc>
          <w:tcPr>
            <w:tcW w:w="2397" w:type="pct"/>
            <w:shd w:val="clear" w:color="auto" w:fill="CCA879"/>
            <w:vAlign w:val="center"/>
          </w:tcPr>
          <w:p w14:paraId="795C24A6" w14:textId="77777777" w:rsidR="00AC237C" w:rsidRPr="003478AF" w:rsidRDefault="00AC237C" w:rsidP="00E136AA">
            <w:pPr>
              <w:ind w:firstLine="0"/>
              <w:jc w:val="center"/>
              <w:rPr>
                <w:rFonts w:cs="Arial"/>
                <w:b/>
                <w:bCs/>
                <w:sz w:val="16"/>
                <w:szCs w:val="16"/>
              </w:rPr>
            </w:pPr>
            <w:r w:rsidRPr="003478AF">
              <w:rPr>
                <w:rFonts w:cs="Arial"/>
                <w:b/>
                <w:bCs/>
                <w:sz w:val="16"/>
                <w:szCs w:val="16"/>
              </w:rPr>
              <w:t>Wskaźnik</w:t>
            </w:r>
          </w:p>
        </w:tc>
        <w:tc>
          <w:tcPr>
            <w:tcW w:w="864" w:type="pct"/>
            <w:shd w:val="clear" w:color="auto" w:fill="CCA879"/>
            <w:vAlign w:val="center"/>
          </w:tcPr>
          <w:p w14:paraId="5EF6F7A7" w14:textId="5282B023" w:rsidR="00AC237C" w:rsidRPr="003478AF" w:rsidRDefault="00AC237C" w:rsidP="00E136AA">
            <w:pPr>
              <w:ind w:firstLine="0"/>
              <w:jc w:val="center"/>
              <w:rPr>
                <w:rFonts w:cs="Arial"/>
                <w:b/>
                <w:bCs/>
                <w:sz w:val="16"/>
                <w:szCs w:val="16"/>
              </w:rPr>
            </w:pPr>
            <w:r w:rsidRPr="003478AF">
              <w:rPr>
                <w:rFonts w:cs="Arial"/>
                <w:b/>
                <w:bCs/>
                <w:sz w:val="16"/>
                <w:szCs w:val="16"/>
              </w:rPr>
              <w:t>Jednostka miary</w:t>
            </w:r>
          </w:p>
        </w:tc>
      </w:tr>
      <w:tr w:rsidR="00AC237C" w:rsidRPr="003478AF" w14:paraId="37F7248C" w14:textId="77777777" w:rsidTr="00175EF7">
        <w:tc>
          <w:tcPr>
            <w:tcW w:w="5000" w:type="pct"/>
            <w:gridSpan w:val="3"/>
          </w:tcPr>
          <w:p w14:paraId="46CCC039" w14:textId="741C9BA5" w:rsidR="00AC237C" w:rsidRPr="003478AF" w:rsidRDefault="00AC237C" w:rsidP="00E136AA">
            <w:pPr>
              <w:ind w:firstLine="0"/>
              <w:jc w:val="center"/>
              <w:rPr>
                <w:rFonts w:cs="Arial"/>
                <w:b/>
                <w:sz w:val="16"/>
                <w:szCs w:val="16"/>
              </w:rPr>
            </w:pPr>
            <w:r w:rsidRPr="003478AF">
              <w:rPr>
                <w:rFonts w:cs="Arial"/>
                <w:b/>
                <w:sz w:val="16"/>
                <w:szCs w:val="16"/>
              </w:rPr>
              <w:t>Oś priorytetowa 3 Energia (EFRR)</w:t>
            </w:r>
          </w:p>
        </w:tc>
      </w:tr>
      <w:tr w:rsidR="00AC237C" w:rsidRPr="003478AF" w14:paraId="677D60E3" w14:textId="77777777" w:rsidTr="00892CB1">
        <w:tc>
          <w:tcPr>
            <w:tcW w:w="1739" w:type="pct"/>
            <w:vMerge w:val="restart"/>
          </w:tcPr>
          <w:p w14:paraId="1F41E089" w14:textId="77777777" w:rsidR="00AC237C" w:rsidRPr="003478AF" w:rsidRDefault="00AC237C" w:rsidP="00684FEE">
            <w:pPr>
              <w:ind w:firstLine="0"/>
              <w:jc w:val="left"/>
              <w:rPr>
                <w:rFonts w:cs="Arial"/>
                <w:sz w:val="16"/>
                <w:szCs w:val="16"/>
              </w:rPr>
            </w:pPr>
            <w:r w:rsidRPr="003478AF">
              <w:rPr>
                <w:rFonts w:cs="Arial"/>
                <w:sz w:val="16"/>
                <w:szCs w:val="16"/>
              </w:rPr>
              <w:t xml:space="preserve">Wytwarzanie i dystrybucja energii ze źródeł odnawialnych </w:t>
            </w:r>
          </w:p>
          <w:p w14:paraId="3D4F9ACC" w14:textId="77777777" w:rsidR="00AC237C" w:rsidRPr="003478AF" w:rsidRDefault="00AC237C" w:rsidP="00684FEE">
            <w:pPr>
              <w:ind w:firstLine="0"/>
              <w:jc w:val="left"/>
              <w:rPr>
                <w:rFonts w:cs="Arial"/>
                <w:sz w:val="16"/>
                <w:szCs w:val="16"/>
              </w:rPr>
            </w:pPr>
          </w:p>
        </w:tc>
        <w:tc>
          <w:tcPr>
            <w:tcW w:w="2397" w:type="pct"/>
          </w:tcPr>
          <w:p w14:paraId="31F25256" w14:textId="77777777" w:rsidR="00AC237C" w:rsidRPr="003478AF" w:rsidRDefault="00AC237C" w:rsidP="00155D24">
            <w:pPr>
              <w:ind w:firstLine="0"/>
              <w:jc w:val="left"/>
              <w:rPr>
                <w:rFonts w:cs="Arial"/>
                <w:sz w:val="16"/>
                <w:szCs w:val="16"/>
              </w:rPr>
            </w:pPr>
            <w:r w:rsidRPr="003478AF">
              <w:rPr>
                <w:rFonts w:cs="Arial"/>
                <w:sz w:val="16"/>
                <w:szCs w:val="16"/>
              </w:rPr>
              <w:t xml:space="preserve">Produkcja energii elektrycznej z nowo wybudowanych/nowych mocy wytwórczych instalacji wykorzystujących OZE </w:t>
            </w:r>
          </w:p>
        </w:tc>
        <w:tc>
          <w:tcPr>
            <w:tcW w:w="864" w:type="pct"/>
          </w:tcPr>
          <w:p w14:paraId="384D78FF" w14:textId="77777777" w:rsidR="00AC237C" w:rsidRPr="003478AF" w:rsidRDefault="00AC237C" w:rsidP="00AC237C">
            <w:pPr>
              <w:ind w:firstLine="0"/>
              <w:jc w:val="center"/>
              <w:rPr>
                <w:rFonts w:cs="Arial"/>
                <w:sz w:val="16"/>
                <w:szCs w:val="16"/>
              </w:rPr>
            </w:pPr>
          </w:p>
          <w:p w14:paraId="0F279A9E" w14:textId="342F76F2" w:rsidR="00AC237C" w:rsidRPr="003478AF" w:rsidRDefault="00AC237C" w:rsidP="00AC237C">
            <w:pPr>
              <w:ind w:firstLine="0"/>
              <w:jc w:val="center"/>
              <w:rPr>
                <w:rFonts w:cs="Arial"/>
                <w:sz w:val="16"/>
                <w:szCs w:val="16"/>
              </w:rPr>
            </w:pPr>
            <w:r w:rsidRPr="003478AF">
              <w:rPr>
                <w:rFonts w:cs="Arial"/>
                <w:sz w:val="16"/>
                <w:szCs w:val="16"/>
              </w:rPr>
              <w:t>MWhe/rok</w:t>
            </w:r>
          </w:p>
          <w:p w14:paraId="7D6359EA" w14:textId="77777777" w:rsidR="00AC237C" w:rsidRPr="003478AF" w:rsidRDefault="00AC237C" w:rsidP="00AC237C">
            <w:pPr>
              <w:ind w:firstLine="0"/>
              <w:jc w:val="center"/>
              <w:rPr>
                <w:rFonts w:cs="Arial"/>
                <w:sz w:val="16"/>
                <w:szCs w:val="16"/>
              </w:rPr>
            </w:pPr>
          </w:p>
        </w:tc>
      </w:tr>
      <w:tr w:rsidR="00AC237C" w:rsidRPr="003478AF" w14:paraId="296A988E" w14:textId="77777777" w:rsidTr="00892CB1">
        <w:tc>
          <w:tcPr>
            <w:tcW w:w="1739" w:type="pct"/>
            <w:vMerge/>
          </w:tcPr>
          <w:p w14:paraId="4FFAE078" w14:textId="77777777" w:rsidR="00AC237C" w:rsidRPr="003478AF" w:rsidRDefault="00AC237C" w:rsidP="00684FEE">
            <w:pPr>
              <w:ind w:firstLine="0"/>
              <w:jc w:val="left"/>
              <w:rPr>
                <w:rFonts w:cs="Arial"/>
                <w:sz w:val="16"/>
                <w:szCs w:val="16"/>
              </w:rPr>
            </w:pPr>
          </w:p>
        </w:tc>
        <w:tc>
          <w:tcPr>
            <w:tcW w:w="2397" w:type="pct"/>
          </w:tcPr>
          <w:p w14:paraId="66824D08" w14:textId="77777777" w:rsidR="00AC237C" w:rsidRPr="003478AF" w:rsidRDefault="00AC237C" w:rsidP="00155D24">
            <w:pPr>
              <w:ind w:firstLine="0"/>
              <w:jc w:val="left"/>
              <w:rPr>
                <w:rFonts w:cs="Arial"/>
                <w:sz w:val="16"/>
                <w:szCs w:val="16"/>
              </w:rPr>
            </w:pPr>
            <w:r w:rsidRPr="003478AF">
              <w:rPr>
                <w:rFonts w:cs="Arial"/>
                <w:sz w:val="16"/>
                <w:szCs w:val="16"/>
              </w:rPr>
              <w:t xml:space="preserve">Produkcja energii cieplnej z nowo wybudowanych/nowych mocy wytwórczych instalacji wykorzystujących OZE </w:t>
            </w:r>
          </w:p>
        </w:tc>
        <w:tc>
          <w:tcPr>
            <w:tcW w:w="864" w:type="pct"/>
          </w:tcPr>
          <w:p w14:paraId="2FD22C42" w14:textId="1BF2E38E" w:rsidR="00AC237C" w:rsidRPr="003478AF" w:rsidRDefault="00AC237C" w:rsidP="00AC237C">
            <w:pPr>
              <w:ind w:firstLine="0"/>
              <w:jc w:val="center"/>
              <w:rPr>
                <w:rFonts w:cs="Arial"/>
                <w:sz w:val="16"/>
                <w:szCs w:val="16"/>
              </w:rPr>
            </w:pPr>
            <w:r w:rsidRPr="003478AF">
              <w:rPr>
                <w:rFonts w:cs="Arial"/>
                <w:sz w:val="16"/>
                <w:szCs w:val="16"/>
              </w:rPr>
              <w:t>MWht/rok</w:t>
            </w:r>
          </w:p>
          <w:p w14:paraId="2CF8BF96" w14:textId="77777777" w:rsidR="00AC237C" w:rsidRPr="003478AF" w:rsidRDefault="00AC237C" w:rsidP="00AC237C">
            <w:pPr>
              <w:ind w:firstLine="0"/>
              <w:jc w:val="center"/>
              <w:rPr>
                <w:rFonts w:cs="Arial"/>
                <w:sz w:val="16"/>
                <w:szCs w:val="16"/>
              </w:rPr>
            </w:pPr>
          </w:p>
          <w:p w14:paraId="5DDAAEA3" w14:textId="77777777" w:rsidR="00AC237C" w:rsidRPr="003478AF" w:rsidRDefault="00AC237C" w:rsidP="00AC237C">
            <w:pPr>
              <w:ind w:firstLine="0"/>
              <w:jc w:val="center"/>
              <w:rPr>
                <w:rFonts w:cs="Arial"/>
                <w:sz w:val="16"/>
                <w:szCs w:val="16"/>
              </w:rPr>
            </w:pPr>
          </w:p>
        </w:tc>
      </w:tr>
      <w:tr w:rsidR="00AC237C" w:rsidRPr="003478AF" w14:paraId="40E5EDA1" w14:textId="77777777" w:rsidTr="00892CB1">
        <w:tc>
          <w:tcPr>
            <w:tcW w:w="1739" w:type="pct"/>
            <w:vMerge/>
          </w:tcPr>
          <w:p w14:paraId="796B444B" w14:textId="77777777" w:rsidR="00AC237C" w:rsidRPr="003478AF" w:rsidRDefault="00AC237C" w:rsidP="00684FEE">
            <w:pPr>
              <w:ind w:firstLine="0"/>
              <w:jc w:val="left"/>
              <w:rPr>
                <w:rFonts w:cs="Arial"/>
                <w:sz w:val="16"/>
                <w:szCs w:val="16"/>
              </w:rPr>
            </w:pPr>
          </w:p>
        </w:tc>
        <w:tc>
          <w:tcPr>
            <w:tcW w:w="2397" w:type="pct"/>
          </w:tcPr>
          <w:p w14:paraId="2327E0BE" w14:textId="77777777" w:rsidR="00AC237C" w:rsidRPr="003478AF" w:rsidRDefault="00AC237C" w:rsidP="00155D24">
            <w:pPr>
              <w:ind w:firstLine="0"/>
              <w:jc w:val="left"/>
              <w:rPr>
                <w:rFonts w:cs="Arial"/>
                <w:sz w:val="16"/>
                <w:szCs w:val="16"/>
              </w:rPr>
            </w:pPr>
            <w:r w:rsidRPr="003478AF">
              <w:rPr>
                <w:rFonts w:cs="Arial"/>
                <w:sz w:val="16"/>
                <w:szCs w:val="16"/>
              </w:rPr>
              <w:t xml:space="preserve">Szacowany roczny spadek emisji gazów cieplarnianych </w:t>
            </w:r>
          </w:p>
        </w:tc>
        <w:tc>
          <w:tcPr>
            <w:tcW w:w="864" w:type="pct"/>
          </w:tcPr>
          <w:p w14:paraId="41E9C98D" w14:textId="628798F8" w:rsidR="00AC237C" w:rsidRPr="003478AF" w:rsidRDefault="00AC237C" w:rsidP="00892CB1">
            <w:pPr>
              <w:ind w:firstLine="0"/>
              <w:jc w:val="center"/>
              <w:rPr>
                <w:rFonts w:cs="Arial"/>
                <w:sz w:val="16"/>
                <w:szCs w:val="16"/>
              </w:rPr>
            </w:pPr>
            <w:r w:rsidRPr="003478AF">
              <w:rPr>
                <w:rFonts w:cs="Arial"/>
                <w:sz w:val="16"/>
                <w:szCs w:val="16"/>
              </w:rPr>
              <w:t>tony równoważnika CO</w:t>
            </w:r>
            <w:r w:rsidRPr="003478AF">
              <w:rPr>
                <w:rFonts w:cs="Arial"/>
                <w:sz w:val="16"/>
                <w:szCs w:val="16"/>
                <w:vertAlign w:val="subscript"/>
              </w:rPr>
              <w:t>2</w:t>
            </w:r>
          </w:p>
        </w:tc>
      </w:tr>
      <w:tr w:rsidR="00AC237C" w:rsidRPr="003478AF" w14:paraId="5191D723" w14:textId="77777777" w:rsidTr="00892CB1">
        <w:tc>
          <w:tcPr>
            <w:tcW w:w="1739" w:type="pct"/>
            <w:vMerge/>
          </w:tcPr>
          <w:p w14:paraId="4FDA174C" w14:textId="77777777" w:rsidR="00AC237C" w:rsidRPr="003478AF" w:rsidRDefault="00AC237C" w:rsidP="00684FEE">
            <w:pPr>
              <w:ind w:firstLine="0"/>
              <w:jc w:val="left"/>
              <w:rPr>
                <w:rFonts w:cs="Arial"/>
                <w:sz w:val="16"/>
                <w:szCs w:val="16"/>
              </w:rPr>
            </w:pPr>
          </w:p>
        </w:tc>
        <w:tc>
          <w:tcPr>
            <w:tcW w:w="2397" w:type="pct"/>
          </w:tcPr>
          <w:p w14:paraId="7CBCA854" w14:textId="77777777" w:rsidR="00AC237C" w:rsidRPr="003478AF" w:rsidRDefault="00AC237C" w:rsidP="00155D24">
            <w:pPr>
              <w:ind w:firstLine="0"/>
              <w:jc w:val="left"/>
              <w:rPr>
                <w:rFonts w:cs="Arial"/>
                <w:sz w:val="16"/>
                <w:szCs w:val="16"/>
              </w:rPr>
            </w:pPr>
            <w:r w:rsidRPr="003478AF">
              <w:rPr>
                <w:rFonts w:cs="Arial"/>
                <w:sz w:val="16"/>
                <w:szCs w:val="16"/>
              </w:rPr>
              <w:t xml:space="preserve">Dodatkowa zdolność wytwarzania energii ze źródeł odnawialnych </w:t>
            </w:r>
          </w:p>
        </w:tc>
        <w:tc>
          <w:tcPr>
            <w:tcW w:w="864" w:type="pct"/>
          </w:tcPr>
          <w:p w14:paraId="6C92AA08" w14:textId="77777777" w:rsidR="00AC237C" w:rsidRPr="003478AF" w:rsidRDefault="00AC237C" w:rsidP="00AC237C">
            <w:pPr>
              <w:ind w:firstLine="0"/>
              <w:jc w:val="center"/>
              <w:rPr>
                <w:rFonts w:cs="Arial"/>
                <w:sz w:val="16"/>
                <w:szCs w:val="16"/>
              </w:rPr>
            </w:pPr>
            <w:r w:rsidRPr="003478AF">
              <w:rPr>
                <w:rFonts w:cs="Arial"/>
                <w:sz w:val="16"/>
                <w:szCs w:val="16"/>
              </w:rPr>
              <w:t>MW</w:t>
            </w:r>
          </w:p>
        </w:tc>
      </w:tr>
      <w:tr w:rsidR="00AC237C" w:rsidRPr="003478AF" w14:paraId="59C0BD2D" w14:textId="77777777" w:rsidTr="00892CB1">
        <w:tc>
          <w:tcPr>
            <w:tcW w:w="1739" w:type="pct"/>
            <w:vMerge w:val="restart"/>
          </w:tcPr>
          <w:p w14:paraId="62F738A6" w14:textId="77777777" w:rsidR="00AC237C" w:rsidRPr="003478AF" w:rsidRDefault="00AC237C" w:rsidP="00684FEE">
            <w:pPr>
              <w:ind w:firstLine="0"/>
              <w:jc w:val="left"/>
              <w:rPr>
                <w:rFonts w:cs="Arial"/>
                <w:sz w:val="16"/>
                <w:szCs w:val="16"/>
              </w:rPr>
            </w:pPr>
            <w:r w:rsidRPr="003478AF">
              <w:rPr>
                <w:rFonts w:cs="Arial"/>
                <w:sz w:val="16"/>
                <w:szCs w:val="16"/>
              </w:rPr>
              <w:t xml:space="preserve">Poprawa efektywności energetycznej w sektorze publicznym i mieszkaniowym </w:t>
            </w:r>
          </w:p>
          <w:p w14:paraId="41451777" w14:textId="77777777" w:rsidR="00AC237C" w:rsidRPr="003478AF" w:rsidRDefault="00AC237C" w:rsidP="00684FEE">
            <w:pPr>
              <w:ind w:firstLine="0"/>
              <w:jc w:val="left"/>
              <w:rPr>
                <w:rFonts w:cs="Arial"/>
                <w:sz w:val="16"/>
                <w:szCs w:val="16"/>
              </w:rPr>
            </w:pPr>
          </w:p>
        </w:tc>
        <w:tc>
          <w:tcPr>
            <w:tcW w:w="2397" w:type="pct"/>
          </w:tcPr>
          <w:p w14:paraId="12A1FDEF" w14:textId="77777777" w:rsidR="00AC237C" w:rsidRPr="003478AF" w:rsidRDefault="00AC237C" w:rsidP="00155D24">
            <w:pPr>
              <w:ind w:firstLine="0"/>
              <w:jc w:val="left"/>
              <w:rPr>
                <w:rFonts w:cs="Arial"/>
                <w:sz w:val="16"/>
                <w:szCs w:val="16"/>
              </w:rPr>
            </w:pPr>
            <w:r w:rsidRPr="003478AF">
              <w:rPr>
                <w:rFonts w:cs="Arial"/>
                <w:sz w:val="16"/>
                <w:szCs w:val="16"/>
              </w:rPr>
              <w:t xml:space="preserve">Zmniejszenie rocznego zużycia energii pierwotnej w budynkach publicznych </w:t>
            </w:r>
          </w:p>
        </w:tc>
        <w:tc>
          <w:tcPr>
            <w:tcW w:w="864" w:type="pct"/>
          </w:tcPr>
          <w:p w14:paraId="6B977B29" w14:textId="22A119BA" w:rsidR="00AC237C" w:rsidRPr="003478AF" w:rsidRDefault="00AC237C" w:rsidP="00AC237C">
            <w:pPr>
              <w:ind w:firstLine="0"/>
              <w:jc w:val="center"/>
              <w:rPr>
                <w:rFonts w:cs="Arial"/>
                <w:sz w:val="16"/>
                <w:szCs w:val="16"/>
              </w:rPr>
            </w:pPr>
            <w:r w:rsidRPr="003478AF">
              <w:rPr>
                <w:rFonts w:cs="Arial"/>
                <w:sz w:val="16"/>
                <w:szCs w:val="16"/>
              </w:rPr>
              <w:t>kWh/rok</w:t>
            </w:r>
          </w:p>
          <w:p w14:paraId="2D5CBCB8" w14:textId="77777777" w:rsidR="00AC237C" w:rsidRPr="003478AF" w:rsidRDefault="00AC237C" w:rsidP="00AC237C">
            <w:pPr>
              <w:ind w:firstLine="0"/>
              <w:jc w:val="center"/>
              <w:rPr>
                <w:rFonts w:cs="Arial"/>
                <w:sz w:val="16"/>
                <w:szCs w:val="16"/>
              </w:rPr>
            </w:pPr>
          </w:p>
        </w:tc>
      </w:tr>
      <w:tr w:rsidR="00AC237C" w:rsidRPr="003478AF" w14:paraId="457B4A9A" w14:textId="77777777" w:rsidTr="00892CB1">
        <w:tc>
          <w:tcPr>
            <w:tcW w:w="1739" w:type="pct"/>
            <w:vMerge/>
          </w:tcPr>
          <w:p w14:paraId="52265B7C" w14:textId="77777777" w:rsidR="00AC237C" w:rsidRPr="003478AF" w:rsidRDefault="00AC237C" w:rsidP="00684FEE">
            <w:pPr>
              <w:ind w:firstLine="0"/>
              <w:jc w:val="left"/>
              <w:rPr>
                <w:rFonts w:cs="Arial"/>
                <w:sz w:val="16"/>
                <w:szCs w:val="16"/>
              </w:rPr>
            </w:pPr>
          </w:p>
        </w:tc>
        <w:tc>
          <w:tcPr>
            <w:tcW w:w="2397" w:type="pct"/>
          </w:tcPr>
          <w:p w14:paraId="249092B8" w14:textId="77777777" w:rsidR="00AC237C" w:rsidRPr="003478AF" w:rsidRDefault="00AC237C" w:rsidP="00155D24">
            <w:pPr>
              <w:ind w:firstLine="0"/>
              <w:jc w:val="left"/>
              <w:rPr>
                <w:rFonts w:cs="Arial"/>
                <w:sz w:val="16"/>
                <w:szCs w:val="16"/>
              </w:rPr>
            </w:pPr>
            <w:r w:rsidRPr="003478AF">
              <w:rPr>
                <w:rFonts w:cs="Arial"/>
                <w:sz w:val="16"/>
                <w:szCs w:val="16"/>
              </w:rPr>
              <w:t xml:space="preserve">Ilość zaoszczędzonej energii cieplnej </w:t>
            </w:r>
          </w:p>
          <w:p w14:paraId="59595B2F" w14:textId="77777777" w:rsidR="00AC237C" w:rsidRPr="003478AF" w:rsidRDefault="00AC237C" w:rsidP="00155D24">
            <w:pPr>
              <w:ind w:firstLine="0"/>
              <w:jc w:val="left"/>
              <w:rPr>
                <w:rFonts w:cs="Arial"/>
                <w:sz w:val="16"/>
                <w:szCs w:val="16"/>
              </w:rPr>
            </w:pPr>
          </w:p>
        </w:tc>
        <w:tc>
          <w:tcPr>
            <w:tcW w:w="864" w:type="pct"/>
          </w:tcPr>
          <w:p w14:paraId="540BF8B5" w14:textId="1964BCE1" w:rsidR="00AC237C" w:rsidRPr="003478AF" w:rsidRDefault="00AC237C" w:rsidP="00AC237C">
            <w:pPr>
              <w:ind w:firstLine="0"/>
              <w:jc w:val="center"/>
              <w:rPr>
                <w:rFonts w:cs="Arial"/>
                <w:sz w:val="16"/>
                <w:szCs w:val="16"/>
              </w:rPr>
            </w:pPr>
            <w:r w:rsidRPr="003478AF">
              <w:rPr>
                <w:rFonts w:cs="Arial"/>
                <w:sz w:val="16"/>
                <w:szCs w:val="16"/>
              </w:rPr>
              <w:t>GJ/rok</w:t>
            </w:r>
          </w:p>
          <w:p w14:paraId="6A512167" w14:textId="77777777" w:rsidR="00AC237C" w:rsidRPr="003478AF" w:rsidRDefault="00AC237C" w:rsidP="00AC237C">
            <w:pPr>
              <w:ind w:firstLine="0"/>
              <w:jc w:val="center"/>
              <w:rPr>
                <w:rFonts w:cs="Arial"/>
                <w:sz w:val="16"/>
                <w:szCs w:val="16"/>
              </w:rPr>
            </w:pPr>
          </w:p>
        </w:tc>
      </w:tr>
      <w:tr w:rsidR="00AC237C" w:rsidRPr="003478AF" w14:paraId="0CEE03FC" w14:textId="77777777" w:rsidTr="00892CB1">
        <w:trPr>
          <w:trHeight w:val="470"/>
        </w:trPr>
        <w:tc>
          <w:tcPr>
            <w:tcW w:w="1739" w:type="pct"/>
            <w:vMerge/>
          </w:tcPr>
          <w:p w14:paraId="25E9DC26" w14:textId="77777777" w:rsidR="00AC237C" w:rsidRPr="003478AF" w:rsidRDefault="00AC237C" w:rsidP="00684FEE">
            <w:pPr>
              <w:ind w:firstLine="0"/>
              <w:jc w:val="left"/>
              <w:rPr>
                <w:rFonts w:cs="Arial"/>
                <w:sz w:val="16"/>
                <w:szCs w:val="16"/>
              </w:rPr>
            </w:pPr>
          </w:p>
        </w:tc>
        <w:tc>
          <w:tcPr>
            <w:tcW w:w="2397" w:type="pct"/>
          </w:tcPr>
          <w:p w14:paraId="17AF6E5B" w14:textId="77777777" w:rsidR="00AC237C" w:rsidRPr="003478AF" w:rsidRDefault="00AC237C" w:rsidP="00155D24">
            <w:pPr>
              <w:ind w:firstLine="0"/>
              <w:jc w:val="left"/>
              <w:rPr>
                <w:rFonts w:cs="Arial"/>
                <w:sz w:val="16"/>
                <w:szCs w:val="16"/>
              </w:rPr>
            </w:pPr>
            <w:r w:rsidRPr="003478AF">
              <w:rPr>
                <w:rFonts w:cs="Arial"/>
                <w:sz w:val="16"/>
                <w:szCs w:val="16"/>
              </w:rPr>
              <w:t>Ilość zaoszczędzonej energii elektrycznej</w:t>
            </w:r>
          </w:p>
        </w:tc>
        <w:tc>
          <w:tcPr>
            <w:tcW w:w="864" w:type="pct"/>
          </w:tcPr>
          <w:p w14:paraId="402956A6" w14:textId="77777777" w:rsidR="00AC237C" w:rsidRPr="003478AF" w:rsidRDefault="00AC237C" w:rsidP="00AC237C">
            <w:pPr>
              <w:ind w:firstLine="0"/>
              <w:jc w:val="center"/>
              <w:rPr>
                <w:rFonts w:cs="Arial"/>
                <w:sz w:val="16"/>
                <w:szCs w:val="16"/>
              </w:rPr>
            </w:pPr>
            <w:r w:rsidRPr="003478AF">
              <w:rPr>
                <w:rFonts w:cs="Arial"/>
                <w:sz w:val="16"/>
                <w:szCs w:val="16"/>
              </w:rPr>
              <w:t>MWh/rok</w:t>
            </w:r>
          </w:p>
        </w:tc>
      </w:tr>
      <w:tr w:rsidR="00AC237C" w:rsidRPr="003478AF" w14:paraId="13D7B436" w14:textId="77777777" w:rsidTr="00892CB1">
        <w:tc>
          <w:tcPr>
            <w:tcW w:w="1739" w:type="pct"/>
            <w:vMerge/>
          </w:tcPr>
          <w:p w14:paraId="221BA0AF" w14:textId="77777777" w:rsidR="00AC237C" w:rsidRPr="003478AF" w:rsidRDefault="00AC237C" w:rsidP="00684FEE">
            <w:pPr>
              <w:ind w:firstLine="0"/>
              <w:jc w:val="left"/>
              <w:rPr>
                <w:rFonts w:cs="Arial"/>
                <w:sz w:val="16"/>
                <w:szCs w:val="16"/>
              </w:rPr>
            </w:pPr>
          </w:p>
        </w:tc>
        <w:tc>
          <w:tcPr>
            <w:tcW w:w="2397" w:type="pct"/>
          </w:tcPr>
          <w:p w14:paraId="18F00DA7" w14:textId="77777777" w:rsidR="00AC237C" w:rsidRPr="003478AF" w:rsidRDefault="00AC237C" w:rsidP="00155D24">
            <w:pPr>
              <w:ind w:firstLine="0"/>
              <w:jc w:val="left"/>
              <w:rPr>
                <w:rFonts w:cs="Arial"/>
                <w:sz w:val="16"/>
                <w:szCs w:val="16"/>
              </w:rPr>
            </w:pPr>
            <w:r w:rsidRPr="003478AF">
              <w:rPr>
                <w:rFonts w:cs="Arial"/>
                <w:sz w:val="16"/>
                <w:szCs w:val="16"/>
              </w:rPr>
              <w:t xml:space="preserve">Szacowany roczny spadek emisji gazów cieplarnianych </w:t>
            </w:r>
          </w:p>
        </w:tc>
        <w:tc>
          <w:tcPr>
            <w:tcW w:w="864" w:type="pct"/>
          </w:tcPr>
          <w:p w14:paraId="4C487C5C" w14:textId="48AEC214" w:rsidR="00AC237C" w:rsidRPr="003478AF" w:rsidRDefault="00AC237C" w:rsidP="00AC237C">
            <w:pPr>
              <w:ind w:firstLine="0"/>
              <w:jc w:val="center"/>
              <w:rPr>
                <w:rFonts w:cs="Arial"/>
                <w:sz w:val="16"/>
                <w:szCs w:val="16"/>
              </w:rPr>
            </w:pPr>
            <w:r w:rsidRPr="003478AF">
              <w:rPr>
                <w:rFonts w:cs="Arial"/>
                <w:sz w:val="16"/>
                <w:szCs w:val="16"/>
              </w:rPr>
              <w:t>tony równoważnika CO</w:t>
            </w:r>
            <w:r w:rsidRPr="003478AF">
              <w:rPr>
                <w:rFonts w:cs="Arial"/>
                <w:sz w:val="16"/>
                <w:szCs w:val="16"/>
                <w:vertAlign w:val="subscript"/>
              </w:rPr>
              <w:t>2</w:t>
            </w:r>
          </w:p>
        </w:tc>
      </w:tr>
      <w:tr w:rsidR="00AC237C" w:rsidRPr="003478AF" w14:paraId="2245DFC1" w14:textId="77777777" w:rsidTr="00892CB1">
        <w:tc>
          <w:tcPr>
            <w:tcW w:w="1739" w:type="pct"/>
            <w:vMerge/>
          </w:tcPr>
          <w:p w14:paraId="5529267A" w14:textId="77777777" w:rsidR="00AC237C" w:rsidRPr="003478AF" w:rsidRDefault="00AC237C" w:rsidP="00684FEE">
            <w:pPr>
              <w:ind w:firstLine="0"/>
              <w:jc w:val="left"/>
              <w:rPr>
                <w:rFonts w:cs="Arial"/>
                <w:sz w:val="16"/>
                <w:szCs w:val="16"/>
              </w:rPr>
            </w:pPr>
          </w:p>
        </w:tc>
        <w:tc>
          <w:tcPr>
            <w:tcW w:w="2397" w:type="pct"/>
          </w:tcPr>
          <w:p w14:paraId="26B5EC44" w14:textId="77777777" w:rsidR="00AC237C" w:rsidRPr="003478AF" w:rsidRDefault="00AC237C" w:rsidP="00155D24">
            <w:pPr>
              <w:ind w:firstLine="0"/>
              <w:jc w:val="left"/>
              <w:rPr>
                <w:rFonts w:cs="Arial"/>
                <w:sz w:val="16"/>
                <w:szCs w:val="16"/>
              </w:rPr>
            </w:pPr>
            <w:r w:rsidRPr="003478AF">
              <w:rPr>
                <w:rFonts w:cs="Arial"/>
                <w:sz w:val="16"/>
                <w:szCs w:val="16"/>
              </w:rPr>
              <w:t xml:space="preserve">Liczba zmodernizowanych energetycznie budynków </w:t>
            </w:r>
          </w:p>
        </w:tc>
        <w:tc>
          <w:tcPr>
            <w:tcW w:w="864" w:type="pct"/>
          </w:tcPr>
          <w:p w14:paraId="2C35AD4B" w14:textId="28C77226" w:rsidR="00AC237C" w:rsidRPr="003478AF" w:rsidRDefault="00892CB1" w:rsidP="00AC237C">
            <w:pPr>
              <w:ind w:firstLine="0"/>
              <w:jc w:val="center"/>
              <w:rPr>
                <w:rFonts w:cs="Arial"/>
                <w:sz w:val="16"/>
                <w:szCs w:val="16"/>
              </w:rPr>
            </w:pPr>
            <w:r w:rsidRPr="003478AF">
              <w:rPr>
                <w:rFonts w:cs="Arial"/>
                <w:sz w:val="16"/>
                <w:szCs w:val="16"/>
              </w:rPr>
              <w:t>s</w:t>
            </w:r>
            <w:r w:rsidR="00AC237C" w:rsidRPr="003478AF">
              <w:rPr>
                <w:rFonts w:cs="Arial"/>
                <w:sz w:val="16"/>
                <w:szCs w:val="16"/>
              </w:rPr>
              <w:t>zt.</w:t>
            </w:r>
          </w:p>
        </w:tc>
      </w:tr>
      <w:tr w:rsidR="00AC237C" w:rsidRPr="003478AF" w14:paraId="37D1A417" w14:textId="77777777" w:rsidTr="00892CB1">
        <w:tc>
          <w:tcPr>
            <w:tcW w:w="1739" w:type="pct"/>
            <w:vMerge/>
          </w:tcPr>
          <w:p w14:paraId="6DA5A9DB" w14:textId="77777777" w:rsidR="00AC237C" w:rsidRPr="003478AF" w:rsidRDefault="00AC237C" w:rsidP="00684FEE">
            <w:pPr>
              <w:ind w:firstLine="0"/>
              <w:jc w:val="left"/>
              <w:rPr>
                <w:rFonts w:cs="Arial"/>
                <w:sz w:val="16"/>
                <w:szCs w:val="16"/>
              </w:rPr>
            </w:pPr>
          </w:p>
        </w:tc>
        <w:tc>
          <w:tcPr>
            <w:tcW w:w="2397" w:type="pct"/>
          </w:tcPr>
          <w:p w14:paraId="07721FFD" w14:textId="77777777" w:rsidR="00AC237C" w:rsidRPr="003478AF" w:rsidRDefault="00AC237C" w:rsidP="00155D24">
            <w:pPr>
              <w:ind w:firstLine="0"/>
              <w:jc w:val="left"/>
              <w:rPr>
                <w:rFonts w:cs="Arial"/>
                <w:sz w:val="16"/>
                <w:szCs w:val="16"/>
              </w:rPr>
            </w:pPr>
            <w:r w:rsidRPr="003478AF">
              <w:rPr>
                <w:rFonts w:cs="Arial"/>
                <w:sz w:val="16"/>
                <w:szCs w:val="16"/>
              </w:rPr>
              <w:t xml:space="preserve">Liczba gospodarstw domowych z lepszą klasą zużycia energii </w:t>
            </w:r>
          </w:p>
        </w:tc>
        <w:tc>
          <w:tcPr>
            <w:tcW w:w="864" w:type="pct"/>
          </w:tcPr>
          <w:p w14:paraId="4041CFE7" w14:textId="1804A3D9" w:rsidR="00AC237C" w:rsidRPr="003478AF" w:rsidRDefault="00892CB1" w:rsidP="00AC237C">
            <w:pPr>
              <w:ind w:firstLine="0"/>
              <w:jc w:val="center"/>
              <w:rPr>
                <w:rFonts w:cs="Arial"/>
                <w:sz w:val="16"/>
                <w:szCs w:val="16"/>
              </w:rPr>
            </w:pPr>
            <w:r w:rsidRPr="003478AF">
              <w:rPr>
                <w:rFonts w:cs="Arial"/>
                <w:sz w:val="16"/>
                <w:szCs w:val="16"/>
              </w:rPr>
              <w:t>s</w:t>
            </w:r>
            <w:r w:rsidR="00AC237C" w:rsidRPr="003478AF">
              <w:rPr>
                <w:rFonts w:cs="Arial"/>
                <w:sz w:val="16"/>
                <w:szCs w:val="16"/>
              </w:rPr>
              <w:t>zt.</w:t>
            </w:r>
          </w:p>
        </w:tc>
      </w:tr>
      <w:tr w:rsidR="00AC237C" w:rsidRPr="003478AF" w14:paraId="2989F0B5" w14:textId="77777777" w:rsidTr="00892CB1">
        <w:tc>
          <w:tcPr>
            <w:tcW w:w="1739" w:type="pct"/>
            <w:vMerge w:val="restart"/>
          </w:tcPr>
          <w:p w14:paraId="0090D1AA" w14:textId="77777777" w:rsidR="00AC237C" w:rsidRPr="003478AF" w:rsidRDefault="00AC237C" w:rsidP="00684FEE">
            <w:pPr>
              <w:ind w:firstLine="0"/>
              <w:jc w:val="left"/>
              <w:rPr>
                <w:rFonts w:cs="Arial"/>
                <w:sz w:val="16"/>
                <w:szCs w:val="16"/>
              </w:rPr>
            </w:pPr>
            <w:r w:rsidRPr="003478AF">
              <w:rPr>
                <w:rFonts w:cs="Arial"/>
                <w:sz w:val="16"/>
                <w:szCs w:val="16"/>
              </w:rPr>
              <w:t xml:space="preserve">Wspieranie strategii niskoemisyjnych w tym mobilność miejska </w:t>
            </w:r>
          </w:p>
        </w:tc>
        <w:tc>
          <w:tcPr>
            <w:tcW w:w="2397" w:type="pct"/>
          </w:tcPr>
          <w:p w14:paraId="4EC808ED" w14:textId="77777777" w:rsidR="00AC237C" w:rsidRPr="003478AF" w:rsidRDefault="00AC237C" w:rsidP="00155D24">
            <w:pPr>
              <w:ind w:firstLine="0"/>
              <w:jc w:val="left"/>
              <w:rPr>
                <w:rFonts w:cs="Arial"/>
                <w:sz w:val="16"/>
                <w:szCs w:val="16"/>
              </w:rPr>
            </w:pPr>
            <w:r w:rsidRPr="003478AF">
              <w:rPr>
                <w:rFonts w:cs="Arial"/>
                <w:sz w:val="16"/>
                <w:szCs w:val="16"/>
              </w:rPr>
              <w:t xml:space="preserve">Szacowany roczny spadek emisji gazów cieplarnianych </w:t>
            </w:r>
          </w:p>
        </w:tc>
        <w:tc>
          <w:tcPr>
            <w:tcW w:w="864" w:type="pct"/>
          </w:tcPr>
          <w:p w14:paraId="6B0B3F58" w14:textId="77777777" w:rsidR="00AC237C" w:rsidRPr="003478AF" w:rsidRDefault="00AC237C" w:rsidP="00AC237C">
            <w:pPr>
              <w:ind w:firstLine="0"/>
              <w:jc w:val="center"/>
              <w:rPr>
                <w:rFonts w:cs="Arial"/>
                <w:sz w:val="16"/>
                <w:szCs w:val="16"/>
              </w:rPr>
            </w:pPr>
            <w:r w:rsidRPr="003478AF">
              <w:rPr>
                <w:rFonts w:cs="Arial"/>
                <w:sz w:val="16"/>
                <w:szCs w:val="16"/>
              </w:rPr>
              <w:t>tony równoważnika CO</w:t>
            </w:r>
            <w:r w:rsidRPr="003478AF">
              <w:rPr>
                <w:rFonts w:cs="Arial"/>
                <w:sz w:val="16"/>
                <w:szCs w:val="16"/>
                <w:vertAlign w:val="subscript"/>
              </w:rPr>
              <w:t>2</w:t>
            </w:r>
          </w:p>
        </w:tc>
      </w:tr>
      <w:tr w:rsidR="00684FEE" w:rsidRPr="003478AF" w14:paraId="4D8DFC15" w14:textId="77777777" w:rsidTr="00892CB1">
        <w:tc>
          <w:tcPr>
            <w:tcW w:w="1739" w:type="pct"/>
            <w:vMerge/>
          </w:tcPr>
          <w:p w14:paraId="2BE40C39" w14:textId="77777777" w:rsidR="00684FEE" w:rsidRPr="003478AF" w:rsidRDefault="00684FEE" w:rsidP="00684FEE">
            <w:pPr>
              <w:ind w:firstLine="0"/>
              <w:jc w:val="left"/>
              <w:rPr>
                <w:rFonts w:cs="Arial"/>
                <w:sz w:val="16"/>
                <w:szCs w:val="16"/>
              </w:rPr>
            </w:pPr>
          </w:p>
        </w:tc>
        <w:tc>
          <w:tcPr>
            <w:tcW w:w="2397" w:type="pct"/>
          </w:tcPr>
          <w:p w14:paraId="66B5B096" w14:textId="77777777" w:rsidR="00684FEE" w:rsidRPr="003478AF" w:rsidRDefault="00684FEE" w:rsidP="00155D24">
            <w:pPr>
              <w:ind w:firstLine="0"/>
              <w:jc w:val="left"/>
              <w:rPr>
                <w:rFonts w:cs="Arial"/>
                <w:sz w:val="16"/>
                <w:szCs w:val="16"/>
              </w:rPr>
            </w:pPr>
            <w:r w:rsidRPr="003478AF">
              <w:rPr>
                <w:rFonts w:cs="Arial"/>
                <w:sz w:val="16"/>
                <w:szCs w:val="16"/>
              </w:rPr>
              <w:t xml:space="preserve">Liczba wybudowanych zintegrowanych węzłów przesiadkowych </w:t>
            </w:r>
          </w:p>
        </w:tc>
        <w:tc>
          <w:tcPr>
            <w:tcW w:w="864" w:type="pct"/>
          </w:tcPr>
          <w:p w14:paraId="63444813" w14:textId="2C80945D" w:rsidR="00684FEE" w:rsidRPr="003478AF" w:rsidRDefault="00684FEE" w:rsidP="00684FEE">
            <w:pPr>
              <w:ind w:firstLine="0"/>
              <w:jc w:val="center"/>
              <w:rPr>
                <w:rFonts w:cs="Arial"/>
                <w:sz w:val="16"/>
                <w:szCs w:val="16"/>
              </w:rPr>
            </w:pPr>
            <w:r w:rsidRPr="003478AF">
              <w:rPr>
                <w:rFonts w:cs="Arial"/>
                <w:sz w:val="16"/>
                <w:szCs w:val="16"/>
              </w:rPr>
              <w:t>szt.</w:t>
            </w:r>
          </w:p>
        </w:tc>
      </w:tr>
      <w:tr w:rsidR="00684FEE" w:rsidRPr="003478AF" w14:paraId="107CB505" w14:textId="77777777" w:rsidTr="00892CB1">
        <w:tc>
          <w:tcPr>
            <w:tcW w:w="1739" w:type="pct"/>
            <w:vMerge/>
          </w:tcPr>
          <w:p w14:paraId="5B0CA325" w14:textId="77777777" w:rsidR="00684FEE" w:rsidRPr="003478AF" w:rsidRDefault="00684FEE" w:rsidP="00684FEE">
            <w:pPr>
              <w:ind w:firstLine="0"/>
              <w:jc w:val="left"/>
              <w:rPr>
                <w:rFonts w:cs="Arial"/>
                <w:sz w:val="16"/>
                <w:szCs w:val="16"/>
              </w:rPr>
            </w:pPr>
          </w:p>
        </w:tc>
        <w:tc>
          <w:tcPr>
            <w:tcW w:w="2397" w:type="pct"/>
          </w:tcPr>
          <w:p w14:paraId="0EDBA367" w14:textId="64EEA61D" w:rsidR="00684FEE" w:rsidRPr="003478AF" w:rsidRDefault="00684FEE" w:rsidP="00155D24">
            <w:pPr>
              <w:ind w:firstLine="0"/>
              <w:jc w:val="left"/>
              <w:rPr>
                <w:rFonts w:cs="Arial"/>
                <w:sz w:val="16"/>
                <w:szCs w:val="16"/>
              </w:rPr>
            </w:pPr>
            <w:r w:rsidRPr="003478AF">
              <w:rPr>
                <w:rFonts w:cs="Arial"/>
                <w:sz w:val="16"/>
                <w:szCs w:val="16"/>
              </w:rPr>
              <w:t xml:space="preserve">Liczba zakupionych jednostek taboru pasażerskiego w publicznym transporcie </w:t>
            </w:r>
            <w:r w:rsidR="00892CB1" w:rsidRPr="003478AF">
              <w:rPr>
                <w:rFonts w:cs="Arial"/>
                <w:sz w:val="16"/>
                <w:szCs w:val="16"/>
              </w:rPr>
              <w:t>zbiorowym komunikacji miejskiej</w:t>
            </w:r>
          </w:p>
        </w:tc>
        <w:tc>
          <w:tcPr>
            <w:tcW w:w="864" w:type="pct"/>
          </w:tcPr>
          <w:p w14:paraId="1B185B8B" w14:textId="36391875" w:rsidR="00684FEE" w:rsidRPr="003478AF" w:rsidRDefault="00684FEE" w:rsidP="00684FEE">
            <w:pPr>
              <w:ind w:firstLine="0"/>
              <w:jc w:val="center"/>
              <w:rPr>
                <w:rFonts w:cs="Arial"/>
                <w:sz w:val="16"/>
                <w:szCs w:val="16"/>
              </w:rPr>
            </w:pPr>
            <w:r w:rsidRPr="003478AF">
              <w:rPr>
                <w:rFonts w:cs="Arial"/>
                <w:sz w:val="16"/>
                <w:szCs w:val="16"/>
              </w:rPr>
              <w:t>szt.</w:t>
            </w:r>
          </w:p>
        </w:tc>
      </w:tr>
      <w:tr w:rsidR="00AC237C" w:rsidRPr="003478AF" w14:paraId="4C5B19F4" w14:textId="77777777" w:rsidTr="00892CB1">
        <w:tc>
          <w:tcPr>
            <w:tcW w:w="1739" w:type="pct"/>
            <w:vMerge/>
          </w:tcPr>
          <w:p w14:paraId="1B394C46" w14:textId="77777777" w:rsidR="00AC237C" w:rsidRPr="003478AF" w:rsidRDefault="00AC237C" w:rsidP="00684FEE">
            <w:pPr>
              <w:ind w:firstLine="0"/>
              <w:jc w:val="left"/>
              <w:rPr>
                <w:rFonts w:cs="Arial"/>
                <w:sz w:val="16"/>
                <w:szCs w:val="16"/>
              </w:rPr>
            </w:pPr>
          </w:p>
        </w:tc>
        <w:tc>
          <w:tcPr>
            <w:tcW w:w="2397" w:type="pct"/>
          </w:tcPr>
          <w:p w14:paraId="002FC98A" w14:textId="77777777" w:rsidR="00AC237C" w:rsidRPr="003478AF" w:rsidRDefault="00AC237C" w:rsidP="00155D24">
            <w:pPr>
              <w:ind w:firstLine="0"/>
              <w:jc w:val="left"/>
              <w:rPr>
                <w:rFonts w:cs="Arial"/>
                <w:sz w:val="16"/>
                <w:szCs w:val="16"/>
              </w:rPr>
            </w:pPr>
            <w:r w:rsidRPr="003478AF">
              <w:rPr>
                <w:rFonts w:cs="Arial"/>
                <w:sz w:val="16"/>
                <w:szCs w:val="16"/>
              </w:rPr>
              <w:t xml:space="preserve">Długość wspartej infrastruktury rowerowej </w:t>
            </w:r>
          </w:p>
        </w:tc>
        <w:tc>
          <w:tcPr>
            <w:tcW w:w="864" w:type="pct"/>
          </w:tcPr>
          <w:p w14:paraId="445357C6" w14:textId="77777777" w:rsidR="00AC237C" w:rsidRPr="003478AF" w:rsidRDefault="00AC237C" w:rsidP="00AC237C">
            <w:pPr>
              <w:ind w:firstLine="0"/>
              <w:jc w:val="center"/>
              <w:rPr>
                <w:rFonts w:cs="Arial"/>
                <w:sz w:val="16"/>
                <w:szCs w:val="16"/>
              </w:rPr>
            </w:pPr>
            <w:r w:rsidRPr="003478AF">
              <w:rPr>
                <w:rFonts w:cs="Arial"/>
                <w:sz w:val="16"/>
                <w:szCs w:val="16"/>
              </w:rPr>
              <w:t>km</w:t>
            </w:r>
          </w:p>
        </w:tc>
      </w:tr>
      <w:tr w:rsidR="00AC237C" w:rsidRPr="003478AF" w14:paraId="00F7B5C0" w14:textId="77777777" w:rsidTr="00892CB1">
        <w:tc>
          <w:tcPr>
            <w:tcW w:w="1739" w:type="pct"/>
            <w:vMerge/>
          </w:tcPr>
          <w:p w14:paraId="5DFF7164" w14:textId="77777777" w:rsidR="00AC237C" w:rsidRPr="003478AF" w:rsidRDefault="00AC237C" w:rsidP="00684FEE">
            <w:pPr>
              <w:ind w:firstLine="0"/>
              <w:jc w:val="left"/>
              <w:rPr>
                <w:rFonts w:cs="Arial"/>
                <w:sz w:val="16"/>
                <w:szCs w:val="16"/>
              </w:rPr>
            </w:pPr>
          </w:p>
        </w:tc>
        <w:tc>
          <w:tcPr>
            <w:tcW w:w="2397" w:type="pct"/>
          </w:tcPr>
          <w:p w14:paraId="4C9CB001" w14:textId="3ABD3D7E" w:rsidR="00AC237C" w:rsidRPr="003478AF" w:rsidRDefault="00AC237C" w:rsidP="00155D24">
            <w:pPr>
              <w:ind w:firstLine="0"/>
              <w:jc w:val="left"/>
              <w:rPr>
                <w:rFonts w:cs="Arial"/>
                <w:sz w:val="16"/>
                <w:szCs w:val="16"/>
              </w:rPr>
            </w:pPr>
            <w:r w:rsidRPr="003478AF">
              <w:rPr>
                <w:rFonts w:cs="Arial"/>
                <w:sz w:val="16"/>
                <w:szCs w:val="16"/>
              </w:rPr>
              <w:t xml:space="preserve">Liczba zainstalowanych inteligentnych systemów transportowych </w:t>
            </w:r>
          </w:p>
        </w:tc>
        <w:tc>
          <w:tcPr>
            <w:tcW w:w="864" w:type="pct"/>
          </w:tcPr>
          <w:p w14:paraId="3218EAE2" w14:textId="0DF45E7A" w:rsidR="00AC237C" w:rsidRPr="003478AF" w:rsidRDefault="00684FEE" w:rsidP="00AC237C">
            <w:pPr>
              <w:ind w:firstLine="0"/>
              <w:jc w:val="center"/>
              <w:rPr>
                <w:rFonts w:cs="Arial"/>
                <w:sz w:val="16"/>
                <w:szCs w:val="16"/>
              </w:rPr>
            </w:pPr>
            <w:r w:rsidRPr="003478AF">
              <w:rPr>
                <w:rFonts w:cs="Arial"/>
                <w:sz w:val="16"/>
                <w:szCs w:val="16"/>
              </w:rPr>
              <w:t>s</w:t>
            </w:r>
            <w:r w:rsidR="00AC237C" w:rsidRPr="003478AF">
              <w:rPr>
                <w:rFonts w:cs="Arial"/>
                <w:sz w:val="16"/>
                <w:szCs w:val="16"/>
              </w:rPr>
              <w:t>zt.</w:t>
            </w:r>
          </w:p>
        </w:tc>
      </w:tr>
      <w:tr w:rsidR="00AC237C" w:rsidRPr="003478AF" w14:paraId="4D044E38" w14:textId="77777777" w:rsidTr="00175EF7">
        <w:tc>
          <w:tcPr>
            <w:tcW w:w="5000" w:type="pct"/>
            <w:gridSpan w:val="3"/>
            <w:vAlign w:val="center"/>
          </w:tcPr>
          <w:p w14:paraId="3A042B77" w14:textId="77777777" w:rsidR="00AC237C" w:rsidRPr="003478AF" w:rsidRDefault="00AC237C" w:rsidP="00E136AA">
            <w:pPr>
              <w:ind w:firstLine="0"/>
              <w:jc w:val="center"/>
              <w:rPr>
                <w:rFonts w:cs="Arial"/>
                <w:b/>
                <w:sz w:val="16"/>
                <w:szCs w:val="16"/>
              </w:rPr>
            </w:pPr>
            <w:r w:rsidRPr="003478AF">
              <w:rPr>
                <w:rFonts w:cs="Arial"/>
                <w:b/>
                <w:sz w:val="16"/>
                <w:szCs w:val="16"/>
              </w:rPr>
              <w:t>Oś priorytetowa 4 Środowisko (EFRR)</w:t>
            </w:r>
          </w:p>
        </w:tc>
      </w:tr>
      <w:tr w:rsidR="00AC237C" w:rsidRPr="003478AF" w14:paraId="659CE9D0" w14:textId="77777777" w:rsidTr="00892CB1">
        <w:tc>
          <w:tcPr>
            <w:tcW w:w="1739" w:type="pct"/>
            <w:vMerge w:val="restart"/>
          </w:tcPr>
          <w:p w14:paraId="3939A56B" w14:textId="77777777" w:rsidR="00AC237C" w:rsidRPr="003478AF" w:rsidRDefault="00AC237C" w:rsidP="00684FEE">
            <w:pPr>
              <w:ind w:firstLine="0"/>
              <w:jc w:val="left"/>
              <w:rPr>
                <w:rFonts w:cs="Arial"/>
                <w:sz w:val="16"/>
                <w:szCs w:val="16"/>
              </w:rPr>
            </w:pPr>
          </w:p>
          <w:p w14:paraId="738BC300" w14:textId="77777777" w:rsidR="00AC237C" w:rsidRPr="003478AF" w:rsidRDefault="00AC237C" w:rsidP="00684FEE">
            <w:pPr>
              <w:ind w:firstLine="0"/>
              <w:jc w:val="left"/>
              <w:rPr>
                <w:rFonts w:cs="Arial"/>
                <w:sz w:val="16"/>
                <w:szCs w:val="16"/>
              </w:rPr>
            </w:pPr>
          </w:p>
          <w:p w14:paraId="53C4BBA1" w14:textId="77777777" w:rsidR="00AC237C" w:rsidRPr="003478AF" w:rsidRDefault="00AC237C" w:rsidP="00684FEE">
            <w:pPr>
              <w:ind w:firstLine="0"/>
              <w:jc w:val="left"/>
              <w:rPr>
                <w:rFonts w:cs="Arial"/>
                <w:sz w:val="16"/>
                <w:szCs w:val="16"/>
              </w:rPr>
            </w:pPr>
          </w:p>
          <w:p w14:paraId="3D5EE73B" w14:textId="77777777" w:rsidR="00AC237C" w:rsidRPr="003478AF" w:rsidRDefault="00AC237C" w:rsidP="00684FEE">
            <w:pPr>
              <w:ind w:firstLine="0"/>
              <w:jc w:val="left"/>
              <w:rPr>
                <w:rFonts w:cs="Arial"/>
                <w:sz w:val="16"/>
                <w:szCs w:val="16"/>
              </w:rPr>
            </w:pPr>
            <w:r w:rsidRPr="003478AF">
              <w:rPr>
                <w:rFonts w:cs="Arial"/>
                <w:sz w:val="16"/>
                <w:szCs w:val="16"/>
              </w:rPr>
              <w:t xml:space="preserve">Zapobieganie, likwidacja skutków klęsk żywiołowych i awarii środowiskowych </w:t>
            </w:r>
          </w:p>
          <w:p w14:paraId="7CD990CE" w14:textId="77777777" w:rsidR="00AC237C" w:rsidRPr="003478AF" w:rsidRDefault="00AC237C" w:rsidP="00684FEE">
            <w:pPr>
              <w:ind w:firstLine="0"/>
              <w:jc w:val="left"/>
              <w:rPr>
                <w:rFonts w:cs="Arial"/>
                <w:sz w:val="16"/>
                <w:szCs w:val="16"/>
              </w:rPr>
            </w:pPr>
          </w:p>
        </w:tc>
        <w:tc>
          <w:tcPr>
            <w:tcW w:w="2397" w:type="pct"/>
          </w:tcPr>
          <w:p w14:paraId="41952EE3" w14:textId="77777777" w:rsidR="00AC237C" w:rsidRPr="003478AF" w:rsidRDefault="00AC237C" w:rsidP="00155D24">
            <w:pPr>
              <w:ind w:firstLine="0"/>
              <w:jc w:val="left"/>
              <w:rPr>
                <w:rFonts w:cs="Arial"/>
                <w:sz w:val="16"/>
                <w:szCs w:val="16"/>
              </w:rPr>
            </w:pPr>
            <w:r w:rsidRPr="003478AF">
              <w:rPr>
                <w:rFonts w:cs="Arial"/>
                <w:sz w:val="16"/>
                <w:szCs w:val="16"/>
              </w:rPr>
              <w:t xml:space="preserve">Liczba ludności odnoszących korzyści ze środków ochrony przeciwpowodziowej </w:t>
            </w:r>
          </w:p>
        </w:tc>
        <w:tc>
          <w:tcPr>
            <w:tcW w:w="864" w:type="pct"/>
          </w:tcPr>
          <w:p w14:paraId="1334A4A4" w14:textId="77777777" w:rsidR="00AC237C" w:rsidRPr="003478AF" w:rsidRDefault="00AC237C" w:rsidP="00AC237C">
            <w:pPr>
              <w:ind w:firstLine="0"/>
              <w:jc w:val="center"/>
              <w:rPr>
                <w:rFonts w:cs="Arial"/>
                <w:sz w:val="16"/>
                <w:szCs w:val="16"/>
              </w:rPr>
            </w:pPr>
            <w:r w:rsidRPr="003478AF">
              <w:rPr>
                <w:rFonts w:cs="Arial"/>
                <w:sz w:val="16"/>
                <w:szCs w:val="16"/>
              </w:rPr>
              <w:t>osoby</w:t>
            </w:r>
          </w:p>
        </w:tc>
      </w:tr>
      <w:tr w:rsidR="00AC237C" w:rsidRPr="003478AF" w14:paraId="040B82E6" w14:textId="77777777" w:rsidTr="00892CB1">
        <w:tc>
          <w:tcPr>
            <w:tcW w:w="1739" w:type="pct"/>
            <w:vMerge/>
          </w:tcPr>
          <w:p w14:paraId="4FC2C048" w14:textId="77777777" w:rsidR="00AC237C" w:rsidRPr="003478AF" w:rsidRDefault="00AC237C" w:rsidP="00684FEE">
            <w:pPr>
              <w:ind w:firstLine="0"/>
              <w:jc w:val="left"/>
              <w:rPr>
                <w:rFonts w:cs="Arial"/>
                <w:sz w:val="16"/>
                <w:szCs w:val="16"/>
              </w:rPr>
            </w:pPr>
          </w:p>
        </w:tc>
        <w:tc>
          <w:tcPr>
            <w:tcW w:w="2397" w:type="pct"/>
          </w:tcPr>
          <w:p w14:paraId="7D575D53" w14:textId="77777777" w:rsidR="00AC237C" w:rsidRPr="003478AF" w:rsidRDefault="00AC237C" w:rsidP="00155D24">
            <w:pPr>
              <w:ind w:firstLine="0"/>
              <w:jc w:val="left"/>
              <w:rPr>
                <w:rFonts w:cs="Arial"/>
                <w:sz w:val="16"/>
                <w:szCs w:val="16"/>
              </w:rPr>
            </w:pPr>
            <w:r w:rsidRPr="003478AF">
              <w:rPr>
                <w:rFonts w:cs="Arial"/>
                <w:sz w:val="16"/>
                <w:szCs w:val="16"/>
              </w:rPr>
              <w:t xml:space="preserve">Objętość retencjonowanej wody </w:t>
            </w:r>
          </w:p>
        </w:tc>
        <w:tc>
          <w:tcPr>
            <w:tcW w:w="864" w:type="pct"/>
          </w:tcPr>
          <w:p w14:paraId="1BA42AD2" w14:textId="735857E6" w:rsidR="00AC237C" w:rsidRPr="003478AF" w:rsidRDefault="00AC237C" w:rsidP="00AC237C">
            <w:pPr>
              <w:ind w:firstLine="0"/>
              <w:jc w:val="center"/>
              <w:rPr>
                <w:rFonts w:cs="Arial"/>
                <w:sz w:val="16"/>
                <w:szCs w:val="16"/>
              </w:rPr>
            </w:pPr>
            <w:r w:rsidRPr="003478AF">
              <w:rPr>
                <w:rFonts w:cs="Arial"/>
                <w:sz w:val="16"/>
                <w:szCs w:val="16"/>
              </w:rPr>
              <w:t>m</w:t>
            </w:r>
            <w:r w:rsidRPr="003478AF">
              <w:rPr>
                <w:rFonts w:cs="Arial"/>
                <w:sz w:val="16"/>
                <w:szCs w:val="16"/>
                <w:vertAlign w:val="superscript"/>
              </w:rPr>
              <w:t>3</w:t>
            </w:r>
          </w:p>
        </w:tc>
      </w:tr>
      <w:tr w:rsidR="00AC237C" w:rsidRPr="003478AF" w14:paraId="4E8005C5" w14:textId="77777777" w:rsidTr="00892CB1">
        <w:tc>
          <w:tcPr>
            <w:tcW w:w="1739" w:type="pct"/>
            <w:vMerge/>
          </w:tcPr>
          <w:p w14:paraId="48A96568" w14:textId="77777777" w:rsidR="00AC237C" w:rsidRPr="003478AF" w:rsidRDefault="00AC237C" w:rsidP="00684FEE">
            <w:pPr>
              <w:ind w:firstLine="0"/>
              <w:jc w:val="left"/>
              <w:rPr>
                <w:rFonts w:cs="Arial"/>
                <w:sz w:val="16"/>
                <w:szCs w:val="16"/>
              </w:rPr>
            </w:pPr>
          </w:p>
        </w:tc>
        <w:tc>
          <w:tcPr>
            <w:tcW w:w="2397" w:type="pct"/>
          </w:tcPr>
          <w:p w14:paraId="25A414EF" w14:textId="77777777" w:rsidR="00AC237C" w:rsidRPr="003478AF" w:rsidRDefault="00AC237C" w:rsidP="00155D24">
            <w:pPr>
              <w:ind w:firstLine="0"/>
              <w:jc w:val="left"/>
              <w:rPr>
                <w:rFonts w:cs="Arial"/>
                <w:sz w:val="16"/>
                <w:szCs w:val="16"/>
              </w:rPr>
            </w:pPr>
            <w:r w:rsidRPr="003478AF">
              <w:rPr>
                <w:rFonts w:cs="Arial"/>
                <w:sz w:val="16"/>
                <w:szCs w:val="16"/>
              </w:rPr>
              <w:t xml:space="preserve">Liczba miast, w których podjęto działania związane z zabezpieczeniem przed niekorzystnymi zjawiskami pogodowymi </w:t>
            </w:r>
          </w:p>
        </w:tc>
        <w:tc>
          <w:tcPr>
            <w:tcW w:w="864" w:type="pct"/>
          </w:tcPr>
          <w:p w14:paraId="22C3D99C" w14:textId="241311FB" w:rsidR="00AC237C" w:rsidRPr="003478AF" w:rsidRDefault="00684FEE" w:rsidP="00AC237C">
            <w:pPr>
              <w:ind w:firstLine="0"/>
              <w:jc w:val="center"/>
              <w:rPr>
                <w:rFonts w:cs="Arial"/>
                <w:sz w:val="16"/>
                <w:szCs w:val="16"/>
              </w:rPr>
            </w:pPr>
            <w:r w:rsidRPr="003478AF">
              <w:rPr>
                <w:rFonts w:cs="Arial"/>
                <w:sz w:val="16"/>
                <w:szCs w:val="16"/>
              </w:rPr>
              <w:t>s</w:t>
            </w:r>
            <w:r w:rsidR="00AC237C" w:rsidRPr="003478AF">
              <w:rPr>
                <w:rFonts w:cs="Arial"/>
                <w:sz w:val="16"/>
                <w:szCs w:val="16"/>
              </w:rPr>
              <w:t>zt.</w:t>
            </w:r>
          </w:p>
        </w:tc>
      </w:tr>
      <w:tr w:rsidR="00AC237C" w:rsidRPr="003478AF" w14:paraId="59514FAD" w14:textId="77777777" w:rsidTr="00892CB1">
        <w:tc>
          <w:tcPr>
            <w:tcW w:w="1739" w:type="pct"/>
            <w:vMerge/>
          </w:tcPr>
          <w:p w14:paraId="206A3714" w14:textId="77777777" w:rsidR="00AC237C" w:rsidRPr="003478AF" w:rsidRDefault="00AC237C" w:rsidP="00684FEE">
            <w:pPr>
              <w:ind w:firstLine="0"/>
              <w:jc w:val="left"/>
              <w:rPr>
                <w:rFonts w:cs="Arial"/>
                <w:sz w:val="16"/>
                <w:szCs w:val="16"/>
              </w:rPr>
            </w:pPr>
          </w:p>
        </w:tc>
        <w:tc>
          <w:tcPr>
            <w:tcW w:w="2397" w:type="pct"/>
          </w:tcPr>
          <w:p w14:paraId="25CFABF2" w14:textId="77777777" w:rsidR="00AC237C" w:rsidRPr="003478AF" w:rsidRDefault="00AC237C" w:rsidP="00155D24">
            <w:pPr>
              <w:ind w:firstLine="0"/>
              <w:jc w:val="left"/>
              <w:rPr>
                <w:rFonts w:cs="Arial"/>
                <w:sz w:val="16"/>
                <w:szCs w:val="16"/>
              </w:rPr>
            </w:pPr>
            <w:r w:rsidRPr="003478AF">
              <w:rPr>
                <w:rFonts w:cs="Arial"/>
                <w:sz w:val="16"/>
                <w:szCs w:val="16"/>
              </w:rPr>
              <w:t xml:space="preserve">Liczba ludności odnoszących korzyści ze środków ochrony przed pożarami lasów </w:t>
            </w:r>
          </w:p>
        </w:tc>
        <w:tc>
          <w:tcPr>
            <w:tcW w:w="864" w:type="pct"/>
          </w:tcPr>
          <w:p w14:paraId="2B0426CD" w14:textId="77777777" w:rsidR="00AC237C" w:rsidRPr="003478AF" w:rsidRDefault="00AC237C" w:rsidP="00AC237C">
            <w:pPr>
              <w:ind w:firstLine="0"/>
              <w:jc w:val="center"/>
              <w:rPr>
                <w:rFonts w:cs="Arial"/>
                <w:sz w:val="16"/>
                <w:szCs w:val="16"/>
              </w:rPr>
            </w:pPr>
            <w:r w:rsidRPr="003478AF">
              <w:rPr>
                <w:rFonts w:cs="Arial"/>
                <w:sz w:val="16"/>
                <w:szCs w:val="16"/>
              </w:rPr>
              <w:t>osoby</w:t>
            </w:r>
          </w:p>
        </w:tc>
      </w:tr>
      <w:tr w:rsidR="00AC237C" w:rsidRPr="003478AF" w14:paraId="3C095C18" w14:textId="77777777" w:rsidTr="00892CB1">
        <w:tc>
          <w:tcPr>
            <w:tcW w:w="1739" w:type="pct"/>
            <w:vMerge/>
          </w:tcPr>
          <w:p w14:paraId="1F6A8B72" w14:textId="77777777" w:rsidR="00AC237C" w:rsidRPr="003478AF" w:rsidRDefault="00AC237C" w:rsidP="00684FEE">
            <w:pPr>
              <w:ind w:firstLine="0"/>
              <w:jc w:val="left"/>
              <w:rPr>
                <w:rFonts w:cs="Arial"/>
                <w:sz w:val="16"/>
                <w:szCs w:val="16"/>
              </w:rPr>
            </w:pPr>
          </w:p>
        </w:tc>
        <w:tc>
          <w:tcPr>
            <w:tcW w:w="2397" w:type="pct"/>
          </w:tcPr>
          <w:p w14:paraId="557467F5" w14:textId="77777777" w:rsidR="00AC237C" w:rsidRPr="003478AF" w:rsidRDefault="00AC237C" w:rsidP="00155D24">
            <w:pPr>
              <w:ind w:firstLine="0"/>
              <w:jc w:val="left"/>
              <w:rPr>
                <w:rFonts w:cs="Arial"/>
                <w:sz w:val="16"/>
                <w:szCs w:val="16"/>
              </w:rPr>
            </w:pPr>
            <w:r w:rsidRPr="003478AF">
              <w:rPr>
                <w:rFonts w:cs="Arial"/>
                <w:sz w:val="16"/>
                <w:szCs w:val="16"/>
              </w:rPr>
              <w:t xml:space="preserve">Liczba urządzeń dla celów ochrony przeciwpowodziowej </w:t>
            </w:r>
          </w:p>
        </w:tc>
        <w:tc>
          <w:tcPr>
            <w:tcW w:w="864" w:type="pct"/>
          </w:tcPr>
          <w:p w14:paraId="6DC51025" w14:textId="3B1F5674" w:rsidR="00AC237C" w:rsidRPr="003478AF" w:rsidRDefault="00902A4D" w:rsidP="00AC237C">
            <w:pPr>
              <w:ind w:firstLine="0"/>
              <w:jc w:val="center"/>
              <w:rPr>
                <w:rFonts w:cs="Arial"/>
                <w:sz w:val="16"/>
                <w:szCs w:val="16"/>
              </w:rPr>
            </w:pPr>
            <w:r w:rsidRPr="003478AF">
              <w:rPr>
                <w:rFonts w:cs="Arial"/>
                <w:sz w:val="16"/>
                <w:szCs w:val="16"/>
              </w:rPr>
              <w:t>s</w:t>
            </w:r>
            <w:r w:rsidR="00AC237C" w:rsidRPr="003478AF">
              <w:rPr>
                <w:rFonts w:cs="Arial"/>
                <w:sz w:val="16"/>
                <w:szCs w:val="16"/>
              </w:rPr>
              <w:t>zt.</w:t>
            </w:r>
          </w:p>
        </w:tc>
      </w:tr>
      <w:tr w:rsidR="00AC237C" w:rsidRPr="003478AF" w14:paraId="5208DFD2" w14:textId="77777777" w:rsidTr="00892CB1">
        <w:tc>
          <w:tcPr>
            <w:tcW w:w="1739" w:type="pct"/>
            <w:vMerge/>
          </w:tcPr>
          <w:p w14:paraId="4E1ED9E9" w14:textId="77777777" w:rsidR="00AC237C" w:rsidRPr="003478AF" w:rsidRDefault="00AC237C" w:rsidP="00684FEE">
            <w:pPr>
              <w:ind w:firstLine="0"/>
              <w:jc w:val="left"/>
              <w:rPr>
                <w:rFonts w:cs="Arial"/>
                <w:sz w:val="16"/>
                <w:szCs w:val="16"/>
              </w:rPr>
            </w:pPr>
          </w:p>
        </w:tc>
        <w:tc>
          <w:tcPr>
            <w:tcW w:w="2397" w:type="pct"/>
          </w:tcPr>
          <w:p w14:paraId="109AADA4" w14:textId="77777777" w:rsidR="00AC237C" w:rsidRPr="003478AF" w:rsidRDefault="00AC237C" w:rsidP="00155D24">
            <w:pPr>
              <w:ind w:firstLine="0"/>
              <w:jc w:val="left"/>
              <w:rPr>
                <w:rFonts w:cs="Arial"/>
                <w:sz w:val="16"/>
                <w:szCs w:val="16"/>
              </w:rPr>
            </w:pPr>
            <w:r w:rsidRPr="003478AF">
              <w:rPr>
                <w:rFonts w:cs="Arial"/>
                <w:sz w:val="16"/>
                <w:szCs w:val="16"/>
              </w:rPr>
              <w:t xml:space="preserve">Pojemność obiektów małej retencji </w:t>
            </w:r>
          </w:p>
        </w:tc>
        <w:tc>
          <w:tcPr>
            <w:tcW w:w="864" w:type="pct"/>
          </w:tcPr>
          <w:p w14:paraId="190438EF" w14:textId="77777777" w:rsidR="00AC237C" w:rsidRPr="003478AF" w:rsidRDefault="00AC237C" w:rsidP="00AC237C">
            <w:pPr>
              <w:ind w:firstLine="0"/>
              <w:jc w:val="center"/>
              <w:rPr>
                <w:rFonts w:cs="Arial"/>
                <w:sz w:val="16"/>
                <w:szCs w:val="16"/>
              </w:rPr>
            </w:pPr>
            <w:r w:rsidRPr="003478AF">
              <w:rPr>
                <w:rFonts w:cs="Arial"/>
                <w:sz w:val="16"/>
                <w:szCs w:val="16"/>
              </w:rPr>
              <w:t>m</w:t>
            </w:r>
            <w:r w:rsidRPr="003478AF">
              <w:rPr>
                <w:rFonts w:cs="Arial"/>
                <w:sz w:val="16"/>
                <w:szCs w:val="16"/>
                <w:vertAlign w:val="superscript"/>
              </w:rPr>
              <w:t>3</w:t>
            </w:r>
          </w:p>
        </w:tc>
      </w:tr>
      <w:tr w:rsidR="00AC237C" w:rsidRPr="003478AF" w14:paraId="49DAAEE7" w14:textId="77777777" w:rsidTr="00892CB1">
        <w:tc>
          <w:tcPr>
            <w:tcW w:w="1739" w:type="pct"/>
            <w:vMerge/>
          </w:tcPr>
          <w:p w14:paraId="397F6191" w14:textId="77777777" w:rsidR="00AC237C" w:rsidRPr="003478AF" w:rsidRDefault="00AC237C" w:rsidP="00684FEE">
            <w:pPr>
              <w:ind w:firstLine="0"/>
              <w:jc w:val="left"/>
              <w:rPr>
                <w:rFonts w:cs="Arial"/>
                <w:sz w:val="16"/>
                <w:szCs w:val="16"/>
              </w:rPr>
            </w:pPr>
          </w:p>
        </w:tc>
        <w:tc>
          <w:tcPr>
            <w:tcW w:w="2397" w:type="pct"/>
          </w:tcPr>
          <w:p w14:paraId="66CECF31" w14:textId="77777777" w:rsidR="00AC237C" w:rsidRPr="003478AF" w:rsidRDefault="00AC237C" w:rsidP="00155D24">
            <w:pPr>
              <w:ind w:firstLine="0"/>
              <w:jc w:val="left"/>
              <w:rPr>
                <w:rFonts w:cs="Arial"/>
                <w:sz w:val="16"/>
                <w:szCs w:val="16"/>
              </w:rPr>
            </w:pPr>
            <w:r w:rsidRPr="003478AF">
              <w:rPr>
                <w:rFonts w:cs="Arial"/>
                <w:sz w:val="16"/>
                <w:szCs w:val="16"/>
              </w:rPr>
              <w:t xml:space="preserve">Długość sieci kanalizacji deszczowej </w:t>
            </w:r>
          </w:p>
        </w:tc>
        <w:tc>
          <w:tcPr>
            <w:tcW w:w="864" w:type="pct"/>
          </w:tcPr>
          <w:p w14:paraId="26EF6AA3" w14:textId="77777777" w:rsidR="00AC237C" w:rsidRPr="003478AF" w:rsidRDefault="00AC237C" w:rsidP="00AC237C">
            <w:pPr>
              <w:ind w:firstLine="0"/>
              <w:jc w:val="center"/>
              <w:rPr>
                <w:rFonts w:cs="Arial"/>
                <w:sz w:val="16"/>
                <w:szCs w:val="16"/>
              </w:rPr>
            </w:pPr>
            <w:r w:rsidRPr="003478AF">
              <w:rPr>
                <w:rFonts w:cs="Arial"/>
                <w:sz w:val="16"/>
                <w:szCs w:val="16"/>
              </w:rPr>
              <w:t>km</w:t>
            </w:r>
          </w:p>
        </w:tc>
      </w:tr>
      <w:tr w:rsidR="00AC237C" w:rsidRPr="003478AF" w14:paraId="62517959" w14:textId="77777777" w:rsidTr="00892CB1">
        <w:tc>
          <w:tcPr>
            <w:tcW w:w="1739" w:type="pct"/>
            <w:vMerge/>
          </w:tcPr>
          <w:p w14:paraId="6574BCE4" w14:textId="77777777" w:rsidR="00AC237C" w:rsidRPr="003478AF" w:rsidRDefault="00AC237C" w:rsidP="00684FEE">
            <w:pPr>
              <w:ind w:firstLine="0"/>
              <w:jc w:val="left"/>
              <w:rPr>
                <w:rFonts w:cs="Arial"/>
                <w:sz w:val="16"/>
                <w:szCs w:val="16"/>
              </w:rPr>
            </w:pPr>
          </w:p>
        </w:tc>
        <w:tc>
          <w:tcPr>
            <w:tcW w:w="2397" w:type="pct"/>
          </w:tcPr>
          <w:p w14:paraId="4A7F6306" w14:textId="77777777" w:rsidR="00AC237C" w:rsidRPr="003478AF" w:rsidRDefault="00AC237C" w:rsidP="00155D24">
            <w:pPr>
              <w:ind w:firstLine="0"/>
              <w:jc w:val="left"/>
              <w:rPr>
                <w:rFonts w:cs="Arial"/>
                <w:sz w:val="16"/>
                <w:szCs w:val="16"/>
              </w:rPr>
            </w:pPr>
            <w:r w:rsidRPr="003478AF">
              <w:rPr>
                <w:rFonts w:cs="Arial"/>
                <w:sz w:val="16"/>
                <w:szCs w:val="16"/>
              </w:rPr>
              <w:t xml:space="preserve">Liczba wprowadzonych do użycia systemów monitorowania zagrożeń i systemów wczesnego ostrzegania </w:t>
            </w:r>
          </w:p>
        </w:tc>
        <w:tc>
          <w:tcPr>
            <w:tcW w:w="864" w:type="pct"/>
          </w:tcPr>
          <w:p w14:paraId="1406C21C" w14:textId="71B7C732" w:rsidR="00AC237C" w:rsidRPr="003478AF" w:rsidRDefault="00902A4D" w:rsidP="00AC237C">
            <w:pPr>
              <w:ind w:firstLine="0"/>
              <w:jc w:val="center"/>
              <w:rPr>
                <w:rFonts w:cs="Arial"/>
                <w:sz w:val="16"/>
                <w:szCs w:val="16"/>
              </w:rPr>
            </w:pPr>
            <w:r w:rsidRPr="003478AF">
              <w:rPr>
                <w:rFonts w:cs="Arial"/>
                <w:sz w:val="16"/>
                <w:szCs w:val="16"/>
              </w:rPr>
              <w:t>szt.</w:t>
            </w:r>
          </w:p>
        </w:tc>
      </w:tr>
      <w:tr w:rsidR="00AC237C" w:rsidRPr="003478AF" w14:paraId="5B7FBEDC" w14:textId="77777777" w:rsidTr="00892CB1">
        <w:tc>
          <w:tcPr>
            <w:tcW w:w="1739" w:type="pct"/>
            <w:vMerge/>
          </w:tcPr>
          <w:p w14:paraId="6AA9289E" w14:textId="77777777" w:rsidR="00AC237C" w:rsidRPr="003478AF" w:rsidRDefault="00AC237C" w:rsidP="00684FEE">
            <w:pPr>
              <w:ind w:firstLine="0"/>
              <w:jc w:val="left"/>
              <w:rPr>
                <w:rFonts w:cs="Arial"/>
                <w:sz w:val="16"/>
                <w:szCs w:val="16"/>
              </w:rPr>
            </w:pPr>
          </w:p>
        </w:tc>
        <w:tc>
          <w:tcPr>
            <w:tcW w:w="2397" w:type="pct"/>
          </w:tcPr>
          <w:p w14:paraId="768814B4" w14:textId="77777777" w:rsidR="00AC237C" w:rsidRPr="003478AF" w:rsidRDefault="00AC237C" w:rsidP="00155D24">
            <w:pPr>
              <w:ind w:firstLine="0"/>
              <w:jc w:val="left"/>
              <w:rPr>
                <w:rFonts w:cs="Arial"/>
                <w:sz w:val="16"/>
                <w:szCs w:val="16"/>
              </w:rPr>
            </w:pPr>
            <w:r w:rsidRPr="003478AF">
              <w:rPr>
                <w:rFonts w:cs="Arial"/>
                <w:sz w:val="16"/>
                <w:szCs w:val="16"/>
              </w:rPr>
              <w:t xml:space="preserve">Liczba jednostek służb ratowniczych doposażonych w sprzęt do prowadzenia akcji ratowniczych i usuwania skutków katastrof </w:t>
            </w:r>
          </w:p>
        </w:tc>
        <w:tc>
          <w:tcPr>
            <w:tcW w:w="864" w:type="pct"/>
          </w:tcPr>
          <w:p w14:paraId="5D8F3F64" w14:textId="68077FE7" w:rsidR="00AC237C" w:rsidRPr="003478AF" w:rsidRDefault="00902A4D" w:rsidP="00AC237C">
            <w:pPr>
              <w:ind w:firstLine="0"/>
              <w:jc w:val="center"/>
              <w:rPr>
                <w:rFonts w:cs="Arial"/>
                <w:sz w:val="16"/>
                <w:szCs w:val="16"/>
              </w:rPr>
            </w:pPr>
            <w:r w:rsidRPr="003478AF">
              <w:rPr>
                <w:rFonts w:cs="Arial"/>
                <w:sz w:val="16"/>
                <w:szCs w:val="16"/>
              </w:rPr>
              <w:t>szt.</w:t>
            </w:r>
          </w:p>
        </w:tc>
      </w:tr>
      <w:tr w:rsidR="00AC237C" w:rsidRPr="003478AF" w14:paraId="71BAB7D8" w14:textId="77777777" w:rsidTr="00892CB1">
        <w:tc>
          <w:tcPr>
            <w:tcW w:w="1739" w:type="pct"/>
            <w:vMerge/>
          </w:tcPr>
          <w:p w14:paraId="4EC9EE77" w14:textId="77777777" w:rsidR="00AC237C" w:rsidRPr="003478AF" w:rsidRDefault="00AC237C" w:rsidP="00684FEE">
            <w:pPr>
              <w:ind w:firstLine="0"/>
              <w:jc w:val="left"/>
              <w:rPr>
                <w:rFonts w:cs="Arial"/>
                <w:sz w:val="16"/>
                <w:szCs w:val="16"/>
              </w:rPr>
            </w:pPr>
          </w:p>
        </w:tc>
        <w:tc>
          <w:tcPr>
            <w:tcW w:w="2397" w:type="pct"/>
          </w:tcPr>
          <w:p w14:paraId="33CE1E54" w14:textId="77777777" w:rsidR="00AC237C" w:rsidRPr="003478AF" w:rsidRDefault="00AC237C" w:rsidP="00155D24">
            <w:pPr>
              <w:ind w:firstLine="0"/>
              <w:jc w:val="left"/>
              <w:rPr>
                <w:rFonts w:cs="Arial"/>
                <w:sz w:val="16"/>
                <w:szCs w:val="16"/>
              </w:rPr>
            </w:pPr>
            <w:r w:rsidRPr="003478AF">
              <w:rPr>
                <w:rFonts w:cs="Arial"/>
                <w:sz w:val="16"/>
                <w:szCs w:val="16"/>
              </w:rPr>
              <w:t xml:space="preserve">Liczba zakupionych wozów pożarniczych wyposażonych w sprzęt do prowadzenia akcji ratowniczych i usuwania skutków katastrof </w:t>
            </w:r>
          </w:p>
        </w:tc>
        <w:tc>
          <w:tcPr>
            <w:tcW w:w="864" w:type="pct"/>
          </w:tcPr>
          <w:p w14:paraId="056E40DB" w14:textId="0121DA59" w:rsidR="00AC237C" w:rsidRPr="003478AF" w:rsidRDefault="00902A4D" w:rsidP="00AC237C">
            <w:pPr>
              <w:ind w:firstLine="0"/>
              <w:jc w:val="center"/>
              <w:rPr>
                <w:rFonts w:cs="Arial"/>
                <w:sz w:val="16"/>
                <w:szCs w:val="16"/>
              </w:rPr>
            </w:pPr>
            <w:r w:rsidRPr="003478AF">
              <w:rPr>
                <w:rFonts w:cs="Arial"/>
                <w:sz w:val="16"/>
                <w:szCs w:val="16"/>
              </w:rPr>
              <w:t>szt.</w:t>
            </w:r>
          </w:p>
        </w:tc>
      </w:tr>
      <w:tr w:rsidR="00684FEE" w:rsidRPr="003478AF" w14:paraId="6AAE8CE2" w14:textId="77777777" w:rsidTr="00892CB1">
        <w:tc>
          <w:tcPr>
            <w:tcW w:w="1739" w:type="pct"/>
            <w:vMerge w:val="restart"/>
          </w:tcPr>
          <w:p w14:paraId="232BD2B4" w14:textId="77777777" w:rsidR="00684FEE" w:rsidRPr="003478AF" w:rsidRDefault="00684FEE" w:rsidP="00684FEE">
            <w:pPr>
              <w:ind w:firstLine="0"/>
              <w:jc w:val="left"/>
              <w:rPr>
                <w:rFonts w:cs="Arial"/>
                <w:sz w:val="16"/>
                <w:szCs w:val="16"/>
              </w:rPr>
            </w:pPr>
            <w:r w:rsidRPr="003478AF">
              <w:rPr>
                <w:rFonts w:cs="Arial"/>
                <w:sz w:val="16"/>
                <w:szCs w:val="16"/>
              </w:rPr>
              <w:t xml:space="preserve">Gospodarka odpadami </w:t>
            </w:r>
          </w:p>
        </w:tc>
        <w:tc>
          <w:tcPr>
            <w:tcW w:w="2397" w:type="pct"/>
          </w:tcPr>
          <w:p w14:paraId="633F1955" w14:textId="77777777" w:rsidR="00684FEE" w:rsidRPr="003478AF" w:rsidRDefault="00684FEE" w:rsidP="00155D24">
            <w:pPr>
              <w:ind w:firstLine="0"/>
              <w:jc w:val="left"/>
              <w:rPr>
                <w:rFonts w:cs="Arial"/>
                <w:sz w:val="16"/>
                <w:szCs w:val="16"/>
              </w:rPr>
            </w:pPr>
            <w:r w:rsidRPr="003478AF">
              <w:rPr>
                <w:rFonts w:cs="Arial"/>
                <w:sz w:val="16"/>
                <w:szCs w:val="16"/>
              </w:rPr>
              <w:t>Liczba osób objętych systemem zagospodarowania odpadów</w:t>
            </w:r>
          </w:p>
        </w:tc>
        <w:tc>
          <w:tcPr>
            <w:tcW w:w="864" w:type="pct"/>
          </w:tcPr>
          <w:p w14:paraId="06BBB8D6" w14:textId="05B9ECC9" w:rsidR="00684FEE" w:rsidRPr="003478AF" w:rsidRDefault="00684FEE" w:rsidP="00684FEE">
            <w:pPr>
              <w:ind w:firstLine="0"/>
              <w:jc w:val="center"/>
              <w:rPr>
                <w:rFonts w:cs="Arial"/>
                <w:sz w:val="16"/>
                <w:szCs w:val="16"/>
              </w:rPr>
            </w:pPr>
            <w:r w:rsidRPr="003478AF">
              <w:rPr>
                <w:rFonts w:cs="Arial"/>
                <w:sz w:val="16"/>
                <w:szCs w:val="16"/>
              </w:rPr>
              <w:t>osoby</w:t>
            </w:r>
          </w:p>
        </w:tc>
      </w:tr>
      <w:tr w:rsidR="00684FEE" w:rsidRPr="003478AF" w14:paraId="582CCB20" w14:textId="77777777" w:rsidTr="00892CB1">
        <w:tc>
          <w:tcPr>
            <w:tcW w:w="1739" w:type="pct"/>
            <w:vMerge/>
          </w:tcPr>
          <w:p w14:paraId="455F9B35" w14:textId="77777777" w:rsidR="00684FEE" w:rsidRPr="003478AF" w:rsidRDefault="00684FEE" w:rsidP="00684FEE">
            <w:pPr>
              <w:ind w:firstLine="0"/>
              <w:jc w:val="left"/>
              <w:rPr>
                <w:rFonts w:cs="Arial"/>
                <w:sz w:val="16"/>
                <w:szCs w:val="16"/>
              </w:rPr>
            </w:pPr>
          </w:p>
        </w:tc>
        <w:tc>
          <w:tcPr>
            <w:tcW w:w="2397" w:type="pct"/>
          </w:tcPr>
          <w:p w14:paraId="7FD229AD" w14:textId="77777777" w:rsidR="00684FEE" w:rsidRPr="003478AF" w:rsidRDefault="00684FEE" w:rsidP="00155D24">
            <w:pPr>
              <w:ind w:firstLine="0"/>
              <w:jc w:val="left"/>
              <w:rPr>
                <w:rFonts w:cs="Arial"/>
                <w:sz w:val="16"/>
                <w:szCs w:val="16"/>
              </w:rPr>
            </w:pPr>
            <w:r w:rsidRPr="003478AF">
              <w:rPr>
                <w:rFonts w:cs="Arial"/>
                <w:sz w:val="16"/>
                <w:szCs w:val="16"/>
              </w:rPr>
              <w:t xml:space="preserve">Liczba osób objętych selektywnym zbieraniem odpadów </w:t>
            </w:r>
          </w:p>
        </w:tc>
        <w:tc>
          <w:tcPr>
            <w:tcW w:w="864" w:type="pct"/>
          </w:tcPr>
          <w:p w14:paraId="3C95C17E" w14:textId="2C46E1D8" w:rsidR="00684FEE" w:rsidRPr="003478AF" w:rsidRDefault="00684FEE" w:rsidP="00684FEE">
            <w:pPr>
              <w:ind w:firstLine="0"/>
              <w:jc w:val="center"/>
              <w:rPr>
                <w:rFonts w:cs="Arial"/>
                <w:sz w:val="16"/>
                <w:szCs w:val="16"/>
              </w:rPr>
            </w:pPr>
            <w:r w:rsidRPr="003478AF">
              <w:rPr>
                <w:rFonts w:cs="Arial"/>
                <w:sz w:val="16"/>
                <w:szCs w:val="16"/>
              </w:rPr>
              <w:t>osoby</w:t>
            </w:r>
          </w:p>
        </w:tc>
      </w:tr>
      <w:tr w:rsidR="00AC237C" w:rsidRPr="003478AF" w14:paraId="1920E375" w14:textId="77777777" w:rsidTr="00892CB1">
        <w:tc>
          <w:tcPr>
            <w:tcW w:w="1739" w:type="pct"/>
            <w:vMerge/>
          </w:tcPr>
          <w:p w14:paraId="497967FC" w14:textId="77777777" w:rsidR="00AC237C" w:rsidRPr="003478AF" w:rsidRDefault="00AC237C" w:rsidP="00684FEE">
            <w:pPr>
              <w:ind w:firstLine="0"/>
              <w:jc w:val="left"/>
              <w:rPr>
                <w:rFonts w:cs="Arial"/>
                <w:sz w:val="16"/>
                <w:szCs w:val="16"/>
              </w:rPr>
            </w:pPr>
          </w:p>
        </w:tc>
        <w:tc>
          <w:tcPr>
            <w:tcW w:w="2397" w:type="pct"/>
          </w:tcPr>
          <w:p w14:paraId="519714D3" w14:textId="77777777" w:rsidR="00AC237C" w:rsidRPr="003478AF" w:rsidRDefault="00AC237C" w:rsidP="00155D24">
            <w:pPr>
              <w:ind w:firstLine="0"/>
              <w:jc w:val="left"/>
              <w:rPr>
                <w:rFonts w:cs="Arial"/>
                <w:sz w:val="16"/>
                <w:szCs w:val="16"/>
              </w:rPr>
            </w:pPr>
            <w:r w:rsidRPr="003478AF">
              <w:rPr>
                <w:rFonts w:cs="Arial"/>
                <w:sz w:val="16"/>
                <w:szCs w:val="16"/>
              </w:rPr>
              <w:t xml:space="preserve">Liczba wspartych Punktów Selektywnego Zbierania Odpadów Komunalnych </w:t>
            </w:r>
          </w:p>
        </w:tc>
        <w:tc>
          <w:tcPr>
            <w:tcW w:w="864" w:type="pct"/>
          </w:tcPr>
          <w:p w14:paraId="2C06BA2C" w14:textId="57DF43FB" w:rsidR="00AC237C" w:rsidRPr="003478AF" w:rsidRDefault="00902A4D" w:rsidP="00AC237C">
            <w:pPr>
              <w:ind w:firstLine="0"/>
              <w:jc w:val="center"/>
              <w:rPr>
                <w:rFonts w:cs="Arial"/>
                <w:sz w:val="16"/>
                <w:szCs w:val="16"/>
              </w:rPr>
            </w:pPr>
            <w:r w:rsidRPr="003478AF">
              <w:rPr>
                <w:rFonts w:cs="Arial"/>
                <w:sz w:val="16"/>
                <w:szCs w:val="16"/>
              </w:rPr>
              <w:t>szt.</w:t>
            </w:r>
          </w:p>
        </w:tc>
      </w:tr>
      <w:tr w:rsidR="00AC237C" w:rsidRPr="003478AF" w14:paraId="6946E38D" w14:textId="77777777" w:rsidTr="00892CB1">
        <w:tc>
          <w:tcPr>
            <w:tcW w:w="1739" w:type="pct"/>
            <w:vMerge/>
          </w:tcPr>
          <w:p w14:paraId="1DC2BF32" w14:textId="77777777" w:rsidR="00AC237C" w:rsidRPr="003478AF" w:rsidRDefault="00AC237C" w:rsidP="00684FEE">
            <w:pPr>
              <w:ind w:firstLine="0"/>
              <w:jc w:val="left"/>
              <w:rPr>
                <w:rFonts w:cs="Arial"/>
                <w:sz w:val="16"/>
                <w:szCs w:val="16"/>
              </w:rPr>
            </w:pPr>
          </w:p>
        </w:tc>
        <w:tc>
          <w:tcPr>
            <w:tcW w:w="2397" w:type="pct"/>
          </w:tcPr>
          <w:p w14:paraId="532DA3C6" w14:textId="77777777" w:rsidR="00AC237C" w:rsidRPr="003478AF" w:rsidRDefault="00AC237C" w:rsidP="00155D24">
            <w:pPr>
              <w:ind w:firstLine="0"/>
              <w:jc w:val="left"/>
              <w:rPr>
                <w:rFonts w:cs="Arial"/>
                <w:sz w:val="16"/>
                <w:szCs w:val="16"/>
              </w:rPr>
            </w:pPr>
            <w:r w:rsidRPr="003478AF">
              <w:rPr>
                <w:rFonts w:cs="Arial"/>
                <w:sz w:val="16"/>
                <w:szCs w:val="16"/>
              </w:rPr>
              <w:t xml:space="preserve">Liczba zamkniętych lub zrekultywowanych składowisk odpadów </w:t>
            </w:r>
          </w:p>
        </w:tc>
        <w:tc>
          <w:tcPr>
            <w:tcW w:w="864" w:type="pct"/>
          </w:tcPr>
          <w:p w14:paraId="18F0CF21" w14:textId="4ABD6B2B" w:rsidR="00AC237C" w:rsidRPr="003478AF" w:rsidRDefault="00902A4D" w:rsidP="00AC237C">
            <w:pPr>
              <w:ind w:firstLine="0"/>
              <w:jc w:val="center"/>
              <w:rPr>
                <w:rFonts w:cs="Arial"/>
                <w:sz w:val="16"/>
                <w:szCs w:val="16"/>
              </w:rPr>
            </w:pPr>
            <w:r w:rsidRPr="003478AF">
              <w:rPr>
                <w:rFonts w:cs="Arial"/>
                <w:sz w:val="16"/>
                <w:szCs w:val="16"/>
              </w:rPr>
              <w:t>szt.</w:t>
            </w:r>
          </w:p>
        </w:tc>
      </w:tr>
      <w:tr w:rsidR="00AC237C" w:rsidRPr="003478AF" w14:paraId="5B9F6B76" w14:textId="77777777" w:rsidTr="00892CB1">
        <w:tc>
          <w:tcPr>
            <w:tcW w:w="1739" w:type="pct"/>
            <w:vMerge w:val="restart"/>
          </w:tcPr>
          <w:p w14:paraId="5F948BC3" w14:textId="77777777" w:rsidR="00AC237C" w:rsidRPr="003478AF" w:rsidRDefault="00AC237C" w:rsidP="00684FEE">
            <w:pPr>
              <w:ind w:firstLine="0"/>
              <w:jc w:val="left"/>
              <w:rPr>
                <w:rFonts w:cs="Arial"/>
                <w:sz w:val="16"/>
                <w:szCs w:val="16"/>
              </w:rPr>
            </w:pPr>
            <w:r w:rsidRPr="003478AF">
              <w:rPr>
                <w:rFonts w:cs="Arial"/>
                <w:sz w:val="16"/>
                <w:szCs w:val="16"/>
              </w:rPr>
              <w:t xml:space="preserve">Gospodarka wodno–ściekowa </w:t>
            </w:r>
          </w:p>
        </w:tc>
        <w:tc>
          <w:tcPr>
            <w:tcW w:w="2397" w:type="pct"/>
          </w:tcPr>
          <w:p w14:paraId="60C29520" w14:textId="77777777" w:rsidR="00AC237C" w:rsidRPr="003478AF" w:rsidRDefault="00AC237C" w:rsidP="00155D24">
            <w:pPr>
              <w:ind w:firstLine="0"/>
              <w:jc w:val="left"/>
              <w:rPr>
                <w:rFonts w:cs="Arial"/>
                <w:sz w:val="16"/>
                <w:szCs w:val="16"/>
              </w:rPr>
            </w:pPr>
            <w:r w:rsidRPr="003478AF">
              <w:rPr>
                <w:rFonts w:cs="Arial"/>
                <w:sz w:val="16"/>
                <w:szCs w:val="16"/>
              </w:rPr>
              <w:t xml:space="preserve">Liczba dodatkowych osób korzystających z ulepszonego oczyszczania ścieków </w:t>
            </w:r>
          </w:p>
        </w:tc>
        <w:tc>
          <w:tcPr>
            <w:tcW w:w="864" w:type="pct"/>
          </w:tcPr>
          <w:p w14:paraId="23DFCBF0" w14:textId="77777777" w:rsidR="00AC237C" w:rsidRPr="003478AF" w:rsidRDefault="00AC237C" w:rsidP="00AC237C">
            <w:pPr>
              <w:ind w:firstLine="0"/>
              <w:jc w:val="center"/>
              <w:rPr>
                <w:rFonts w:cs="Arial"/>
                <w:sz w:val="16"/>
                <w:szCs w:val="16"/>
              </w:rPr>
            </w:pPr>
            <w:r w:rsidRPr="003478AF">
              <w:rPr>
                <w:rFonts w:cs="Arial"/>
                <w:sz w:val="16"/>
                <w:szCs w:val="16"/>
              </w:rPr>
              <w:t>osoby</w:t>
            </w:r>
          </w:p>
        </w:tc>
      </w:tr>
      <w:tr w:rsidR="00AC237C" w:rsidRPr="003478AF" w14:paraId="2A512958" w14:textId="77777777" w:rsidTr="00892CB1">
        <w:tc>
          <w:tcPr>
            <w:tcW w:w="1739" w:type="pct"/>
            <w:vMerge/>
          </w:tcPr>
          <w:p w14:paraId="0DEA6D54" w14:textId="77777777" w:rsidR="00AC237C" w:rsidRPr="003478AF" w:rsidRDefault="00AC237C" w:rsidP="00684FEE">
            <w:pPr>
              <w:ind w:firstLine="0"/>
              <w:jc w:val="left"/>
              <w:rPr>
                <w:rFonts w:cs="Arial"/>
                <w:sz w:val="16"/>
                <w:szCs w:val="16"/>
              </w:rPr>
            </w:pPr>
          </w:p>
        </w:tc>
        <w:tc>
          <w:tcPr>
            <w:tcW w:w="2397" w:type="pct"/>
          </w:tcPr>
          <w:p w14:paraId="7570F2B9" w14:textId="77777777" w:rsidR="00AC237C" w:rsidRPr="003478AF" w:rsidRDefault="00AC237C" w:rsidP="00155D24">
            <w:pPr>
              <w:ind w:firstLine="0"/>
              <w:jc w:val="left"/>
              <w:rPr>
                <w:rFonts w:cs="Arial"/>
                <w:sz w:val="16"/>
                <w:szCs w:val="16"/>
              </w:rPr>
            </w:pPr>
            <w:r w:rsidRPr="003478AF">
              <w:rPr>
                <w:rFonts w:cs="Arial"/>
                <w:sz w:val="16"/>
                <w:szCs w:val="16"/>
              </w:rPr>
              <w:t xml:space="preserve">Długość wybudowanej, rozbudowanej lub zmodernizowanej kanalizacji sanitarnej </w:t>
            </w:r>
          </w:p>
        </w:tc>
        <w:tc>
          <w:tcPr>
            <w:tcW w:w="864" w:type="pct"/>
          </w:tcPr>
          <w:p w14:paraId="091CA0CA" w14:textId="77777777" w:rsidR="00AC237C" w:rsidRPr="003478AF" w:rsidRDefault="00AC237C" w:rsidP="00AC237C">
            <w:pPr>
              <w:ind w:firstLine="0"/>
              <w:jc w:val="center"/>
              <w:rPr>
                <w:rFonts w:cs="Arial"/>
                <w:sz w:val="16"/>
                <w:szCs w:val="16"/>
              </w:rPr>
            </w:pPr>
            <w:r w:rsidRPr="003478AF">
              <w:rPr>
                <w:rFonts w:cs="Arial"/>
                <w:sz w:val="16"/>
                <w:szCs w:val="16"/>
              </w:rPr>
              <w:t>km</w:t>
            </w:r>
          </w:p>
        </w:tc>
      </w:tr>
      <w:tr w:rsidR="00902A4D" w:rsidRPr="003478AF" w14:paraId="2943337D" w14:textId="77777777" w:rsidTr="00892CB1">
        <w:tc>
          <w:tcPr>
            <w:tcW w:w="1739" w:type="pct"/>
            <w:vMerge/>
          </w:tcPr>
          <w:p w14:paraId="06ABE525" w14:textId="77777777" w:rsidR="00902A4D" w:rsidRPr="003478AF" w:rsidRDefault="00902A4D" w:rsidP="00684FEE">
            <w:pPr>
              <w:ind w:firstLine="0"/>
              <w:jc w:val="left"/>
              <w:rPr>
                <w:rFonts w:cs="Arial"/>
                <w:sz w:val="16"/>
                <w:szCs w:val="16"/>
              </w:rPr>
            </w:pPr>
          </w:p>
        </w:tc>
        <w:tc>
          <w:tcPr>
            <w:tcW w:w="2397" w:type="pct"/>
          </w:tcPr>
          <w:p w14:paraId="0B827D8F" w14:textId="77777777" w:rsidR="00902A4D" w:rsidRPr="003478AF" w:rsidRDefault="00902A4D" w:rsidP="00155D24">
            <w:pPr>
              <w:ind w:firstLine="0"/>
              <w:jc w:val="left"/>
              <w:rPr>
                <w:rFonts w:cs="Arial"/>
                <w:sz w:val="16"/>
                <w:szCs w:val="16"/>
              </w:rPr>
            </w:pPr>
            <w:r w:rsidRPr="003478AF">
              <w:rPr>
                <w:rFonts w:cs="Arial"/>
                <w:sz w:val="16"/>
                <w:szCs w:val="16"/>
              </w:rPr>
              <w:t>Liczba wspartych oczyszczalni ścieków komunalnych</w:t>
            </w:r>
          </w:p>
        </w:tc>
        <w:tc>
          <w:tcPr>
            <w:tcW w:w="864" w:type="pct"/>
          </w:tcPr>
          <w:p w14:paraId="28178482" w14:textId="59B3EC68" w:rsidR="00902A4D" w:rsidRPr="003478AF" w:rsidRDefault="00902A4D" w:rsidP="00902A4D">
            <w:pPr>
              <w:ind w:firstLine="0"/>
              <w:jc w:val="center"/>
              <w:rPr>
                <w:rFonts w:cs="Arial"/>
                <w:sz w:val="16"/>
                <w:szCs w:val="16"/>
              </w:rPr>
            </w:pPr>
            <w:r w:rsidRPr="003478AF">
              <w:rPr>
                <w:rFonts w:cs="Arial"/>
                <w:sz w:val="16"/>
                <w:szCs w:val="16"/>
              </w:rPr>
              <w:t>szt.</w:t>
            </w:r>
          </w:p>
        </w:tc>
      </w:tr>
      <w:tr w:rsidR="00902A4D" w:rsidRPr="003478AF" w14:paraId="01D1D0B1" w14:textId="77777777" w:rsidTr="00892CB1">
        <w:tc>
          <w:tcPr>
            <w:tcW w:w="1739" w:type="pct"/>
            <w:vMerge w:val="restart"/>
          </w:tcPr>
          <w:p w14:paraId="121B0819" w14:textId="77777777" w:rsidR="00902A4D" w:rsidRPr="003478AF" w:rsidRDefault="00902A4D" w:rsidP="00684FEE">
            <w:pPr>
              <w:ind w:firstLine="0"/>
              <w:jc w:val="left"/>
              <w:rPr>
                <w:rFonts w:cs="Arial"/>
                <w:sz w:val="16"/>
                <w:szCs w:val="16"/>
              </w:rPr>
            </w:pPr>
            <w:r w:rsidRPr="003478AF">
              <w:rPr>
                <w:rFonts w:cs="Arial"/>
                <w:sz w:val="16"/>
                <w:szCs w:val="16"/>
              </w:rPr>
              <w:t xml:space="preserve">Ochrona przyrody </w:t>
            </w:r>
          </w:p>
          <w:p w14:paraId="321257B6" w14:textId="77777777" w:rsidR="00902A4D" w:rsidRPr="003478AF" w:rsidRDefault="00902A4D" w:rsidP="00684FEE">
            <w:pPr>
              <w:ind w:firstLine="0"/>
              <w:jc w:val="left"/>
              <w:rPr>
                <w:rFonts w:cs="Arial"/>
                <w:sz w:val="16"/>
                <w:szCs w:val="16"/>
              </w:rPr>
            </w:pPr>
          </w:p>
        </w:tc>
        <w:tc>
          <w:tcPr>
            <w:tcW w:w="2397" w:type="pct"/>
          </w:tcPr>
          <w:p w14:paraId="04BBB68A" w14:textId="77777777" w:rsidR="00902A4D" w:rsidRPr="003478AF" w:rsidRDefault="00902A4D" w:rsidP="00155D24">
            <w:pPr>
              <w:ind w:firstLine="0"/>
              <w:jc w:val="left"/>
              <w:rPr>
                <w:rFonts w:cs="Arial"/>
                <w:sz w:val="16"/>
                <w:szCs w:val="16"/>
              </w:rPr>
            </w:pPr>
            <w:r w:rsidRPr="003478AF">
              <w:rPr>
                <w:rFonts w:cs="Arial"/>
                <w:sz w:val="16"/>
                <w:szCs w:val="16"/>
              </w:rPr>
              <w:t xml:space="preserve">Liczba wspartych form ochrony przyrody </w:t>
            </w:r>
          </w:p>
        </w:tc>
        <w:tc>
          <w:tcPr>
            <w:tcW w:w="864" w:type="pct"/>
          </w:tcPr>
          <w:p w14:paraId="3056824F" w14:textId="040EA8F7" w:rsidR="00902A4D" w:rsidRPr="003478AF" w:rsidRDefault="00902A4D" w:rsidP="00902A4D">
            <w:pPr>
              <w:ind w:firstLine="0"/>
              <w:jc w:val="center"/>
              <w:rPr>
                <w:rFonts w:cs="Arial"/>
                <w:sz w:val="16"/>
                <w:szCs w:val="16"/>
              </w:rPr>
            </w:pPr>
            <w:r w:rsidRPr="003478AF">
              <w:rPr>
                <w:rFonts w:cs="Arial"/>
                <w:sz w:val="16"/>
                <w:szCs w:val="16"/>
              </w:rPr>
              <w:t>szt.</w:t>
            </w:r>
          </w:p>
        </w:tc>
      </w:tr>
      <w:tr w:rsidR="00902A4D" w:rsidRPr="003478AF" w14:paraId="2D02895B" w14:textId="77777777" w:rsidTr="00892CB1">
        <w:tc>
          <w:tcPr>
            <w:tcW w:w="1739" w:type="pct"/>
            <w:vMerge/>
          </w:tcPr>
          <w:p w14:paraId="693FCE6B" w14:textId="77777777" w:rsidR="00902A4D" w:rsidRPr="003478AF" w:rsidRDefault="00902A4D" w:rsidP="00684FEE">
            <w:pPr>
              <w:ind w:firstLine="0"/>
              <w:jc w:val="left"/>
              <w:rPr>
                <w:rFonts w:cs="Arial"/>
                <w:sz w:val="16"/>
                <w:szCs w:val="16"/>
              </w:rPr>
            </w:pPr>
          </w:p>
        </w:tc>
        <w:tc>
          <w:tcPr>
            <w:tcW w:w="2397" w:type="pct"/>
          </w:tcPr>
          <w:p w14:paraId="4FDEE0F3" w14:textId="77777777" w:rsidR="00902A4D" w:rsidRPr="003478AF" w:rsidRDefault="00902A4D" w:rsidP="00155D24">
            <w:pPr>
              <w:ind w:firstLine="0"/>
              <w:jc w:val="left"/>
              <w:rPr>
                <w:rFonts w:cs="Arial"/>
                <w:sz w:val="16"/>
                <w:szCs w:val="16"/>
              </w:rPr>
            </w:pPr>
            <w:r w:rsidRPr="003478AF">
              <w:rPr>
                <w:rFonts w:cs="Arial"/>
                <w:sz w:val="16"/>
                <w:szCs w:val="16"/>
              </w:rPr>
              <w:t xml:space="preserve">Liczba opracowanych dokumentów planistycznych z zakresu ochrony przyrody </w:t>
            </w:r>
          </w:p>
        </w:tc>
        <w:tc>
          <w:tcPr>
            <w:tcW w:w="864" w:type="pct"/>
          </w:tcPr>
          <w:p w14:paraId="3468A158" w14:textId="3565569C" w:rsidR="00902A4D" w:rsidRPr="003478AF" w:rsidRDefault="00902A4D" w:rsidP="00902A4D">
            <w:pPr>
              <w:ind w:firstLine="0"/>
              <w:jc w:val="center"/>
              <w:rPr>
                <w:rFonts w:cs="Arial"/>
                <w:sz w:val="16"/>
                <w:szCs w:val="16"/>
              </w:rPr>
            </w:pPr>
            <w:r w:rsidRPr="003478AF">
              <w:rPr>
                <w:rFonts w:cs="Arial"/>
                <w:sz w:val="16"/>
                <w:szCs w:val="16"/>
              </w:rPr>
              <w:t>szt.</w:t>
            </w:r>
          </w:p>
        </w:tc>
      </w:tr>
      <w:tr w:rsidR="00902A4D" w:rsidRPr="003478AF" w14:paraId="6E5E413D" w14:textId="77777777" w:rsidTr="00892CB1">
        <w:tc>
          <w:tcPr>
            <w:tcW w:w="1739" w:type="pct"/>
            <w:vMerge/>
          </w:tcPr>
          <w:p w14:paraId="555C4079" w14:textId="77777777" w:rsidR="00902A4D" w:rsidRPr="003478AF" w:rsidRDefault="00902A4D" w:rsidP="00684FEE">
            <w:pPr>
              <w:ind w:firstLine="0"/>
              <w:jc w:val="left"/>
              <w:rPr>
                <w:rFonts w:cs="Arial"/>
                <w:sz w:val="16"/>
                <w:szCs w:val="16"/>
              </w:rPr>
            </w:pPr>
          </w:p>
        </w:tc>
        <w:tc>
          <w:tcPr>
            <w:tcW w:w="2397" w:type="pct"/>
          </w:tcPr>
          <w:p w14:paraId="4F2248AF" w14:textId="77777777" w:rsidR="00902A4D" w:rsidRPr="003478AF" w:rsidRDefault="00902A4D" w:rsidP="00155D24">
            <w:pPr>
              <w:ind w:firstLine="0"/>
              <w:jc w:val="left"/>
              <w:rPr>
                <w:rFonts w:cs="Arial"/>
                <w:sz w:val="16"/>
                <w:szCs w:val="16"/>
              </w:rPr>
            </w:pPr>
            <w:r w:rsidRPr="003478AF">
              <w:rPr>
                <w:rFonts w:cs="Arial"/>
                <w:sz w:val="16"/>
                <w:szCs w:val="16"/>
              </w:rPr>
              <w:t xml:space="preserve">Liczba ośrodków prowadzących działalność w zakresie edukacji ekologicznej objętych wsparciem </w:t>
            </w:r>
          </w:p>
        </w:tc>
        <w:tc>
          <w:tcPr>
            <w:tcW w:w="864" w:type="pct"/>
          </w:tcPr>
          <w:p w14:paraId="714B3C89" w14:textId="3E10F57B" w:rsidR="00902A4D" w:rsidRPr="003478AF" w:rsidRDefault="00902A4D" w:rsidP="00902A4D">
            <w:pPr>
              <w:ind w:firstLine="0"/>
              <w:jc w:val="center"/>
              <w:rPr>
                <w:rFonts w:cs="Arial"/>
                <w:sz w:val="16"/>
                <w:szCs w:val="16"/>
              </w:rPr>
            </w:pPr>
            <w:r w:rsidRPr="003478AF">
              <w:rPr>
                <w:rFonts w:cs="Arial"/>
                <w:sz w:val="16"/>
                <w:szCs w:val="16"/>
              </w:rPr>
              <w:t>szt.</w:t>
            </w:r>
          </w:p>
        </w:tc>
      </w:tr>
      <w:tr w:rsidR="00AC237C" w:rsidRPr="003478AF" w14:paraId="74E9C7A8" w14:textId="77777777" w:rsidTr="00175EF7">
        <w:tc>
          <w:tcPr>
            <w:tcW w:w="5000" w:type="pct"/>
            <w:gridSpan w:val="3"/>
          </w:tcPr>
          <w:p w14:paraId="30F9A989" w14:textId="1F30FC35" w:rsidR="00AC237C" w:rsidRPr="003478AF" w:rsidRDefault="00AC237C" w:rsidP="00E136AA">
            <w:pPr>
              <w:ind w:firstLine="0"/>
              <w:jc w:val="center"/>
              <w:rPr>
                <w:rFonts w:cs="Arial"/>
                <w:b/>
                <w:sz w:val="16"/>
                <w:szCs w:val="16"/>
              </w:rPr>
            </w:pPr>
            <w:r w:rsidRPr="003478AF">
              <w:rPr>
                <w:rFonts w:cs="Arial"/>
                <w:b/>
                <w:sz w:val="16"/>
                <w:szCs w:val="16"/>
              </w:rPr>
              <w:t>Oś priorytetowa 9 Infrastruktura dla kapitału ludzkiego (EFRR)</w:t>
            </w:r>
          </w:p>
        </w:tc>
      </w:tr>
      <w:tr w:rsidR="00AC237C" w:rsidRPr="003478AF" w14:paraId="4063FF60" w14:textId="77777777" w:rsidTr="00892CB1">
        <w:tc>
          <w:tcPr>
            <w:tcW w:w="1739" w:type="pct"/>
            <w:vMerge w:val="restart"/>
          </w:tcPr>
          <w:p w14:paraId="479D5E88" w14:textId="77777777" w:rsidR="00AC237C" w:rsidRPr="003478AF" w:rsidRDefault="00AC237C" w:rsidP="00684FEE">
            <w:pPr>
              <w:ind w:firstLine="0"/>
              <w:jc w:val="left"/>
              <w:rPr>
                <w:rFonts w:cs="Arial"/>
                <w:sz w:val="16"/>
                <w:szCs w:val="16"/>
              </w:rPr>
            </w:pPr>
            <w:r w:rsidRPr="003478AF">
              <w:rPr>
                <w:rFonts w:cs="Arial"/>
                <w:sz w:val="16"/>
                <w:szCs w:val="16"/>
              </w:rPr>
              <w:t xml:space="preserve">Rewitalizacja obszarów problemowych </w:t>
            </w:r>
          </w:p>
        </w:tc>
        <w:tc>
          <w:tcPr>
            <w:tcW w:w="2397" w:type="pct"/>
          </w:tcPr>
          <w:p w14:paraId="7B4073D3" w14:textId="77777777" w:rsidR="00AC237C" w:rsidRPr="003478AF" w:rsidRDefault="00AC237C" w:rsidP="00155D24">
            <w:pPr>
              <w:ind w:firstLine="0"/>
              <w:jc w:val="left"/>
              <w:rPr>
                <w:rFonts w:cs="Arial"/>
                <w:sz w:val="16"/>
                <w:szCs w:val="16"/>
              </w:rPr>
            </w:pPr>
            <w:r w:rsidRPr="003478AF">
              <w:rPr>
                <w:rFonts w:cs="Arial"/>
                <w:sz w:val="16"/>
                <w:szCs w:val="16"/>
              </w:rPr>
              <w:t xml:space="preserve">Powierzchnia obszarów objętych rewitalizacją </w:t>
            </w:r>
          </w:p>
        </w:tc>
        <w:tc>
          <w:tcPr>
            <w:tcW w:w="864" w:type="pct"/>
          </w:tcPr>
          <w:p w14:paraId="72A85F7C" w14:textId="77777777" w:rsidR="00AC237C" w:rsidRPr="003478AF" w:rsidRDefault="00AC237C" w:rsidP="00AC237C">
            <w:pPr>
              <w:ind w:firstLine="0"/>
              <w:jc w:val="center"/>
              <w:rPr>
                <w:rFonts w:cs="Arial"/>
                <w:sz w:val="16"/>
                <w:szCs w:val="16"/>
              </w:rPr>
            </w:pPr>
            <w:r w:rsidRPr="003478AF">
              <w:rPr>
                <w:rFonts w:cs="Arial"/>
                <w:sz w:val="16"/>
                <w:szCs w:val="16"/>
              </w:rPr>
              <w:t>ha</w:t>
            </w:r>
          </w:p>
        </w:tc>
      </w:tr>
      <w:tr w:rsidR="00AC237C" w:rsidRPr="003478AF" w14:paraId="0A82DCA6" w14:textId="77777777" w:rsidTr="00892CB1">
        <w:tc>
          <w:tcPr>
            <w:tcW w:w="1739" w:type="pct"/>
            <w:vMerge/>
          </w:tcPr>
          <w:p w14:paraId="5748CBEF" w14:textId="77777777" w:rsidR="00AC237C" w:rsidRPr="003478AF" w:rsidRDefault="00AC237C" w:rsidP="00684FEE">
            <w:pPr>
              <w:ind w:firstLine="0"/>
              <w:jc w:val="left"/>
              <w:rPr>
                <w:rFonts w:cs="Arial"/>
                <w:sz w:val="16"/>
                <w:szCs w:val="16"/>
              </w:rPr>
            </w:pPr>
          </w:p>
        </w:tc>
        <w:tc>
          <w:tcPr>
            <w:tcW w:w="2397" w:type="pct"/>
          </w:tcPr>
          <w:p w14:paraId="1EC4634C" w14:textId="77777777" w:rsidR="00AC237C" w:rsidRPr="003478AF" w:rsidRDefault="00AC237C" w:rsidP="00155D24">
            <w:pPr>
              <w:ind w:firstLine="0"/>
              <w:jc w:val="left"/>
              <w:rPr>
                <w:rFonts w:cs="Arial"/>
                <w:sz w:val="16"/>
                <w:szCs w:val="16"/>
              </w:rPr>
            </w:pPr>
            <w:r w:rsidRPr="003478AF">
              <w:rPr>
                <w:rFonts w:cs="Arial"/>
                <w:sz w:val="16"/>
                <w:szCs w:val="16"/>
              </w:rPr>
              <w:t xml:space="preserve">Otwarta przestrzeń utworzona lub rekultywowana na obszarach miejskich </w:t>
            </w:r>
          </w:p>
        </w:tc>
        <w:tc>
          <w:tcPr>
            <w:tcW w:w="864" w:type="pct"/>
          </w:tcPr>
          <w:p w14:paraId="6F221B6B" w14:textId="77777777" w:rsidR="00AC237C" w:rsidRPr="003478AF" w:rsidRDefault="00AC237C" w:rsidP="00AC237C">
            <w:pPr>
              <w:ind w:firstLine="0"/>
              <w:jc w:val="center"/>
              <w:rPr>
                <w:rFonts w:cs="Arial"/>
                <w:sz w:val="16"/>
                <w:szCs w:val="16"/>
              </w:rPr>
            </w:pPr>
            <w:r w:rsidRPr="003478AF">
              <w:rPr>
                <w:rFonts w:cs="Arial"/>
                <w:sz w:val="16"/>
                <w:szCs w:val="16"/>
              </w:rPr>
              <w:t>m</w:t>
            </w:r>
            <w:r w:rsidRPr="003478AF">
              <w:rPr>
                <w:rFonts w:cs="Arial"/>
                <w:sz w:val="16"/>
                <w:szCs w:val="16"/>
                <w:vertAlign w:val="superscript"/>
              </w:rPr>
              <w:t>2</w:t>
            </w:r>
          </w:p>
        </w:tc>
      </w:tr>
    </w:tbl>
    <w:p w14:paraId="59577AAF" w14:textId="5A289127" w:rsidR="00AC237C" w:rsidRPr="003478AF" w:rsidRDefault="00892CB1" w:rsidP="00986D40">
      <w:pPr>
        <w:pStyle w:val="AZRODLO"/>
      </w:pPr>
      <w:r w:rsidRPr="003478AF">
        <w:t xml:space="preserve">Źródło: Opracowanie własne na podstawie danych Wielkopolskiego Regionalnego Programu Operacyjnego </w:t>
      </w:r>
      <w:r w:rsidRPr="003478AF">
        <w:br/>
        <w:t>na lata 2014-2020 WRPO 2014+. Zarząd Województwa Wielkopolskiego, Poznań 12 grudnia 2014 roku</w:t>
      </w:r>
    </w:p>
    <w:p w14:paraId="3CCD8865" w14:textId="7F52BA03" w:rsidR="00892CB1" w:rsidRPr="003478AF" w:rsidRDefault="00892CB1" w:rsidP="00892CB1">
      <w:pPr>
        <w:rPr>
          <w:szCs w:val="20"/>
        </w:rPr>
      </w:pPr>
    </w:p>
    <w:p w14:paraId="23B7031F" w14:textId="77777777" w:rsidR="00E136AA" w:rsidRPr="003478AF" w:rsidRDefault="00E136AA" w:rsidP="00892CB1">
      <w:pPr>
        <w:rPr>
          <w:szCs w:val="20"/>
        </w:rPr>
      </w:pPr>
    </w:p>
    <w:p w14:paraId="0C0A7620" w14:textId="49A1583B" w:rsidR="00AC237C" w:rsidRPr="003478AF" w:rsidRDefault="005D34A6" w:rsidP="00986D40">
      <w:pPr>
        <w:pStyle w:val="ARYCINA"/>
      </w:pPr>
      <w:r w:rsidRPr="003478AF">
        <w:t xml:space="preserve">Tab. </w:t>
      </w:r>
      <w:r w:rsidR="00AC237C" w:rsidRPr="003478AF">
        <w:t>4. Wskaźniki GOZ w Planie Gospodarki Odpadami Komunalnymi dla Wielkopolski na lata 2016-2022</w:t>
      </w:r>
    </w:p>
    <w:tbl>
      <w:tblPr>
        <w:tblStyle w:val="Tabela-Siatka"/>
        <w:tblW w:w="5000" w:type="pct"/>
        <w:tblLook w:val="04A0" w:firstRow="1" w:lastRow="0" w:firstColumn="1" w:lastColumn="0" w:noHBand="0" w:noVBand="1"/>
      </w:tblPr>
      <w:tblGrid>
        <w:gridCol w:w="2122"/>
        <w:gridCol w:w="4677"/>
        <w:gridCol w:w="1468"/>
      </w:tblGrid>
      <w:tr w:rsidR="00AC237C" w:rsidRPr="003478AF" w14:paraId="3BFA5B86" w14:textId="77777777" w:rsidTr="00E136AA">
        <w:trPr>
          <w:tblHeader/>
        </w:trPr>
        <w:tc>
          <w:tcPr>
            <w:tcW w:w="1283" w:type="pct"/>
            <w:shd w:val="clear" w:color="auto" w:fill="CCA879"/>
            <w:vAlign w:val="center"/>
          </w:tcPr>
          <w:p w14:paraId="08626858" w14:textId="77777777" w:rsidR="00AC237C" w:rsidRPr="003478AF" w:rsidRDefault="00AC237C" w:rsidP="00E136AA">
            <w:pPr>
              <w:ind w:firstLine="0"/>
              <w:jc w:val="center"/>
              <w:rPr>
                <w:rFonts w:cs="Arial"/>
                <w:b/>
                <w:sz w:val="16"/>
                <w:szCs w:val="16"/>
              </w:rPr>
            </w:pPr>
            <w:r w:rsidRPr="003478AF">
              <w:rPr>
                <w:rFonts w:cs="Arial"/>
                <w:b/>
                <w:sz w:val="16"/>
                <w:szCs w:val="16"/>
              </w:rPr>
              <w:t>Obszar interwencji/Działanie</w:t>
            </w:r>
          </w:p>
        </w:tc>
        <w:tc>
          <w:tcPr>
            <w:tcW w:w="2829" w:type="pct"/>
            <w:shd w:val="clear" w:color="auto" w:fill="CCA879"/>
            <w:vAlign w:val="center"/>
          </w:tcPr>
          <w:p w14:paraId="4249ACB8" w14:textId="77777777" w:rsidR="00AC237C" w:rsidRPr="003478AF" w:rsidRDefault="00AC237C" w:rsidP="00E136AA">
            <w:pPr>
              <w:ind w:firstLine="0"/>
              <w:jc w:val="center"/>
              <w:rPr>
                <w:rFonts w:cs="Arial"/>
                <w:b/>
                <w:sz w:val="16"/>
                <w:szCs w:val="16"/>
              </w:rPr>
            </w:pPr>
            <w:r w:rsidRPr="003478AF">
              <w:rPr>
                <w:rFonts w:cs="Arial"/>
                <w:b/>
                <w:sz w:val="16"/>
                <w:szCs w:val="16"/>
              </w:rPr>
              <w:t>Wskaźnik</w:t>
            </w:r>
          </w:p>
        </w:tc>
        <w:tc>
          <w:tcPr>
            <w:tcW w:w="888" w:type="pct"/>
            <w:shd w:val="clear" w:color="auto" w:fill="CCA879"/>
            <w:vAlign w:val="center"/>
          </w:tcPr>
          <w:p w14:paraId="1F73E3E4" w14:textId="7AAC136A" w:rsidR="00AC237C" w:rsidRPr="003478AF" w:rsidRDefault="00AC237C" w:rsidP="00E136AA">
            <w:pPr>
              <w:ind w:firstLine="0"/>
              <w:jc w:val="center"/>
              <w:rPr>
                <w:rFonts w:cs="Arial"/>
                <w:b/>
                <w:sz w:val="16"/>
                <w:szCs w:val="16"/>
              </w:rPr>
            </w:pPr>
            <w:r w:rsidRPr="003478AF">
              <w:rPr>
                <w:rFonts w:cs="Arial"/>
                <w:b/>
                <w:sz w:val="16"/>
                <w:szCs w:val="16"/>
              </w:rPr>
              <w:t>Jednostka miary</w:t>
            </w:r>
          </w:p>
        </w:tc>
      </w:tr>
      <w:tr w:rsidR="00AC237C" w:rsidRPr="003478AF" w14:paraId="16EC2902" w14:textId="77777777" w:rsidTr="00E136AA">
        <w:tc>
          <w:tcPr>
            <w:tcW w:w="1283" w:type="pct"/>
            <w:vMerge w:val="restart"/>
            <w:vAlign w:val="center"/>
          </w:tcPr>
          <w:p w14:paraId="0E95F847" w14:textId="77777777" w:rsidR="00AC237C" w:rsidRPr="003478AF" w:rsidRDefault="00AC237C" w:rsidP="00E136AA">
            <w:pPr>
              <w:ind w:firstLine="0"/>
              <w:jc w:val="left"/>
              <w:rPr>
                <w:rFonts w:cs="Arial"/>
                <w:sz w:val="16"/>
                <w:szCs w:val="16"/>
              </w:rPr>
            </w:pPr>
            <w:r w:rsidRPr="003478AF">
              <w:rPr>
                <w:rFonts w:cs="Arial"/>
                <w:sz w:val="16"/>
                <w:szCs w:val="16"/>
              </w:rPr>
              <w:t>Ogólne</w:t>
            </w:r>
          </w:p>
        </w:tc>
        <w:tc>
          <w:tcPr>
            <w:tcW w:w="2829" w:type="pct"/>
            <w:vAlign w:val="center"/>
          </w:tcPr>
          <w:p w14:paraId="2A62720B" w14:textId="77777777" w:rsidR="00AC237C" w:rsidRPr="003478AF" w:rsidRDefault="00AC237C" w:rsidP="00E136AA">
            <w:pPr>
              <w:ind w:firstLine="0"/>
              <w:jc w:val="left"/>
              <w:rPr>
                <w:rFonts w:cs="Arial"/>
                <w:sz w:val="16"/>
                <w:szCs w:val="16"/>
              </w:rPr>
            </w:pPr>
            <w:r w:rsidRPr="003478AF">
              <w:rPr>
                <w:rFonts w:cs="Arial"/>
                <w:sz w:val="16"/>
                <w:szCs w:val="16"/>
              </w:rPr>
              <w:t xml:space="preserve">Masa odpadów wytworzonych – ogółem </w:t>
            </w:r>
          </w:p>
        </w:tc>
        <w:tc>
          <w:tcPr>
            <w:tcW w:w="888" w:type="pct"/>
            <w:vAlign w:val="center"/>
          </w:tcPr>
          <w:p w14:paraId="1DBDD6F5" w14:textId="55781636" w:rsidR="00AC237C" w:rsidRPr="003478AF" w:rsidRDefault="00684833" w:rsidP="00E136AA">
            <w:pPr>
              <w:ind w:firstLine="0"/>
              <w:jc w:val="center"/>
              <w:rPr>
                <w:rFonts w:cs="Arial"/>
                <w:sz w:val="16"/>
                <w:szCs w:val="16"/>
              </w:rPr>
            </w:pPr>
            <w:r w:rsidRPr="003478AF">
              <w:rPr>
                <w:rFonts w:eastAsia="Times New Roman" w:cs="Arial"/>
                <w:sz w:val="16"/>
                <w:szCs w:val="16"/>
                <w:lang w:eastAsia="pl-PL"/>
              </w:rPr>
              <w:t>t (tona)</w:t>
            </w:r>
          </w:p>
        </w:tc>
      </w:tr>
      <w:tr w:rsidR="00AC237C" w:rsidRPr="003478AF" w14:paraId="5EB0BBB2" w14:textId="77777777" w:rsidTr="00E136AA">
        <w:tc>
          <w:tcPr>
            <w:tcW w:w="1283" w:type="pct"/>
            <w:vMerge/>
            <w:vAlign w:val="center"/>
          </w:tcPr>
          <w:p w14:paraId="7CEDE772" w14:textId="77777777" w:rsidR="00AC237C" w:rsidRPr="003478AF" w:rsidRDefault="00AC237C" w:rsidP="00E136AA">
            <w:pPr>
              <w:ind w:firstLine="0"/>
              <w:jc w:val="left"/>
              <w:rPr>
                <w:rFonts w:cs="Arial"/>
                <w:sz w:val="16"/>
                <w:szCs w:val="16"/>
              </w:rPr>
            </w:pPr>
          </w:p>
        </w:tc>
        <w:tc>
          <w:tcPr>
            <w:tcW w:w="2829" w:type="pct"/>
            <w:vAlign w:val="center"/>
          </w:tcPr>
          <w:p w14:paraId="4DD509AF" w14:textId="77777777" w:rsidR="00AC237C" w:rsidRPr="003478AF" w:rsidRDefault="00AC237C" w:rsidP="00E136AA">
            <w:pPr>
              <w:ind w:firstLine="0"/>
              <w:jc w:val="left"/>
              <w:rPr>
                <w:rFonts w:cs="Arial"/>
                <w:sz w:val="16"/>
                <w:szCs w:val="16"/>
              </w:rPr>
            </w:pPr>
            <w:r w:rsidRPr="003478AF">
              <w:rPr>
                <w:rFonts w:cs="Arial"/>
                <w:sz w:val="16"/>
                <w:szCs w:val="16"/>
              </w:rPr>
              <w:t xml:space="preserve">Odsetek masy odpadów wytworzonych poddanych odzyskowi/recyklingowi </w:t>
            </w:r>
          </w:p>
        </w:tc>
        <w:tc>
          <w:tcPr>
            <w:tcW w:w="888" w:type="pct"/>
            <w:vAlign w:val="center"/>
          </w:tcPr>
          <w:p w14:paraId="00E14F6D" w14:textId="77777777" w:rsidR="00AC237C" w:rsidRPr="003478AF" w:rsidRDefault="00AC237C" w:rsidP="00E136AA">
            <w:pPr>
              <w:ind w:firstLine="0"/>
              <w:jc w:val="center"/>
              <w:rPr>
                <w:rFonts w:cs="Arial"/>
                <w:sz w:val="16"/>
                <w:szCs w:val="16"/>
              </w:rPr>
            </w:pPr>
            <w:r w:rsidRPr="003478AF">
              <w:rPr>
                <w:rFonts w:cs="Arial"/>
                <w:sz w:val="16"/>
                <w:szCs w:val="16"/>
              </w:rPr>
              <w:t>%</w:t>
            </w:r>
          </w:p>
        </w:tc>
      </w:tr>
      <w:tr w:rsidR="00AC237C" w:rsidRPr="003478AF" w14:paraId="251A93A3" w14:textId="77777777" w:rsidTr="00E136AA">
        <w:tc>
          <w:tcPr>
            <w:tcW w:w="1283" w:type="pct"/>
            <w:vMerge/>
            <w:vAlign w:val="center"/>
          </w:tcPr>
          <w:p w14:paraId="3D1D9739" w14:textId="77777777" w:rsidR="00AC237C" w:rsidRPr="003478AF" w:rsidRDefault="00AC237C" w:rsidP="00E136AA">
            <w:pPr>
              <w:ind w:firstLine="0"/>
              <w:jc w:val="left"/>
              <w:rPr>
                <w:rFonts w:cs="Arial"/>
                <w:sz w:val="16"/>
                <w:szCs w:val="16"/>
              </w:rPr>
            </w:pPr>
          </w:p>
        </w:tc>
        <w:tc>
          <w:tcPr>
            <w:tcW w:w="2829" w:type="pct"/>
            <w:vAlign w:val="center"/>
          </w:tcPr>
          <w:p w14:paraId="333F38CE" w14:textId="77777777" w:rsidR="00AC237C" w:rsidRPr="003478AF" w:rsidRDefault="00AC237C" w:rsidP="00E136AA">
            <w:pPr>
              <w:ind w:firstLine="0"/>
              <w:jc w:val="left"/>
              <w:rPr>
                <w:rFonts w:cs="Arial"/>
                <w:sz w:val="16"/>
                <w:szCs w:val="16"/>
              </w:rPr>
            </w:pPr>
            <w:r w:rsidRPr="003478AF">
              <w:rPr>
                <w:rFonts w:cs="Arial"/>
                <w:sz w:val="16"/>
                <w:szCs w:val="16"/>
              </w:rPr>
              <w:t>Odsetek masy odpadów wytworzonych poddanych składowaniu bez przetworzenia</w:t>
            </w:r>
          </w:p>
        </w:tc>
        <w:tc>
          <w:tcPr>
            <w:tcW w:w="888" w:type="pct"/>
            <w:vAlign w:val="center"/>
          </w:tcPr>
          <w:p w14:paraId="1B72FB2C" w14:textId="77777777" w:rsidR="00AC237C" w:rsidRPr="003478AF" w:rsidRDefault="00AC237C" w:rsidP="00E136AA">
            <w:pPr>
              <w:ind w:firstLine="0"/>
              <w:jc w:val="center"/>
              <w:rPr>
                <w:rFonts w:cs="Arial"/>
                <w:sz w:val="16"/>
                <w:szCs w:val="16"/>
              </w:rPr>
            </w:pPr>
            <w:r w:rsidRPr="003478AF">
              <w:rPr>
                <w:rFonts w:cs="Arial"/>
                <w:sz w:val="16"/>
                <w:szCs w:val="16"/>
              </w:rPr>
              <w:t>%</w:t>
            </w:r>
          </w:p>
        </w:tc>
      </w:tr>
      <w:tr w:rsidR="00AC237C" w:rsidRPr="003478AF" w14:paraId="5F126F04" w14:textId="77777777" w:rsidTr="00E136AA">
        <w:tc>
          <w:tcPr>
            <w:tcW w:w="1283" w:type="pct"/>
            <w:vMerge w:val="restart"/>
            <w:vAlign w:val="center"/>
          </w:tcPr>
          <w:p w14:paraId="079EA717" w14:textId="77777777" w:rsidR="00AC237C" w:rsidRPr="003478AF" w:rsidRDefault="00AC237C" w:rsidP="00E136AA">
            <w:pPr>
              <w:ind w:firstLine="0"/>
              <w:jc w:val="left"/>
              <w:rPr>
                <w:rFonts w:cs="Arial"/>
                <w:sz w:val="16"/>
                <w:szCs w:val="16"/>
              </w:rPr>
            </w:pPr>
            <w:r w:rsidRPr="003478AF">
              <w:rPr>
                <w:rFonts w:cs="Arial"/>
                <w:sz w:val="16"/>
                <w:szCs w:val="16"/>
              </w:rPr>
              <w:t>Odpady komunalne</w:t>
            </w:r>
          </w:p>
        </w:tc>
        <w:tc>
          <w:tcPr>
            <w:tcW w:w="2829" w:type="pct"/>
            <w:vAlign w:val="center"/>
          </w:tcPr>
          <w:p w14:paraId="6C7CCCC8" w14:textId="77777777" w:rsidR="00AC237C" w:rsidRPr="003478AF" w:rsidRDefault="00AC237C" w:rsidP="00E136AA">
            <w:pPr>
              <w:ind w:firstLine="0"/>
              <w:jc w:val="left"/>
              <w:rPr>
                <w:rFonts w:cs="Arial"/>
                <w:sz w:val="16"/>
                <w:szCs w:val="16"/>
              </w:rPr>
            </w:pPr>
            <w:r w:rsidRPr="003478AF">
              <w:rPr>
                <w:rFonts w:cs="Arial"/>
                <w:sz w:val="16"/>
                <w:szCs w:val="16"/>
              </w:rPr>
              <w:t>Liczba mieszkańców</w:t>
            </w:r>
          </w:p>
        </w:tc>
        <w:tc>
          <w:tcPr>
            <w:tcW w:w="888" w:type="pct"/>
            <w:vAlign w:val="center"/>
          </w:tcPr>
          <w:p w14:paraId="0AC9140A" w14:textId="77777777" w:rsidR="00AC237C" w:rsidRPr="003478AF" w:rsidRDefault="00AC237C" w:rsidP="00E136AA">
            <w:pPr>
              <w:ind w:firstLine="0"/>
              <w:jc w:val="center"/>
              <w:rPr>
                <w:rFonts w:cs="Arial"/>
                <w:sz w:val="16"/>
                <w:szCs w:val="16"/>
              </w:rPr>
            </w:pPr>
            <w:r w:rsidRPr="003478AF">
              <w:rPr>
                <w:rFonts w:cs="Arial"/>
                <w:sz w:val="16"/>
                <w:szCs w:val="16"/>
              </w:rPr>
              <w:t>mln</w:t>
            </w:r>
          </w:p>
        </w:tc>
      </w:tr>
      <w:tr w:rsidR="00AC237C" w:rsidRPr="003478AF" w14:paraId="71F8F4B4" w14:textId="77777777" w:rsidTr="00E136AA">
        <w:tc>
          <w:tcPr>
            <w:tcW w:w="1283" w:type="pct"/>
            <w:vMerge/>
            <w:vAlign w:val="center"/>
          </w:tcPr>
          <w:p w14:paraId="6139CCCF" w14:textId="77777777" w:rsidR="00AC237C" w:rsidRPr="003478AF" w:rsidRDefault="00AC237C" w:rsidP="00E136AA">
            <w:pPr>
              <w:ind w:firstLine="0"/>
              <w:jc w:val="left"/>
              <w:rPr>
                <w:rFonts w:cs="Arial"/>
                <w:sz w:val="16"/>
                <w:szCs w:val="16"/>
              </w:rPr>
            </w:pPr>
          </w:p>
        </w:tc>
        <w:tc>
          <w:tcPr>
            <w:tcW w:w="2829" w:type="pct"/>
            <w:vAlign w:val="center"/>
          </w:tcPr>
          <w:p w14:paraId="017311AC" w14:textId="77777777" w:rsidR="00AC237C" w:rsidRPr="003478AF" w:rsidRDefault="00AC237C" w:rsidP="00E136AA">
            <w:pPr>
              <w:ind w:firstLine="0"/>
              <w:jc w:val="left"/>
              <w:rPr>
                <w:rFonts w:cs="Arial"/>
                <w:sz w:val="16"/>
                <w:szCs w:val="16"/>
              </w:rPr>
            </w:pPr>
            <w:r w:rsidRPr="003478AF">
              <w:rPr>
                <w:rFonts w:cs="Arial"/>
                <w:sz w:val="16"/>
                <w:szCs w:val="16"/>
              </w:rPr>
              <w:t xml:space="preserve">Masa zebranych/ odebranych odpadów komunalnych – ogółem </w:t>
            </w:r>
          </w:p>
        </w:tc>
        <w:tc>
          <w:tcPr>
            <w:tcW w:w="888" w:type="pct"/>
            <w:vAlign w:val="center"/>
          </w:tcPr>
          <w:p w14:paraId="36799940" w14:textId="7AF8E81C" w:rsidR="00AC237C" w:rsidRPr="003478AF" w:rsidRDefault="00AC237C" w:rsidP="00E136AA">
            <w:pPr>
              <w:ind w:firstLine="0"/>
              <w:jc w:val="center"/>
              <w:rPr>
                <w:rFonts w:cs="Arial"/>
                <w:sz w:val="16"/>
                <w:szCs w:val="16"/>
              </w:rPr>
            </w:pPr>
            <w:r w:rsidRPr="003478AF">
              <w:rPr>
                <w:rFonts w:cs="Arial"/>
                <w:sz w:val="16"/>
                <w:szCs w:val="16"/>
              </w:rPr>
              <w:t xml:space="preserve">tys. </w:t>
            </w:r>
            <w:r w:rsidR="00684833" w:rsidRPr="003478AF">
              <w:rPr>
                <w:rFonts w:cs="Arial"/>
                <w:sz w:val="16"/>
                <w:szCs w:val="16"/>
              </w:rPr>
              <w:t>ton</w:t>
            </w:r>
          </w:p>
        </w:tc>
      </w:tr>
      <w:tr w:rsidR="00AC237C" w:rsidRPr="003478AF" w14:paraId="399793A7" w14:textId="77777777" w:rsidTr="00E136AA">
        <w:tc>
          <w:tcPr>
            <w:tcW w:w="1283" w:type="pct"/>
            <w:vMerge/>
            <w:vAlign w:val="center"/>
          </w:tcPr>
          <w:p w14:paraId="76D09B7E" w14:textId="77777777" w:rsidR="00AC237C" w:rsidRPr="003478AF" w:rsidRDefault="00AC237C" w:rsidP="00E136AA">
            <w:pPr>
              <w:ind w:firstLine="0"/>
              <w:jc w:val="left"/>
              <w:rPr>
                <w:rFonts w:cs="Arial"/>
                <w:sz w:val="16"/>
                <w:szCs w:val="16"/>
              </w:rPr>
            </w:pPr>
          </w:p>
        </w:tc>
        <w:tc>
          <w:tcPr>
            <w:tcW w:w="2829" w:type="pct"/>
            <w:vAlign w:val="center"/>
          </w:tcPr>
          <w:p w14:paraId="3BEA2596" w14:textId="77777777" w:rsidR="00AC237C" w:rsidRPr="003478AF" w:rsidRDefault="00AC237C" w:rsidP="00E136AA">
            <w:pPr>
              <w:ind w:firstLine="0"/>
              <w:jc w:val="left"/>
              <w:rPr>
                <w:rFonts w:cs="Arial"/>
                <w:sz w:val="16"/>
                <w:szCs w:val="16"/>
              </w:rPr>
            </w:pPr>
            <w:r w:rsidRPr="003478AF">
              <w:rPr>
                <w:rFonts w:cs="Arial"/>
                <w:sz w:val="16"/>
                <w:szCs w:val="16"/>
              </w:rPr>
              <w:t>Masa odpadów komunalnych zebranych/ odebranych selektywnie</w:t>
            </w:r>
          </w:p>
        </w:tc>
        <w:tc>
          <w:tcPr>
            <w:tcW w:w="888" w:type="pct"/>
            <w:vAlign w:val="center"/>
          </w:tcPr>
          <w:p w14:paraId="20B0CC3A" w14:textId="39ED79DA" w:rsidR="00AC237C" w:rsidRPr="003478AF" w:rsidRDefault="00AC237C" w:rsidP="00E136AA">
            <w:pPr>
              <w:ind w:firstLine="0"/>
              <w:jc w:val="center"/>
              <w:rPr>
                <w:rFonts w:cs="Arial"/>
                <w:sz w:val="16"/>
                <w:szCs w:val="16"/>
              </w:rPr>
            </w:pPr>
            <w:r w:rsidRPr="003478AF">
              <w:rPr>
                <w:rFonts w:cs="Arial"/>
                <w:sz w:val="16"/>
                <w:szCs w:val="16"/>
              </w:rPr>
              <w:t xml:space="preserve">tys. </w:t>
            </w:r>
            <w:r w:rsidR="00684833" w:rsidRPr="003478AF">
              <w:rPr>
                <w:rFonts w:cs="Arial"/>
                <w:sz w:val="16"/>
                <w:szCs w:val="16"/>
              </w:rPr>
              <w:t>ton</w:t>
            </w:r>
          </w:p>
        </w:tc>
      </w:tr>
      <w:tr w:rsidR="00AC237C" w:rsidRPr="003478AF" w14:paraId="2B731C17" w14:textId="77777777" w:rsidTr="00E136AA">
        <w:tc>
          <w:tcPr>
            <w:tcW w:w="1283" w:type="pct"/>
            <w:vMerge/>
            <w:vAlign w:val="center"/>
          </w:tcPr>
          <w:p w14:paraId="07084B8F" w14:textId="77777777" w:rsidR="00AC237C" w:rsidRPr="003478AF" w:rsidRDefault="00AC237C" w:rsidP="00E136AA">
            <w:pPr>
              <w:ind w:firstLine="0"/>
              <w:jc w:val="left"/>
              <w:rPr>
                <w:rFonts w:cs="Arial"/>
                <w:sz w:val="16"/>
                <w:szCs w:val="16"/>
              </w:rPr>
            </w:pPr>
          </w:p>
        </w:tc>
        <w:tc>
          <w:tcPr>
            <w:tcW w:w="2829" w:type="pct"/>
            <w:vAlign w:val="center"/>
          </w:tcPr>
          <w:p w14:paraId="644750EA" w14:textId="154D60E8" w:rsidR="00AC237C" w:rsidRPr="003478AF" w:rsidRDefault="00AC237C" w:rsidP="00E136AA">
            <w:pPr>
              <w:ind w:firstLine="0"/>
              <w:jc w:val="left"/>
              <w:rPr>
                <w:rFonts w:cs="Arial"/>
                <w:sz w:val="16"/>
                <w:szCs w:val="16"/>
              </w:rPr>
            </w:pPr>
            <w:r w:rsidRPr="003478AF">
              <w:rPr>
                <w:rFonts w:cs="Arial"/>
                <w:sz w:val="16"/>
                <w:szCs w:val="16"/>
              </w:rPr>
              <w:t xml:space="preserve">Masa odpadów komunalnych </w:t>
            </w:r>
            <w:r w:rsidR="00684FEE" w:rsidRPr="003478AF">
              <w:rPr>
                <w:rFonts w:cs="Arial"/>
                <w:sz w:val="16"/>
                <w:szCs w:val="16"/>
              </w:rPr>
              <w:t>odebranych</w:t>
            </w:r>
            <w:r w:rsidRPr="003478AF">
              <w:rPr>
                <w:rFonts w:cs="Arial"/>
                <w:sz w:val="16"/>
                <w:szCs w:val="16"/>
              </w:rPr>
              <w:t xml:space="preserve"> jako zmieszane odpady komunalne </w:t>
            </w:r>
          </w:p>
        </w:tc>
        <w:tc>
          <w:tcPr>
            <w:tcW w:w="888" w:type="pct"/>
            <w:vAlign w:val="center"/>
          </w:tcPr>
          <w:p w14:paraId="1EF8020B" w14:textId="66686773" w:rsidR="00AC237C" w:rsidRPr="003478AF" w:rsidRDefault="00AC237C" w:rsidP="00E136AA">
            <w:pPr>
              <w:ind w:firstLine="0"/>
              <w:jc w:val="center"/>
              <w:rPr>
                <w:rFonts w:cs="Arial"/>
                <w:sz w:val="16"/>
                <w:szCs w:val="16"/>
              </w:rPr>
            </w:pPr>
            <w:r w:rsidRPr="003478AF">
              <w:rPr>
                <w:rFonts w:cs="Arial"/>
                <w:sz w:val="16"/>
                <w:szCs w:val="16"/>
              </w:rPr>
              <w:t xml:space="preserve">tys. </w:t>
            </w:r>
            <w:r w:rsidR="00684833" w:rsidRPr="003478AF">
              <w:rPr>
                <w:rFonts w:cs="Arial"/>
                <w:sz w:val="16"/>
                <w:szCs w:val="16"/>
              </w:rPr>
              <w:t>ton</w:t>
            </w:r>
          </w:p>
        </w:tc>
      </w:tr>
      <w:tr w:rsidR="00AC237C" w:rsidRPr="003478AF" w14:paraId="63FDA2EA" w14:textId="77777777" w:rsidTr="00E136AA">
        <w:tc>
          <w:tcPr>
            <w:tcW w:w="1283" w:type="pct"/>
            <w:vMerge/>
            <w:vAlign w:val="center"/>
          </w:tcPr>
          <w:p w14:paraId="7A096BC1" w14:textId="77777777" w:rsidR="00AC237C" w:rsidRPr="003478AF" w:rsidRDefault="00AC237C" w:rsidP="00E136AA">
            <w:pPr>
              <w:ind w:firstLine="0"/>
              <w:jc w:val="left"/>
              <w:rPr>
                <w:rFonts w:cs="Arial"/>
                <w:sz w:val="16"/>
                <w:szCs w:val="16"/>
              </w:rPr>
            </w:pPr>
          </w:p>
        </w:tc>
        <w:tc>
          <w:tcPr>
            <w:tcW w:w="2829" w:type="pct"/>
            <w:vAlign w:val="center"/>
          </w:tcPr>
          <w:p w14:paraId="5677BD4E" w14:textId="77777777" w:rsidR="00AC237C" w:rsidRPr="003478AF" w:rsidRDefault="00AC237C" w:rsidP="00E136AA">
            <w:pPr>
              <w:ind w:firstLine="0"/>
              <w:jc w:val="left"/>
              <w:rPr>
                <w:rFonts w:cs="Arial"/>
                <w:sz w:val="16"/>
                <w:szCs w:val="16"/>
              </w:rPr>
            </w:pPr>
            <w:r w:rsidRPr="003478AF">
              <w:rPr>
                <w:rFonts w:cs="Arial"/>
                <w:sz w:val="16"/>
                <w:szCs w:val="16"/>
              </w:rPr>
              <w:t>Ilość odbieranych/zbieranych odpadów komunalnych na mieszkańca</w:t>
            </w:r>
          </w:p>
        </w:tc>
        <w:tc>
          <w:tcPr>
            <w:tcW w:w="888" w:type="pct"/>
            <w:vAlign w:val="center"/>
          </w:tcPr>
          <w:p w14:paraId="4AA62C48" w14:textId="610CE692" w:rsidR="00AC237C" w:rsidRPr="003478AF" w:rsidRDefault="00892CB1" w:rsidP="00E136AA">
            <w:pPr>
              <w:ind w:firstLine="0"/>
              <w:jc w:val="center"/>
              <w:rPr>
                <w:rFonts w:cs="Arial"/>
                <w:sz w:val="16"/>
                <w:szCs w:val="16"/>
              </w:rPr>
            </w:pPr>
            <w:r w:rsidRPr="003478AF">
              <w:rPr>
                <w:rFonts w:cs="Arial"/>
                <w:sz w:val="16"/>
                <w:szCs w:val="16"/>
              </w:rPr>
              <w:t>kg/</w:t>
            </w:r>
            <w:r w:rsidR="00AC237C" w:rsidRPr="003478AF">
              <w:rPr>
                <w:rFonts w:cs="Arial"/>
                <w:sz w:val="16"/>
                <w:szCs w:val="16"/>
              </w:rPr>
              <w:t>rok</w:t>
            </w:r>
          </w:p>
        </w:tc>
      </w:tr>
      <w:tr w:rsidR="00AC237C" w:rsidRPr="003478AF" w14:paraId="37A45646" w14:textId="77777777" w:rsidTr="00E136AA">
        <w:tc>
          <w:tcPr>
            <w:tcW w:w="1283" w:type="pct"/>
            <w:vMerge/>
            <w:vAlign w:val="center"/>
          </w:tcPr>
          <w:p w14:paraId="145FE645" w14:textId="77777777" w:rsidR="00AC237C" w:rsidRPr="003478AF" w:rsidRDefault="00AC237C" w:rsidP="00E136AA">
            <w:pPr>
              <w:ind w:firstLine="0"/>
              <w:jc w:val="left"/>
              <w:rPr>
                <w:rFonts w:cs="Arial"/>
                <w:sz w:val="16"/>
                <w:szCs w:val="16"/>
              </w:rPr>
            </w:pPr>
          </w:p>
        </w:tc>
        <w:tc>
          <w:tcPr>
            <w:tcW w:w="2829" w:type="pct"/>
            <w:vAlign w:val="center"/>
          </w:tcPr>
          <w:p w14:paraId="3E1190D3" w14:textId="77777777" w:rsidR="00AC237C" w:rsidRPr="003478AF" w:rsidRDefault="00AC237C" w:rsidP="00E136AA">
            <w:pPr>
              <w:ind w:firstLine="0"/>
              <w:jc w:val="left"/>
              <w:rPr>
                <w:rFonts w:cs="Arial"/>
                <w:sz w:val="16"/>
                <w:szCs w:val="16"/>
              </w:rPr>
            </w:pPr>
            <w:r w:rsidRPr="003478AF">
              <w:rPr>
                <w:rFonts w:cs="Arial"/>
                <w:sz w:val="16"/>
                <w:szCs w:val="16"/>
              </w:rPr>
              <w:t>Udział odpadów komunalnych selektywnie zebranych w ogólnej masie odpadów</w:t>
            </w:r>
          </w:p>
        </w:tc>
        <w:tc>
          <w:tcPr>
            <w:tcW w:w="888" w:type="pct"/>
            <w:vAlign w:val="center"/>
          </w:tcPr>
          <w:p w14:paraId="42EDCB7D" w14:textId="77777777" w:rsidR="00AC237C" w:rsidRPr="003478AF" w:rsidRDefault="00AC237C" w:rsidP="00E136AA">
            <w:pPr>
              <w:ind w:firstLine="0"/>
              <w:jc w:val="center"/>
              <w:rPr>
                <w:rFonts w:cs="Arial"/>
                <w:sz w:val="16"/>
                <w:szCs w:val="16"/>
              </w:rPr>
            </w:pPr>
            <w:r w:rsidRPr="003478AF">
              <w:rPr>
                <w:rFonts w:cs="Arial"/>
                <w:sz w:val="16"/>
                <w:szCs w:val="16"/>
              </w:rPr>
              <w:t>%</w:t>
            </w:r>
          </w:p>
        </w:tc>
      </w:tr>
      <w:tr w:rsidR="00684833" w:rsidRPr="003478AF" w14:paraId="06598DEA" w14:textId="77777777" w:rsidTr="00E136AA">
        <w:tc>
          <w:tcPr>
            <w:tcW w:w="1283" w:type="pct"/>
            <w:vMerge/>
            <w:vAlign w:val="center"/>
          </w:tcPr>
          <w:p w14:paraId="368E896E" w14:textId="77777777" w:rsidR="00684833" w:rsidRPr="003478AF" w:rsidRDefault="00684833" w:rsidP="00E136AA">
            <w:pPr>
              <w:ind w:firstLine="0"/>
              <w:jc w:val="left"/>
              <w:rPr>
                <w:rFonts w:cs="Arial"/>
                <w:sz w:val="16"/>
                <w:szCs w:val="16"/>
              </w:rPr>
            </w:pPr>
          </w:p>
        </w:tc>
        <w:tc>
          <w:tcPr>
            <w:tcW w:w="2829" w:type="pct"/>
            <w:vAlign w:val="center"/>
          </w:tcPr>
          <w:p w14:paraId="153B1E2D" w14:textId="77777777" w:rsidR="00684833" w:rsidRPr="003478AF" w:rsidRDefault="00684833" w:rsidP="00E136AA">
            <w:pPr>
              <w:ind w:firstLine="0"/>
              <w:jc w:val="left"/>
              <w:rPr>
                <w:rFonts w:cs="Arial"/>
                <w:sz w:val="16"/>
                <w:szCs w:val="16"/>
              </w:rPr>
            </w:pPr>
            <w:r w:rsidRPr="003478AF">
              <w:rPr>
                <w:rFonts w:cs="Arial"/>
                <w:sz w:val="16"/>
                <w:szCs w:val="16"/>
              </w:rPr>
              <w:t>Masa odpadów komunalnych odbieranych jako zmieszane, poddanych przetwarzaniu metodami mechaniczno-biologicznymi</w:t>
            </w:r>
          </w:p>
        </w:tc>
        <w:tc>
          <w:tcPr>
            <w:tcW w:w="888" w:type="pct"/>
            <w:vAlign w:val="center"/>
          </w:tcPr>
          <w:p w14:paraId="18015654" w14:textId="4E559D03" w:rsidR="00684833" w:rsidRPr="003478AF" w:rsidRDefault="00684833" w:rsidP="00E136AA">
            <w:pPr>
              <w:ind w:firstLine="0"/>
              <w:jc w:val="center"/>
              <w:rPr>
                <w:rFonts w:cs="Arial"/>
                <w:sz w:val="16"/>
                <w:szCs w:val="16"/>
              </w:rPr>
            </w:pPr>
            <w:r w:rsidRPr="003478AF">
              <w:rPr>
                <w:rFonts w:cs="Arial"/>
                <w:sz w:val="16"/>
                <w:szCs w:val="16"/>
              </w:rPr>
              <w:t>tys. ton</w:t>
            </w:r>
          </w:p>
        </w:tc>
      </w:tr>
      <w:tr w:rsidR="00684833" w:rsidRPr="003478AF" w14:paraId="2F85FD38" w14:textId="77777777" w:rsidTr="00E136AA">
        <w:tc>
          <w:tcPr>
            <w:tcW w:w="1283" w:type="pct"/>
            <w:vMerge/>
            <w:vAlign w:val="center"/>
          </w:tcPr>
          <w:p w14:paraId="34A602BB" w14:textId="77777777" w:rsidR="00684833" w:rsidRPr="003478AF" w:rsidRDefault="00684833" w:rsidP="00E136AA">
            <w:pPr>
              <w:ind w:firstLine="0"/>
              <w:jc w:val="left"/>
              <w:rPr>
                <w:rFonts w:cs="Arial"/>
                <w:sz w:val="16"/>
                <w:szCs w:val="16"/>
              </w:rPr>
            </w:pPr>
          </w:p>
        </w:tc>
        <w:tc>
          <w:tcPr>
            <w:tcW w:w="2829" w:type="pct"/>
            <w:vAlign w:val="center"/>
          </w:tcPr>
          <w:p w14:paraId="5FC386AA" w14:textId="35FFD738" w:rsidR="00684833" w:rsidRPr="003478AF" w:rsidRDefault="00684833" w:rsidP="00E136AA">
            <w:pPr>
              <w:ind w:firstLine="0"/>
              <w:jc w:val="left"/>
              <w:rPr>
                <w:rFonts w:cs="Arial"/>
                <w:sz w:val="16"/>
                <w:szCs w:val="16"/>
              </w:rPr>
            </w:pPr>
            <w:r w:rsidRPr="003478AF">
              <w:rPr>
                <w:rFonts w:cs="Arial"/>
                <w:sz w:val="16"/>
                <w:szCs w:val="16"/>
              </w:rPr>
              <w:t>Masa odpadów komunalnych zebranych/ odebranych jako zmieszane odpady komunalne poddanych przetwarzaniu metodami termicznymi w spalarniach odpadów</w:t>
            </w:r>
          </w:p>
        </w:tc>
        <w:tc>
          <w:tcPr>
            <w:tcW w:w="888" w:type="pct"/>
            <w:vAlign w:val="center"/>
          </w:tcPr>
          <w:p w14:paraId="6B121394" w14:textId="45756E0E" w:rsidR="00684833" w:rsidRPr="003478AF" w:rsidRDefault="00684833" w:rsidP="00E136AA">
            <w:pPr>
              <w:ind w:firstLine="0"/>
              <w:jc w:val="center"/>
              <w:rPr>
                <w:rFonts w:cs="Arial"/>
                <w:sz w:val="16"/>
                <w:szCs w:val="16"/>
              </w:rPr>
            </w:pPr>
            <w:r w:rsidRPr="003478AF">
              <w:rPr>
                <w:rFonts w:cs="Arial"/>
                <w:sz w:val="16"/>
                <w:szCs w:val="16"/>
              </w:rPr>
              <w:t>tys. ton</w:t>
            </w:r>
          </w:p>
        </w:tc>
      </w:tr>
      <w:tr w:rsidR="00684833" w:rsidRPr="003478AF" w14:paraId="0BA9259B" w14:textId="77777777" w:rsidTr="00E136AA">
        <w:tc>
          <w:tcPr>
            <w:tcW w:w="1283" w:type="pct"/>
            <w:vMerge/>
            <w:vAlign w:val="center"/>
          </w:tcPr>
          <w:p w14:paraId="425008E9" w14:textId="77777777" w:rsidR="00684833" w:rsidRPr="003478AF" w:rsidRDefault="00684833" w:rsidP="00E136AA">
            <w:pPr>
              <w:ind w:firstLine="0"/>
              <w:jc w:val="left"/>
              <w:rPr>
                <w:rFonts w:cs="Arial"/>
                <w:sz w:val="16"/>
                <w:szCs w:val="16"/>
              </w:rPr>
            </w:pPr>
          </w:p>
        </w:tc>
        <w:tc>
          <w:tcPr>
            <w:tcW w:w="2829" w:type="pct"/>
            <w:vAlign w:val="center"/>
          </w:tcPr>
          <w:p w14:paraId="1372BBFF" w14:textId="32F04E8B" w:rsidR="00684833" w:rsidRPr="003478AF" w:rsidRDefault="00684833" w:rsidP="00E136AA">
            <w:pPr>
              <w:ind w:firstLine="0"/>
              <w:jc w:val="left"/>
              <w:rPr>
                <w:rFonts w:cs="Arial"/>
                <w:sz w:val="16"/>
                <w:szCs w:val="16"/>
              </w:rPr>
            </w:pPr>
            <w:r w:rsidRPr="003478AF">
              <w:rPr>
                <w:rFonts w:cs="Arial"/>
                <w:sz w:val="16"/>
                <w:szCs w:val="16"/>
              </w:rPr>
              <w:t xml:space="preserve">Masa odpadów komunalnych odebranych jako </w:t>
            </w:r>
            <w:r w:rsidRPr="003478AF">
              <w:rPr>
                <w:rFonts w:cs="Arial"/>
                <w:iCs/>
                <w:sz w:val="16"/>
                <w:szCs w:val="16"/>
              </w:rPr>
              <w:t xml:space="preserve">zmieszane odpady komunalne składowanych </w:t>
            </w:r>
            <w:r w:rsidRPr="003478AF">
              <w:rPr>
                <w:rFonts w:cs="Arial"/>
                <w:sz w:val="16"/>
                <w:szCs w:val="16"/>
              </w:rPr>
              <w:t>bez przetwarzania</w:t>
            </w:r>
          </w:p>
        </w:tc>
        <w:tc>
          <w:tcPr>
            <w:tcW w:w="888" w:type="pct"/>
            <w:vAlign w:val="center"/>
          </w:tcPr>
          <w:p w14:paraId="33A2E7F3" w14:textId="450BF37D" w:rsidR="00684833" w:rsidRPr="003478AF" w:rsidRDefault="00684833" w:rsidP="00E136AA">
            <w:pPr>
              <w:ind w:firstLine="0"/>
              <w:jc w:val="center"/>
              <w:rPr>
                <w:rFonts w:cs="Arial"/>
                <w:sz w:val="16"/>
                <w:szCs w:val="16"/>
              </w:rPr>
            </w:pPr>
            <w:r w:rsidRPr="003478AF">
              <w:rPr>
                <w:rFonts w:cs="Arial"/>
                <w:sz w:val="16"/>
                <w:szCs w:val="16"/>
              </w:rPr>
              <w:t>tys. ton</w:t>
            </w:r>
          </w:p>
        </w:tc>
      </w:tr>
      <w:tr w:rsidR="00684833" w:rsidRPr="003478AF" w14:paraId="3063C025" w14:textId="77777777" w:rsidTr="00E136AA">
        <w:tc>
          <w:tcPr>
            <w:tcW w:w="1283" w:type="pct"/>
            <w:vMerge/>
            <w:vAlign w:val="center"/>
          </w:tcPr>
          <w:p w14:paraId="731453FE" w14:textId="77777777" w:rsidR="00684833" w:rsidRPr="003478AF" w:rsidRDefault="00684833" w:rsidP="00E136AA">
            <w:pPr>
              <w:ind w:firstLine="0"/>
              <w:jc w:val="left"/>
              <w:rPr>
                <w:rFonts w:cs="Arial"/>
                <w:sz w:val="16"/>
                <w:szCs w:val="16"/>
              </w:rPr>
            </w:pPr>
          </w:p>
        </w:tc>
        <w:tc>
          <w:tcPr>
            <w:tcW w:w="2829" w:type="pct"/>
            <w:vAlign w:val="center"/>
          </w:tcPr>
          <w:p w14:paraId="6DE72950" w14:textId="4802041C" w:rsidR="00684833" w:rsidRPr="003478AF" w:rsidRDefault="00684833" w:rsidP="00E136AA">
            <w:pPr>
              <w:ind w:firstLine="0"/>
              <w:jc w:val="left"/>
              <w:rPr>
                <w:rFonts w:cs="Arial"/>
                <w:sz w:val="16"/>
                <w:szCs w:val="16"/>
              </w:rPr>
            </w:pPr>
            <w:r w:rsidRPr="003478AF">
              <w:rPr>
                <w:rFonts w:cs="Arial"/>
                <w:sz w:val="16"/>
                <w:szCs w:val="16"/>
              </w:rPr>
              <w:t xml:space="preserve">Masa odpadów komunalnych zebranych/ odebranych jako zmieszane odpady komunalne poddanych przetwarzaniu w instalacjach mechanicznego przetwarzania (sortowniach odpadów zmieszanych, instalacjach produkcji paliw alternatywnych) </w:t>
            </w:r>
          </w:p>
        </w:tc>
        <w:tc>
          <w:tcPr>
            <w:tcW w:w="888" w:type="pct"/>
            <w:vAlign w:val="center"/>
          </w:tcPr>
          <w:p w14:paraId="5828CD95" w14:textId="7688EB88" w:rsidR="00684833" w:rsidRPr="003478AF" w:rsidRDefault="00684833" w:rsidP="00E136AA">
            <w:pPr>
              <w:ind w:firstLine="0"/>
              <w:jc w:val="center"/>
              <w:rPr>
                <w:rFonts w:cs="Arial"/>
                <w:sz w:val="16"/>
                <w:szCs w:val="16"/>
              </w:rPr>
            </w:pPr>
            <w:r w:rsidRPr="003478AF">
              <w:rPr>
                <w:rFonts w:cs="Arial"/>
                <w:sz w:val="16"/>
                <w:szCs w:val="16"/>
              </w:rPr>
              <w:t>tys. ton</w:t>
            </w:r>
          </w:p>
        </w:tc>
      </w:tr>
      <w:tr w:rsidR="00684833" w:rsidRPr="003478AF" w14:paraId="07FAF306" w14:textId="77777777" w:rsidTr="00E136AA">
        <w:tc>
          <w:tcPr>
            <w:tcW w:w="1283" w:type="pct"/>
            <w:vMerge/>
            <w:vAlign w:val="center"/>
          </w:tcPr>
          <w:p w14:paraId="7DCF1E4F" w14:textId="77777777" w:rsidR="00684833" w:rsidRPr="003478AF" w:rsidRDefault="00684833" w:rsidP="00E136AA">
            <w:pPr>
              <w:ind w:firstLine="0"/>
              <w:jc w:val="left"/>
              <w:rPr>
                <w:rFonts w:cs="Arial"/>
                <w:sz w:val="16"/>
                <w:szCs w:val="16"/>
              </w:rPr>
            </w:pPr>
          </w:p>
        </w:tc>
        <w:tc>
          <w:tcPr>
            <w:tcW w:w="2829" w:type="pct"/>
            <w:vAlign w:val="center"/>
          </w:tcPr>
          <w:p w14:paraId="0DCAB8DC" w14:textId="77777777" w:rsidR="00684833" w:rsidRPr="003478AF" w:rsidRDefault="00684833" w:rsidP="00E136AA">
            <w:pPr>
              <w:ind w:firstLine="0"/>
              <w:jc w:val="left"/>
              <w:rPr>
                <w:rFonts w:cs="Arial"/>
                <w:sz w:val="16"/>
                <w:szCs w:val="16"/>
              </w:rPr>
            </w:pPr>
            <w:r w:rsidRPr="003478AF">
              <w:rPr>
                <w:rFonts w:cs="Arial"/>
                <w:sz w:val="16"/>
                <w:szCs w:val="16"/>
              </w:rPr>
              <w:t>Masa odpadów komunalnych zebranych/ odebranych selektywnie poddanych recyklingowi (bez recyklingu organicznego)</w:t>
            </w:r>
          </w:p>
        </w:tc>
        <w:tc>
          <w:tcPr>
            <w:tcW w:w="888" w:type="pct"/>
            <w:vAlign w:val="center"/>
          </w:tcPr>
          <w:p w14:paraId="352282A6" w14:textId="7DC0BA89" w:rsidR="00684833" w:rsidRPr="003478AF" w:rsidRDefault="00684833" w:rsidP="00E136AA">
            <w:pPr>
              <w:ind w:firstLine="0"/>
              <w:jc w:val="center"/>
              <w:rPr>
                <w:rFonts w:cs="Arial"/>
                <w:sz w:val="16"/>
                <w:szCs w:val="16"/>
              </w:rPr>
            </w:pPr>
            <w:r w:rsidRPr="003478AF">
              <w:rPr>
                <w:rFonts w:cs="Arial"/>
                <w:sz w:val="16"/>
                <w:szCs w:val="16"/>
              </w:rPr>
              <w:t>tys. ton</w:t>
            </w:r>
          </w:p>
        </w:tc>
      </w:tr>
      <w:tr w:rsidR="00684833" w:rsidRPr="003478AF" w14:paraId="4823E55F" w14:textId="77777777" w:rsidTr="00E136AA">
        <w:tc>
          <w:tcPr>
            <w:tcW w:w="1283" w:type="pct"/>
            <w:vMerge/>
            <w:vAlign w:val="center"/>
          </w:tcPr>
          <w:p w14:paraId="4149E30E" w14:textId="77777777" w:rsidR="00684833" w:rsidRPr="003478AF" w:rsidRDefault="00684833" w:rsidP="00E136AA">
            <w:pPr>
              <w:ind w:firstLine="0"/>
              <w:jc w:val="left"/>
              <w:rPr>
                <w:rFonts w:cs="Arial"/>
                <w:sz w:val="16"/>
                <w:szCs w:val="16"/>
              </w:rPr>
            </w:pPr>
          </w:p>
        </w:tc>
        <w:tc>
          <w:tcPr>
            <w:tcW w:w="2829" w:type="pct"/>
            <w:vAlign w:val="center"/>
          </w:tcPr>
          <w:p w14:paraId="4A985A90" w14:textId="77777777" w:rsidR="00684833" w:rsidRPr="003478AF" w:rsidRDefault="00684833" w:rsidP="00E136AA">
            <w:pPr>
              <w:ind w:firstLine="0"/>
              <w:jc w:val="left"/>
              <w:rPr>
                <w:rFonts w:cs="Arial"/>
                <w:sz w:val="16"/>
                <w:szCs w:val="16"/>
              </w:rPr>
            </w:pPr>
            <w:r w:rsidRPr="003478AF">
              <w:rPr>
                <w:rFonts w:cs="Arial"/>
                <w:sz w:val="16"/>
                <w:szCs w:val="16"/>
              </w:rPr>
              <w:t>Masa odpadów komunalnych zebranych/ odebranych selektywnie, poddanych recyklingowi organicznemu</w:t>
            </w:r>
          </w:p>
        </w:tc>
        <w:tc>
          <w:tcPr>
            <w:tcW w:w="888" w:type="pct"/>
            <w:vAlign w:val="center"/>
          </w:tcPr>
          <w:p w14:paraId="51D73548" w14:textId="65C11CF8" w:rsidR="00684833" w:rsidRPr="003478AF" w:rsidRDefault="00684833" w:rsidP="00E136AA">
            <w:pPr>
              <w:ind w:firstLine="0"/>
              <w:jc w:val="center"/>
              <w:rPr>
                <w:rFonts w:cs="Arial"/>
                <w:sz w:val="16"/>
                <w:szCs w:val="16"/>
              </w:rPr>
            </w:pPr>
            <w:r w:rsidRPr="003478AF">
              <w:rPr>
                <w:rFonts w:cs="Arial"/>
                <w:sz w:val="16"/>
                <w:szCs w:val="16"/>
              </w:rPr>
              <w:t>tys. ton</w:t>
            </w:r>
          </w:p>
        </w:tc>
      </w:tr>
      <w:tr w:rsidR="00684833" w:rsidRPr="003478AF" w14:paraId="1F4910CE" w14:textId="77777777" w:rsidTr="00E136AA">
        <w:tc>
          <w:tcPr>
            <w:tcW w:w="1283" w:type="pct"/>
            <w:vMerge/>
            <w:vAlign w:val="center"/>
          </w:tcPr>
          <w:p w14:paraId="24233BAA" w14:textId="77777777" w:rsidR="00684833" w:rsidRPr="003478AF" w:rsidRDefault="00684833" w:rsidP="00E136AA">
            <w:pPr>
              <w:ind w:firstLine="0"/>
              <w:jc w:val="left"/>
              <w:rPr>
                <w:rFonts w:cs="Arial"/>
                <w:sz w:val="16"/>
                <w:szCs w:val="16"/>
              </w:rPr>
            </w:pPr>
          </w:p>
        </w:tc>
        <w:tc>
          <w:tcPr>
            <w:tcW w:w="2829" w:type="pct"/>
            <w:vAlign w:val="center"/>
          </w:tcPr>
          <w:p w14:paraId="76B4AD8A" w14:textId="77777777" w:rsidR="00684833" w:rsidRPr="003478AF" w:rsidRDefault="00684833" w:rsidP="00E136AA">
            <w:pPr>
              <w:ind w:firstLine="0"/>
              <w:jc w:val="left"/>
              <w:rPr>
                <w:rFonts w:cs="Arial"/>
                <w:sz w:val="16"/>
                <w:szCs w:val="16"/>
              </w:rPr>
            </w:pPr>
            <w:r w:rsidRPr="003478AF">
              <w:rPr>
                <w:rFonts w:cs="Arial"/>
                <w:sz w:val="16"/>
                <w:szCs w:val="16"/>
              </w:rPr>
              <w:t xml:space="preserve">Masa papieru, metali, tworzyw sztucznych i szkła z odpadów komunalnych poddanych recyklingowi i przygotowanych do ponownego użycia </w:t>
            </w:r>
          </w:p>
        </w:tc>
        <w:tc>
          <w:tcPr>
            <w:tcW w:w="888" w:type="pct"/>
            <w:vAlign w:val="center"/>
          </w:tcPr>
          <w:p w14:paraId="0C727D99" w14:textId="3C813208" w:rsidR="00684833" w:rsidRPr="003478AF" w:rsidRDefault="00684833" w:rsidP="00E136AA">
            <w:pPr>
              <w:ind w:firstLine="0"/>
              <w:jc w:val="center"/>
              <w:rPr>
                <w:rFonts w:cs="Arial"/>
                <w:sz w:val="16"/>
                <w:szCs w:val="16"/>
              </w:rPr>
            </w:pPr>
            <w:r w:rsidRPr="003478AF">
              <w:rPr>
                <w:rFonts w:cs="Arial"/>
                <w:sz w:val="16"/>
                <w:szCs w:val="16"/>
              </w:rPr>
              <w:t>tys. ton</w:t>
            </w:r>
          </w:p>
        </w:tc>
      </w:tr>
      <w:tr w:rsidR="00AC237C" w:rsidRPr="003478AF" w14:paraId="13ED4528" w14:textId="77777777" w:rsidTr="00E136AA">
        <w:tc>
          <w:tcPr>
            <w:tcW w:w="1283" w:type="pct"/>
            <w:vMerge/>
            <w:vAlign w:val="center"/>
          </w:tcPr>
          <w:p w14:paraId="5116677B" w14:textId="77777777" w:rsidR="00AC237C" w:rsidRPr="003478AF" w:rsidRDefault="00AC237C" w:rsidP="00E136AA">
            <w:pPr>
              <w:ind w:firstLine="0"/>
              <w:jc w:val="left"/>
              <w:rPr>
                <w:rFonts w:cs="Arial"/>
                <w:sz w:val="16"/>
                <w:szCs w:val="16"/>
              </w:rPr>
            </w:pPr>
          </w:p>
        </w:tc>
        <w:tc>
          <w:tcPr>
            <w:tcW w:w="2829" w:type="pct"/>
            <w:vAlign w:val="center"/>
          </w:tcPr>
          <w:p w14:paraId="638CBFCF" w14:textId="77777777" w:rsidR="00AC237C" w:rsidRPr="003478AF" w:rsidRDefault="00AC237C" w:rsidP="00E136AA">
            <w:pPr>
              <w:ind w:firstLine="0"/>
              <w:jc w:val="left"/>
              <w:rPr>
                <w:rFonts w:cs="Arial"/>
                <w:sz w:val="16"/>
                <w:szCs w:val="16"/>
              </w:rPr>
            </w:pPr>
            <w:r w:rsidRPr="003478AF">
              <w:rPr>
                <w:rFonts w:cs="Arial"/>
                <w:sz w:val="16"/>
                <w:szCs w:val="16"/>
              </w:rPr>
              <w:t xml:space="preserve">Odsetek osiągniętego poziomu recyklingu i przygotowania do ponownego użycia papieru, metali, tworzyw sztucznych i szkła z odpadów komunalnych </w:t>
            </w:r>
          </w:p>
        </w:tc>
        <w:tc>
          <w:tcPr>
            <w:tcW w:w="888" w:type="pct"/>
            <w:vAlign w:val="center"/>
          </w:tcPr>
          <w:p w14:paraId="29A75825" w14:textId="77777777" w:rsidR="00AC237C" w:rsidRPr="003478AF" w:rsidRDefault="00AC237C" w:rsidP="00E136AA">
            <w:pPr>
              <w:ind w:firstLine="0"/>
              <w:jc w:val="center"/>
              <w:rPr>
                <w:rFonts w:cs="Arial"/>
                <w:sz w:val="16"/>
                <w:szCs w:val="16"/>
              </w:rPr>
            </w:pPr>
            <w:r w:rsidRPr="003478AF">
              <w:rPr>
                <w:rFonts w:cs="Arial"/>
                <w:sz w:val="16"/>
                <w:szCs w:val="16"/>
              </w:rPr>
              <w:t>%</w:t>
            </w:r>
          </w:p>
        </w:tc>
      </w:tr>
      <w:tr w:rsidR="00AC237C" w:rsidRPr="003478AF" w14:paraId="1C5689AA" w14:textId="77777777" w:rsidTr="00E136AA">
        <w:tc>
          <w:tcPr>
            <w:tcW w:w="1283" w:type="pct"/>
            <w:vMerge/>
            <w:vAlign w:val="center"/>
          </w:tcPr>
          <w:p w14:paraId="1082CE79" w14:textId="77777777" w:rsidR="00AC237C" w:rsidRPr="003478AF" w:rsidRDefault="00AC237C" w:rsidP="00E136AA">
            <w:pPr>
              <w:ind w:firstLine="0"/>
              <w:jc w:val="left"/>
              <w:rPr>
                <w:rFonts w:cs="Arial"/>
                <w:sz w:val="16"/>
                <w:szCs w:val="16"/>
              </w:rPr>
            </w:pPr>
          </w:p>
        </w:tc>
        <w:tc>
          <w:tcPr>
            <w:tcW w:w="2829" w:type="pct"/>
            <w:vAlign w:val="center"/>
          </w:tcPr>
          <w:p w14:paraId="0537C19E" w14:textId="77777777" w:rsidR="00AC237C" w:rsidRPr="003478AF" w:rsidRDefault="00AC237C" w:rsidP="00E136AA">
            <w:pPr>
              <w:ind w:firstLine="0"/>
              <w:jc w:val="left"/>
              <w:rPr>
                <w:rFonts w:cs="Arial"/>
                <w:sz w:val="16"/>
                <w:szCs w:val="16"/>
              </w:rPr>
            </w:pPr>
            <w:r w:rsidRPr="003478AF">
              <w:rPr>
                <w:rFonts w:cs="Arial"/>
                <w:sz w:val="16"/>
                <w:szCs w:val="16"/>
              </w:rPr>
              <w:t xml:space="preserve">Liczba czynnych składowisk odpadów, na których są składowane odpady komunalne </w:t>
            </w:r>
          </w:p>
        </w:tc>
        <w:tc>
          <w:tcPr>
            <w:tcW w:w="888" w:type="pct"/>
            <w:vAlign w:val="center"/>
          </w:tcPr>
          <w:p w14:paraId="470B6CB7" w14:textId="77777777" w:rsidR="00AC237C" w:rsidRPr="003478AF" w:rsidRDefault="00AC237C" w:rsidP="00E136AA">
            <w:pPr>
              <w:ind w:firstLine="0"/>
              <w:jc w:val="center"/>
              <w:rPr>
                <w:rFonts w:cs="Arial"/>
                <w:sz w:val="16"/>
                <w:szCs w:val="16"/>
              </w:rPr>
            </w:pPr>
            <w:r w:rsidRPr="003478AF">
              <w:rPr>
                <w:rFonts w:cs="Arial"/>
                <w:sz w:val="16"/>
                <w:szCs w:val="16"/>
              </w:rPr>
              <w:t>szt.</w:t>
            </w:r>
          </w:p>
        </w:tc>
      </w:tr>
      <w:tr w:rsidR="00AC237C" w:rsidRPr="003478AF" w14:paraId="3E3623CE" w14:textId="77777777" w:rsidTr="00E136AA">
        <w:tc>
          <w:tcPr>
            <w:tcW w:w="1283" w:type="pct"/>
            <w:vMerge/>
            <w:vAlign w:val="center"/>
          </w:tcPr>
          <w:p w14:paraId="3EEC08CA" w14:textId="77777777" w:rsidR="00AC237C" w:rsidRPr="003478AF" w:rsidRDefault="00AC237C" w:rsidP="00E136AA">
            <w:pPr>
              <w:ind w:firstLine="0"/>
              <w:jc w:val="left"/>
              <w:rPr>
                <w:rFonts w:cs="Arial"/>
                <w:sz w:val="16"/>
                <w:szCs w:val="16"/>
              </w:rPr>
            </w:pPr>
          </w:p>
        </w:tc>
        <w:tc>
          <w:tcPr>
            <w:tcW w:w="2829" w:type="pct"/>
            <w:vAlign w:val="center"/>
          </w:tcPr>
          <w:p w14:paraId="0019F28C" w14:textId="77777777" w:rsidR="00AC237C" w:rsidRPr="003478AF" w:rsidRDefault="00AC237C" w:rsidP="00E136AA">
            <w:pPr>
              <w:ind w:firstLine="0"/>
              <w:jc w:val="left"/>
              <w:rPr>
                <w:rFonts w:cs="Arial"/>
                <w:sz w:val="16"/>
                <w:szCs w:val="16"/>
              </w:rPr>
            </w:pPr>
            <w:r w:rsidRPr="003478AF">
              <w:rPr>
                <w:rFonts w:cs="Arial"/>
                <w:sz w:val="16"/>
                <w:szCs w:val="16"/>
              </w:rPr>
              <w:t xml:space="preserve">Pozostała do wypełnienia pojemność składowisk odpadów, na których są składowane odpady komunalne </w:t>
            </w:r>
          </w:p>
        </w:tc>
        <w:tc>
          <w:tcPr>
            <w:tcW w:w="888" w:type="pct"/>
            <w:vAlign w:val="center"/>
          </w:tcPr>
          <w:p w14:paraId="7E7A8B12" w14:textId="77777777" w:rsidR="00AC237C" w:rsidRPr="003478AF" w:rsidRDefault="00AC237C" w:rsidP="00E136AA">
            <w:pPr>
              <w:ind w:firstLine="0"/>
              <w:jc w:val="center"/>
              <w:rPr>
                <w:rFonts w:cs="Arial"/>
                <w:sz w:val="16"/>
                <w:szCs w:val="16"/>
              </w:rPr>
            </w:pPr>
            <w:r w:rsidRPr="003478AF">
              <w:rPr>
                <w:rFonts w:cs="Arial"/>
                <w:sz w:val="16"/>
                <w:szCs w:val="16"/>
              </w:rPr>
              <w:t>m</w:t>
            </w:r>
            <w:r w:rsidRPr="003478AF">
              <w:rPr>
                <w:rFonts w:cs="Arial"/>
                <w:sz w:val="16"/>
                <w:szCs w:val="16"/>
                <w:vertAlign w:val="superscript"/>
              </w:rPr>
              <w:t>3</w:t>
            </w:r>
          </w:p>
        </w:tc>
      </w:tr>
      <w:tr w:rsidR="00AC237C" w:rsidRPr="003478AF" w14:paraId="2A07374A" w14:textId="77777777" w:rsidTr="00E136AA">
        <w:tc>
          <w:tcPr>
            <w:tcW w:w="1283" w:type="pct"/>
            <w:vMerge/>
            <w:vAlign w:val="center"/>
          </w:tcPr>
          <w:p w14:paraId="3E087D76" w14:textId="77777777" w:rsidR="00AC237C" w:rsidRPr="003478AF" w:rsidRDefault="00AC237C" w:rsidP="00E136AA">
            <w:pPr>
              <w:ind w:firstLine="0"/>
              <w:jc w:val="left"/>
              <w:rPr>
                <w:rFonts w:cs="Arial"/>
                <w:sz w:val="16"/>
                <w:szCs w:val="16"/>
              </w:rPr>
            </w:pPr>
          </w:p>
        </w:tc>
        <w:tc>
          <w:tcPr>
            <w:tcW w:w="2829" w:type="pct"/>
            <w:vAlign w:val="center"/>
          </w:tcPr>
          <w:p w14:paraId="66C1F9B9" w14:textId="77777777" w:rsidR="00AC237C" w:rsidRPr="003478AF" w:rsidRDefault="00AC237C" w:rsidP="00E136AA">
            <w:pPr>
              <w:ind w:firstLine="0"/>
              <w:jc w:val="left"/>
              <w:rPr>
                <w:rFonts w:cs="Arial"/>
                <w:sz w:val="16"/>
                <w:szCs w:val="16"/>
              </w:rPr>
            </w:pPr>
            <w:r w:rsidRPr="003478AF">
              <w:rPr>
                <w:rFonts w:cs="Arial"/>
                <w:sz w:val="16"/>
                <w:szCs w:val="16"/>
              </w:rPr>
              <w:t xml:space="preserve">Liczba instalacji do biologiczno-mechanicznego przetwarzania </w:t>
            </w:r>
            <w:r w:rsidRPr="003478AF">
              <w:rPr>
                <w:rFonts w:cs="Arial"/>
                <w:iCs/>
                <w:sz w:val="16"/>
                <w:szCs w:val="16"/>
              </w:rPr>
              <w:t xml:space="preserve">zmieszanych odpadów komunalnych </w:t>
            </w:r>
          </w:p>
        </w:tc>
        <w:tc>
          <w:tcPr>
            <w:tcW w:w="888" w:type="pct"/>
            <w:vAlign w:val="center"/>
          </w:tcPr>
          <w:p w14:paraId="3A961097" w14:textId="77777777" w:rsidR="00AC237C" w:rsidRPr="003478AF" w:rsidRDefault="00AC237C" w:rsidP="00E136AA">
            <w:pPr>
              <w:ind w:firstLine="0"/>
              <w:jc w:val="center"/>
              <w:rPr>
                <w:rFonts w:cs="Arial"/>
                <w:sz w:val="16"/>
                <w:szCs w:val="16"/>
              </w:rPr>
            </w:pPr>
            <w:r w:rsidRPr="003478AF">
              <w:rPr>
                <w:rFonts w:cs="Arial"/>
                <w:sz w:val="16"/>
                <w:szCs w:val="16"/>
              </w:rPr>
              <w:t>szt.</w:t>
            </w:r>
          </w:p>
        </w:tc>
      </w:tr>
      <w:tr w:rsidR="00684833" w:rsidRPr="003478AF" w14:paraId="09E1C331" w14:textId="77777777" w:rsidTr="00E136AA">
        <w:tc>
          <w:tcPr>
            <w:tcW w:w="1283" w:type="pct"/>
            <w:vMerge/>
            <w:vAlign w:val="center"/>
          </w:tcPr>
          <w:p w14:paraId="71E0E1D4" w14:textId="77777777" w:rsidR="00684833" w:rsidRPr="003478AF" w:rsidRDefault="00684833" w:rsidP="00E136AA">
            <w:pPr>
              <w:ind w:firstLine="0"/>
              <w:jc w:val="left"/>
              <w:rPr>
                <w:rFonts w:cs="Arial"/>
                <w:sz w:val="16"/>
                <w:szCs w:val="16"/>
              </w:rPr>
            </w:pPr>
          </w:p>
        </w:tc>
        <w:tc>
          <w:tcPr>
            <w:tcW w:w="2829" w:type="pct"/>
            <w:vAlign w:val="center"/>
          </w:tcPr>
          <w:p w14:paraId="5B447AF3" w14:textId="77777777" w:rsidR="00684833" w:rsidRPr="003478AF" w:rsidRDefault="00684833" w:rsidP="00E136AA">
            <w:pPr>
              <w:ind w:firstLine="0"/>
              <w:jc w:val="left"/>
              <w:rPr>
                <w:rFonts w:cs="Arial"/>
                <w:sz w:val="16"/>
                <w:szCs w:val="16"/>
              </w:rPr>
            </w:pPr>
            <w:r w:rsidRPr="003478AF">
              <w:rPr>
                <w:rFonts w:cs="Arial"/>
                <w:sz w:val="16"/>
                <w:szCs w:val="16"/>
              </w:rPr>
              <w:t xml:space="preserve">Moce przerobowe (biologiczne) instalacji do mechaniczno-biologicznego przetwarzania </w:t>
            </w:r>
            <w:r w:rsidRPr="003478AF">
              <w:rPr>
                <w:rFonts w:cs="Arial"/>
                <w:iCs/>
                <w:sz w:val="16"/>
                <w:szCs w:val="16"/>
              </w:rPr>
              <w:t>zmieszanych odpadów komunalnych</w:t>
            </w:r>
            <w:r w:rsidRPr="003478AF">
              <w:rPr>
                <w:rFonts w:cs="Arial"/>
                <w:sz w:val="16"/>
                <w:szCs w:val="16"/>
              </w:rPr>
              <w:t xml:space="preserve"> </w:t>
            </w:r>
          </w:p>
        </w:tc>
        <w:tc>
          <w:tcPr>
            <w:tcW w:w="888" w:type="pct"/>
            <w:vAlign w:val="center"/>
          </w:tcPr>
          <w:p w14:paraId="6D2D9CB5" w14:textId="436931E0" w:rsidR="00684833" w:rsidRPr="003478AF" w:rsidRDefault="00684833" w:rsidP="00E136AA">
            <w:pPr>
              <w:ind w:firstLine="0"/>
              <w:jc w:val="center"/>
              <w:rPr>
                <w:rFonts w:cs="Arial"/>
                <w:sz w:val="16"/>
                <w:szCs w:val="16"/>
              </w:rPr>
            </w:pPr>
            <w:r w:rsidRPr="003478AF">
              <w:rPr>
                <w:rFonts w:cs="Arial"/>
                <w:sz w:val="16"/>
                <w:szCs w:val="16"/>
              </w:rPr>
              <w:t>tys. ton</w:t>
            </w:r>
          </w:p>
        </w:tc>
      </w:tr>
      <w:tr w:rsidR="00684833" w:rsidRPr="003478AF" w14:paraId="7AF196F2" w14:textId="77777777" w:rsidTr="00E136AA">
        <w:tc>
          <w:tcPr>
            <w:tcW w:w="1283" w:type="pct"/>
            <w:vMerge/>
            <w:vAlign w:val="center"/>
          </w:tcPr>
          <w:p w14:paraId="3509F6F5" w14:textId="77777777" w:rsidR="00684833" w:rsidRPr="003478AF" w:rsidRDefault="00684833" w:rsidP="00E136AA">
            <w:pPr>
              <w:ind w:firstLine="0"/>
              <w:jc w:val="left"/>
              <w:rPr>
                <w:rFonts w:cs="Arial"/>
                <w:sz w:val="16"/>
                <w:szCs w:val="16"/>
              </w:rPr>
            </w:pPr>
          </w:p>
        </w:tc>
        <w:tc>
          <w:tcPr>
            <w:tcW w:w="2829" w:type="pct"/>
            <w:vAlign w:val="center"/>
          </w:tcPr>
          <w:p w14:paraId="5A53EBC5" w14:textId="77777777" w:rsidR="00684833" w:rsidRPr="003478AF" w:rsidRDefault="00684833" w:rsidP="00E136AA">
            <w:pPr>
              <w:ind w:firstLine="0"/>
              <w:jc w:val="left"/>
              <w:rPr>
                <w:rFonts w:cs="Arial"/>
                <w:sz w:val="16"/>
                <w:szCs w:val="16"/>
              </w:rPr>
            </w:pPr>
            <w:r w:rsidRPr="003478AF">
              <w:rPr>
                <w:rFonts w:cs="Arial"/>
                <w:sz w:val="16"/>
                <w:szCs w:val="16"/>
              </w:rPr>
              <w:t xml:space="preserve">Moce przerobowe (mechaniczne) instalacji do mechaniczno-biologicznego przetwarzania </w:t>
            </w:r>
            <w:r w:rsidRPr="003478AF">
              <w:rPr>
                <w:rFonts w:cs="Arial"/>
                <w:iCs/>
                <w:sz w:val="16"/>
                <w:szCs w:val="16"/>
              </w:rPr>
              <w:t>zmieszanych odpadów komunalnych</w:t>
            </w:r>
            <w:r w:rsidRPr="003478AF">
              <w:rPr>
                <w:rFonts w:cs="Arial"/>
                <w:sz w:val="16"/>
                <w:szCs w:val="16"/>
              </w:rPr>
              <w:t xml:space="preserve"> </w:t>
            </w:r>
          </w:p>
        </w:tc>
        <w:tc>
          <w:tcPr>
            <w:tcW w:w="888" w:type="pct"/>
            <w:vAlign w:val="center"/>
          </w:tcPr>
          <w:p w14:paraId="6088CB71" w14:textId="35AB3777" w:rsidR="00684833" w:rsidRPr="003478AF" w:rsidRDefault="00684833" w:rsidP="00E136AA">
            <w:pPr>
              <w:ind w:firstLine="0"/>
              <w:jc w:val="center"/>
              <w:rPr>
                <w:rFonts w:cs="Arial"/>
                <w:sz w:val="16"/>
                <w:szCs w:val="16"/>
              </w:rPr>
            </w:pPr>
            <w:r w:rsidRPr="003478AF">
              <w:rPr>
                <w:rFonts w:cs="Arial"/>
                <w:sz w:val="16"/>
                <w:szCs w:val="16"/>
              </w:rPr>
              <w:t>tys. ton</w:t>
            </w:r>
          </w:p>
        </w:tc>
      </w:tr>
      <w:tr w:rsidR="00AC237C" w:rsidRPr="003478AF" w14:paraId="1E407EE6" w14:textId="77777777" w:rsidTr="00E136AA">
        <w:tc>
          <w:tcPr>
            <w:tcW w:w="1283" w:type="pct"/>
            <w:vMerge/>
            <w:vAlign w:val="center"/>
          </w:tcPr>
          <w:p w14:paraId="2138CD82" w14:textId="77777777" w:rsidR="00AC237C" w:rsidRPr="003478AF" w:rsidRDefault="00AC237C" w:rsidP="00E136AA">
            <w:pPr>
              <w:ind w:firstLine="0"/>
              <w:jc w:val="left"/>
              <w:rPr>
                <w:rFonts w:cs="Arial"/>
                <w:sz w:val="16"/>
                <w:szCs w:val="16"/>
              </w:rPr>
            </w:pPr>
          </w:p>
        </w:tc>
        <w:tc>
          <w:tcPr>
            <w:tcW w:w="2829" w:type="pct"/>
            <w:vAlign w:val="center"/>
          </w:tcPr>
          <w:p w14:paraId="1B30B6FE" w14:textId="77777777" w:rsidR="00AC237C" w:rsidRPr="003478AF" w:rsidRDefault="00AC237C" w:rsidP="00E136AA">
            <w:pPr>
              <w:ind w:firstLine="0"/>
              <w:jc w:val="left"/>
              <w:rPr>
                <w:rFonts w:cs="Arial"/>
                <w:sz w:val="16"/>
                <w:szCs w:val="16"/>
              </w:rPr>
            </w:pPr>
            <w:r w:rsidRPr="003478AF">
              <w:rPr>
                <w:rFonts w:cs="Arial"/>
                <w:sz w:val="16"/>
                <w:szCs w:val="16"/>
              </w:rPr>
              <w:t xml:space="preserve">Liczba spalarni </w:t>
            </w:r>
            <w:r w:rsidRPr="003478AF">
              <w:rPr>
                <w:rFonts w:cs="Arial"/>
                <w:iCs/>
                <w:sz w:val="16"/>
                <w:szCs w:val="16"/>
              </w:rPr>
              <w:t>zmieszanych odpadów komunalnych (i odpadów pochodzących z przetwarzania odpadów komunalnych)</w:t>
            </w:r>
          </w:p>
        </w:tc>
        <w:tc>
          <w:tcPr>
            <w:tcW w:w="888" w:type="pct"/>
            <w:vAlign w:val="center"/>
          </w:tcPr>
          <w:p w14:paraId="36E8DBAE" w14:textId="77777777" w:rsidR="00AC237C" w:rsidRPr="003478AF" w:rsidRDefault="00AC237C" w:rsidP="00E136AA">
            <w:pPr>
              <w:ind w:firstLine="0"/>
              <w:jc w:val="center"/>
              <w:rPr>
                <w:rFonts w:cs="Arial"/>
                <w:sz w:val="16"/>
                <w:szCs w:val="16"/>
              </w:rPr>
            </w:pPr>
            <w:r w:rsidRPr="003478AF">
              <w:rPr>
                <w:rFonts w:cs="Arial"/>
                <w:sz w:val="16"/>
                <w:szCs w:val="16"/>
              </w:rPr>
              <w:t>szt.</w:t>
            </w:r>
          </w:p>
        </w:tc>
      </w:tr>
      <w:tr w:rsidR="00684833" w:rsidRPr="003478AF" w14:paraId="00E2C856" w14:textId="77777777" w:rsidTr="00E136AA">
        <w:tc>
          <w:tcPr>
            <w:tcW w:w="1283" w:type="pct"/>
            <w:vMerge/>
            <w:vAlign w:val="center"/>
          </w:tcPr>
          <w:p w14:paraId="2B510B7B" w14:textId="77777777" w:rsidR="00684833" w:rsidRPr="003478AF" w:rsidRDefault="00684833" w:rsidP="00E136AA">
            <w:pPr>
              <w:ind w:firstLine="0"/>
              <w:jc w:val="left"/>
              <w:rPr>
                <w:rFonts w:cs="Arial"/>
                <w:sz w:val="16"/>
                <w:szCs w:val="16"/>
              </w:rPr>
            </w:pPr>
          </w:p>
        </w:tc>
        <w:tc>
          <w:tcPr>
            <w:tcW w:w="2829" w:type="pct"/>
            <w:vAlign w:val="center"/>
          </w:tcPr>
          <w:p w14:paraId="5F3243ED" w14:textId="77777777" w:rsidR="00684833" w:rsidRPr="003478AF" w:rsidRDefault="00684833" w:rsidP="00E136AA">
            <w:pPr>
              <w:ind w:firstLine="0"/>
              <w:jc w:val="left"/>
              <w:rPr>
                <w:rFonts w:cs="Arial"/>
                <w:sz w:val="16"/>
                <w:szCs w:val="16"/>
              </w:rPr>
            </w:pPr>
            <w:r w:rsidRPr="003478AF">
              <w:rPr>
                <w:rFonts w:cs="Arial"/>
                <w:sz w:val="16"/>
                <w:szCs w:val="16"/>
              </w:rPr>
              <w:t xml:space="preserve">Moce przerobowe spalarni w odniesieniu do zmieszanych </w:t>
            </w:r>
            <w:r w:rsidRPr="003478AF">
              <w:rPr>
                <w:rFonts w:cs="Arial"/>
                <w:iCs/>
                <w:sz w:val="16"/>
                <w:szCs w:val="16"/>
              </w:rPr>
              <w:t>odpadów komunalnych i odpadów pochodzących z przetwarzania odpadów komunalnych</w:t>
            </w:r>
          </w:p>
        </w:tc>
        <w:tc>
          <w:tcPr>
            <w:tcW w:w="888" w:type="pct"/>
            <w:vAlign w:val="center"/>
          </w:tcPr>
          <w:p w14:paraId="2664B790" w14:textId="047BA8F3" w:rsidR="00684833" w:rsidRPr="003478AF" w:rsidRDefault="00684833" w:rsidP="00E136AA">
            <w:pPr>
              <w:ind w:firstLine="0"/>
              <w:jc w:val="center"/>
              <w:rPr>
                <w:rFonts w:cs="Arial"/>
                <w:sz w:val="16"/>
                <w:szCs w:val="16"/>
              </w:rPr>
            </w:pPr>
            <w:r w:rsidRPr="003478AF">
              <w:rPr>
                <w:rFonts w:cs="Arial"/>
                <w:sz w:val="16"/>
                <w:szCs w:val="16"/>
              </w:rPr>
              <w:t>tys. ton</w:t>
            </w:r>
          </w:p>
        </w:tc>
      </w:tr>
      <w:tr w:rsidR="00684833" w:rsidRPr="003478AF" w14:paraId="304C1911" w14:textId="77777777" w:rsidTr="00E136AA">
        <w:tc>
          <w:tcPr>
            <w:tcW w:w="1283" w:type="pct"/>
            <w:vMerge/>
            <w:vAlign w:val="center"/>
          </w:tcPr>
          <w:p w14:paraId="172C477D" w14:textId="77777777" w:rsidR="00684833" w:rsidRPr="003478AF" w:rsidRDefault="00684833" w:rsidP="00E136AA">
            <w:pPr>
              <w:ind w:firstLine="0"/>
              <w:jc w:val="left"/>
              <w:rPr>
                <w:rFonts w:cs="Arial"/>
                <w:sz w:val="16"/>
                <w:szCs w:val="16"/>
              </w:rPr>
            </w:pPr>
          </w:p>
        </w:tc>
        <w:tc>
          <w:tcPr>
            <w:tcW w:w="2829" w:type="pct"/>
            <w:vAlign w:val="center"/>
          </w:tcPr>
          <w:p w14:paraId="18BF3B63" w14:textId="77777777" w:rsidR="00684833" w:rsidRPr="003478AF" w:rsidRDefault="00684833" w:rsidP="00E136AA">
            <w:pPr>
              <w:ind w:firstLine="0"/>
              <w:jc w:val="left"/>
              <w:rPr>
                <w:rFonts w:cs="Arial"/>
                <w:sz w:val="16"/>
                <w:szCs w:val="16"/>
              </w:rPr>
            </w:pPr>
            <w:r w:rsidRPr="003478AF">
              <w:rPr>
                <w:rFonts w:cs="Arial"/>
                <w:sz w:val="16"/>
                <w:szCs w:val="16"/>
              </w:rPr>
              <w:t>Moce przerobowe instalacji do przetwarzania odpadów zielonych i innych bioodpadów</w:t>
            </w:r>
          </w:p>
        </w:tc>
        <w:tc>
          <w:tcPr>
            <w:tcW w:w="888" w:type="pct"/>
            <w:vAlign w:val="center"/>
          </w:tcPr>
          <w:p w14:paraId="7B56140C" w14:textId="170D2827" w:rsidR="00684833" w:rsidRPr="003478AF" w:rsidRDefault="00684833" w:rsidP="00E136AA">
            <w:pPr>
              <w:ind w:firstLine="0"/>
              <w:jc w:val="center"/>
              <w:rPr>
                <w:rFonts w:cs="Arial"/>
                <w:sz w:val="16"/>
                <w:szCs w:val="16"/>
              </w:rPr>
            </w:pPr>
            <w:r w:rsidRPr="003478AF">
              <w:rPr>
                <w:rFonts w:cs="Arial"/>
                <w:sz w:val="16"/>
                <w:szCs w:val="16"/>
              </w:rPr>
              <w:t>tys. ton</w:t>
            </w:r>
          </w:p>
        </w:tc>
      </w:tr>
      <w:tr w:rsidR="00AC237C" w:rsidRPr="003478AF" w14:paraId="385F78C3" w14:textId="77777777" w:rsidTr="00E136AA">
        <w:tc>
          <w:tcPr>
            <w:tcW w:w="1283" w:type="pct"/>
            <w:vMerge/>
            <w:vAlign w:val="center"/>
          </w:tcPr>
          <w:p w14:paraId="726A776A" w14:textId="77777777" w:rsidR="00AC237C" w:rsidRPr="003478AF" w:rsidRDefault="00AC237C" w:rsidP="00E136AA">
            <w:pPr>
              <w:ind w:firstLine="0"/>
              <w:jc w:val="left"/>
              <w:rPr>
                <w:rFonts w:cs="Arial"/>
                <w:sz w:val="16"/>
                <w:szCs w:val="16"/>
              </w:rPr>
            </w:pPr>
          </w:p>
        </w:tc>
        <w:tc>
          <w:tcPr>
            <w:tcW w:w="2829" w:type="pct"/>
            <w:vAlign w:val="center"/>
          </w:tcPr>
          <w:p w14:paraId="79742054" w14:textId="77777777" w:rsidR="00AC237C" w:rsidRPr="003478AF" w:rsidRDefault="00AC237C" w:rsidP="00E136AA">
            <w:pPr>
              <w:ind w:firstLine="0"/>
              <w:jc w:val="left"/>
              <w:rPr>
                <w:rFonts w:cs="Arial"/>
                <w:sz w:val="16"/>
                <w:szCs w:val="16"/>
              </w:rPr>
            </w:pPr>
            <w:r w:rsidRPr="003478AF">
              <w:rPr>
                <w:rFonts w:cs="Arial"/>
                <w:sz w:val="16"/>
                <w:szCs w:val="16"/>
              </w:rPr>
              <w:t>Ilość instalacji do przetwarzania odpadów zielonych i innych bioodpadów</w:t>
            </w:r>
          </w:p>
        </w:tc>
        <w:tc>
          <w:tcPr>
            <w:tcW w:w="888" w:type="pct"/>
            <w:vAlign w:val="center"/>
          </w:tcPr>
          <w:p w14:paraId="77093C69" w14:textId="77777777" w:rsidR="00AC237C" w:rsidRPr="003478AF" w:rsidRDefault="00AC237C" w:rsidP="00E136AA">
            <w:pPr>
              <w:ind w:firstLine="0"/>
              <w:jc w:val="center"/>
              <w:rPr>
                <w:rFonts w:cs="Arial"/>
                <w:sz w:val="16"/>
                <w:szCs w:val="16"/>
              </w:rPr>
            </w:pPr>
            <w:r w:rsidRPr="003478AF">
              <w:rPr>
                <w:rFonts w:cs="Arial"/>
                <w:sz w:val="16"/>
                <w:szCs w:val="16"/>
              </w:rPr>
              <w:t>szt.</w:t>
            </w:r>
          </w:p>
        </w:tc>
      </w:tr>
      <w:tr w:rsidR="00AC237C" w:rsidRPr="003478AF" w14:paraId="466BC1E2" w14:textId="77777777" w:rsidTr="00E136AA">
        <w:tc>
          <w:tcPr>
            <w:tcW w:w="1283" w:type="pct"/>
            <w:vMerge/>
            <w:vAlign w:val="center"/>
          </w:tcPr>
          <w:p w14:paraId="41A8AAFB" w14:textId="77777777" w:rsidR="00AC237C" w:rsidRPr="003478AF" w:rsidRDefault="00AC237C" w:rsidP="00E136AA">
            <w:pPr>
              <w:ind w:firstLine="0"/>
              <w:jc w:val="left"/>
              <w:rPr>
                <w:rFonts w:cs="Arial"/>
                <w:sz w:val="16"/>
                <w:szCs w:val="16"/>
              </w:rPr>
            </w:pPr>
          </w:p>
        </w:tc>
        <w:tc>
          <w:tcPr>
            <w:tcW w:w="2829" w:type="pct"/>
            <w:vAlign w:val="center"/>
          </w:tcPr>
          <w:p w14:paraId="7EB4265D" w14:textId="77777777" w:rsidR="00AC237C" w:rsidRPr="003478AF" w:rsidRDefault="00AC237C" w:rsidP="00E136AA">
            <w:pPr>
              <w:ind w:firstLine="0"/>
              <w:jc w:val="left"/>
              <w:rPr>
                <w:rFonts w:cs="Arial"/>
                <w:sz w:val="16"/>
                <w:szCs w:val="16"/>
              </w:rPr>
            </w:pPr>
            <w:r w:rsidRPr="003478AF">
              <w:rPr>
                <w:rFonts w:cs="Arial"/>
                <w:sz w:val="16"/>
                <w:szCs w:val="16"/>
              </w:rPr>
              <w:t>Liczba PSZOK – punktów selektywnego zbierania odpadów komunalnych</w:t>
            </w:r>
          </w:p>
        </w:tc>
        <w:tc>
          <w:tcPr>
            <w:tcW w:w="888" w:type="pct"/>
            <w:vAlign w:val="center"/>
          </w:tcPr>
          <w:p w14:paraId="6030AD0D" w14:textId="77777777" w:rsidR="00AC237C" w:rsidRPr="003478AF" w:rsidRDefault="00AC237C" w:rsidP="00E136AA">
            <w:pPr>
              <w:ind w:firstLine="0"/>
              <w:jc w:val="center"/>
              <w:rPr>
                <w:rFonts w:cs="Arial"/>
                <w:sz w:val="16"/>
                <w:szCs w:val="16"/>
              </w:rPr>
            </w:pPr>
            <w:r w:rsidRPr="003478AF">
              <w:rPr>
                <w:rFonts w:cs="Arial"/>
                <w:sz w:val="16"/>
                <w:szCs w:val="16"/>
              </w:rPr>
              <w:t>szt.</w:t>
            </w:r>
          </w:p>
        </w:tc>
      </w:tr>
      <w:tr w:rsidR="00684833" w:rsidRPr="003478AF" w14:paraId="31516ABE" w14:textId="77777777" w:rsidTr="00E136AA">
        <w:tc>
          <w:tcPr>
            <w:tcW w:w="1283" w:type="pct"/>
            <w:vMerge/>
            <w:vAlign w:val="center"/>
          </w:tcPr>
          <w:p w14:paraId="2EF9E61A" w14:textId="77777777" w:rsidR="00684833" w:rsidRPr="003478AF" w:rsidRDefault="00684833" w:rsidP="00E136AA">
            <w:pPr>
              <w:ind w:firstLine="0"/>
              <w:jc w:val="left"/>
              <w:rPr>
                <w:rFonts w:cs="Arial"/>
                <w:sz w:val="16"/>
                <w:szCs w:val="16"/>
              </w:rPr>
            </w:pPr>
          </w:p>
        </w:tc>
        <w:tc>
          <w:tcPr>
            <w:tcW w:w="2829" w:type="pct"/>
            <w:vAlign w:val="center"/>
          </w:tcPr>
          <w:p w14:paraId="43FD359B" w14:textId="77777777" w:rsidR="00684833" w:rsidRPr="003478AF" w:rsidRDefault="00684833" w:rsidP="00E136AA">
            <w:pPr>
              <w:ind w:firstLine="0"/>
              <w:jc w:val="left"/>
              <w:rPr>
                <w:rFonts w:cs="Arial"/>
                <w:sz w:val="16"/>
                <w:szCs w:val="16"/>
              </w:rPr>
            </w:pPr>
            <w:r w:rsidRPr="003478AF">
              <w:rPr>
                <w:rFonts w:cs="Arial"/>
                <w:sz w:val="16"/>
                <w:szCs w:val="16"/>
              </w:rPr>
              <w:t>Masa odpadów zbieranych w PSZOK</w:t>
            </w:r>
          </w:p>
        </w:tc>
        <w:tc>
          <w:tcPr>
            <w:tcW w:w="888" w:type="pct"/>
            <w:vAlign w:val="center"/>
          </w:tcPr>
          <w:p w14:paraId="63FE640E" w14:textId="6ECA2AA5" w:rsidR="00684833" w:rsidRPr="003478AF" w:rsidRDefault="00684833" w:rsidP="00E136AA">
            <w:pPr>
              <w:ind w:firstLine="0"/>
              <w:jc w:val="center"/>
              <w:rPr>
                <w:rFonts w:cs="Arial"/>
                <w:sz w:val="16"/>
                <w:szCs w:val="16"/>
              </w:rPr>
            </w:pPr>
            <w:r w:rsidRPr="003478AF">
              <w:rPr>
                <w:rFonts w:cs="Arial"/>
                <w:sz w:val="16"/>
                <w:szCs w:val="16"/>
              </w:rPr>
              <w:t>tys. ton</w:t>
            </w:r>
          </w:p>
        </w:tc>
      </w:tr>
      <w:tr w:rsidR="00684833" w:rsidRPr="003478AF" w14:paraId="02F56B0D" w14:textId="77777777" w:rsidTr="00E136AA">
        <w:tc>
          <w:tcPr>
            <w:tcW w:w="1283" w:type="pct"/>
            <w:vMerge w:val="restart"/>
            <w:vAlign w:val="center"/>
          </w:tcPr>
          <w:p w14:paraId="46B7AEB0" w14:textId="77777777" w:rsidR="00684833" w:rsidRPr="003478AF" w:rsidRDefault="00684833" w:rsidP="00E136AA">
            <w:pPr>
              <w:ind w:firstLine="0"/>
              <w:jc w:val="left"/>
              <w:rPr>
                <w:rFonts w:cs="Arial"/>
                <w:sz w:val="16"/>
                <w:szCs w:val="16"/>
              </w:rPr>
            </w:pPr>
            <w:r w:rsidRPr="003478AF">
              <w:rPr>
                <w:rFonts w:cs="Arial"/>
                <w:sz w:val="16"/>
                <w:szCs w:val="16"/>
              </w:rPr>
              <w:t>Odpady niebezpieczne</w:t>
            </w:r>
          </w:p>
        </w:tc>
        <w:tc>
          <w:tcPr>
            <w:tcW w:w="2829" w:type="pct"/>
            <w:vAlign w:val="center"/>
          </w:tcPr>
          <w:p w14:paraId="0FB56B89" w14:textId="77777777" w:rsidR="00684833" w:rsidRPr="003478AF" w:rsidRDefault="00684833" w:rsidP="00E136AA">
            <w:pPr>
              <w:ind w:firstLine="0"/>
              <w:jc w:val="left"/>
              <w:rPr>
                <w:rFonts w:cs="Arial"/>
                <w:sz w:val="16"/>
                <w:szCs w:val="16"/>
              </w:rPr>
            </w:pPr>
            <w:r w:rsidRPr="003478AF">
              <w:rPr>
                <w:rFonts w:cs="Arial"/>
                <w:sz w:val="16"/>
                <w:szCs w:val="16"/>
              </w:rPr>
              <w:t>Masa wytworzonych odpadów niebezpiecznych</w:t>
            </w:r>
          </w:p>
        </w:tc>
        <w:tc>
          <w:tcPr>
            <w:tcW w:w="888" w:type="pct"/>
            <w:vAlign w:val="center"/>
          </w:tcPr>
          <w:p w14:paraId="3DEB324C" w14:textId="5CD2EAE9" w:rsidR="00684833" w:rsidRPr="003478AF" w:rsidRDefault="00684833" w:rsidP="00E136AA">
            <w:pPr>
              <w:ind w:firstLine="0"/>
              <w:jc w:val="center"/>
              <w:rPr>
                <w:rFonts w:cs="Arial"/>
                <w:sz w:val="16"/>
                <w:szCs w:val="16"/>
              </w:rPr>
            </w:pPr>
            <w:r w:rsidRPr="003478AF">
              <w:rPr>
                <w:rFonts w:cs="Arial"/>
                <w:sz w:val="16"/>
                <w:szCs w:val="16"/>
              </w:rPr>
              <w:t>tys. ton</w:t>
            </w:r>
          </w:p>
        </w:tc>
      </w:tr>
      <w:tr w:rsidR="00AC237C" w:rsidRPr="003478AF" w14:paraId="78C7E2AA" w14:textId="77777777" w:rsidTr="00E136AA">
        <w:tc>
          <w:tcPr>
            <w:tcW w:w="1283" w:type="pct"/>
            <w:vMerge/>
            <w:vAlign w:val="center"/>
          </w:tcPr>
          <w:p w14:paraId="1C18723E" w14:textId="77777777" w:rsidR="00AC237C" w:rsidRPr="003478AF" w:rsidRDefault="00AC237C" w:rsidP="00E136AA">
            <w:pPr>
              <w:ind w:firstLine="0"/>
              <w:jc w:val="left"/>
              <w:rPr>
                <w:rFonts w:cs="Arial"/>
                <w:sz w:val="16"/>
                <w:szCs w:val="16"/>
              </w:rPr>
            </w:pPr>
          </w:p>
        </w:tc>
        <w:tc>
          <w:tcPr>
            <w:tcW w:w="2829" w:type="pct"/>
            <w:vAlign w:val="center"/>
          </w:tcPr>
          <w:p w14:paraId="70E387EB" w14:textId="77777777" w:rsidR="00AC237C" w:rsidRPr="003478AF" w:rsidRDefault="00AC237C" w:rsidP="00E136AA">
            <w:pPr>
              <w:ind w:firstLine="0"/>
              <w:jc w:val="left"/>
              <w:rPr>
                <w:rFonts w:cs="Arial"/>
                <w:sz w:val="16"/>
                <w:szCs w:val="16"/>
              </w:rPr>
            </w:pPr>
            <w:r w:rsidRPr="003478AF">
              <w:rPr>
                <w:rFonts w:cs="Arial"/>
                <w:sz w:val="16"/>
                <w:szCs w:val="16"/>
              </w:rPr>
              <w:t>Odsetek masy wytworzonych odpadów niebezpiecznych poddanych recyklingowi</w:t>
            </w:r>
          </w:p>
        </w:tc>
        <w:tc>
          <w:tcPr>
            <w:tcW w:w="888" w:type="pct"/>
            <w:vAlign w:val="center"/>
          </w:tcPr>
          <w:p w14:paraId="63E23995" w14:textId="77777777" w:rsidR="00AC237C" w:rsidRPr="003478AF" w:rsidRDefault="00AC237C" w:rsidP="00E136AA">
            <w:pPr>
              <w:ind w:firstLine="0"/>
              <w:jc w:val="center"/>
              <w:rPr>
                <w:rFonts w:cs="Arial"/>
                <w:sz w:val="16"/>
                <w:szCs w:val="16"/>
              </w:rPr>
            </w:pPr>
            <w:r w:rsidRPr="003478AF">
              <w:rPr>
                <w:rFonts w:cs="Arial"/>
                <w:sz w:val="16"/>
                <w:szCs w:val="16"/>
              </w:rPr>
              <w:t>%</w:t>
            </w:r>
          </w:p>
        </w:tc>
      </w:tr>
      <w:tr w:rsidR="00AC237C" w:rsidRPr="003478AF" w14:paraId="04DFD97A" w14:textId="77777777" w:rsidTr="00E136AA">
        <w:tc>
          <w:tcPr>
            <w:tcW w:w="1283" w:type="pct"/>
            <w:vMerge/>
            <w:vAlign w:val="center"/>
          </w:tcPr>
          <w:p w14:paraId="274F9649" w14:textId="77777777" w:rsidR="00AC237C" w:rsidRPr="003478AF" w:rsidRDefault="00AC237C" w:rsidP="00E136AA">
            <w:pPr>
              <w:ind w:firstLine="0"/>
              <w:jc w:val="left"/>
              <w:rPr>
                <w:rFonts w:cs="Arial"/>
                <w:sz w:val="16"/>
                <w:szCs w:val="16"/>
              </w:rPr>
            </w:pPr>
          </w:p>
        </w:tc>
        <w:tc>
          <w:tcPr>
            <w:tcW w:w="2829" w:type="pct"/>
            <w:vAlign w:val="center"/>
          </w:tcPr>
          <w:p w14:paraId="3345322E" w14:textId="77777777" w:rsidR="00AC237C" w:rsidRPr="003478AF" w:rsidRDefault="00AC237C" w:rsidP="00E136AA">
            <w:pPr>
              <w:ind w:firstLine="0"/>
              <w:jc w:val="left"/>
              <w:rPr>
                <w:rFonts w:cs="Arial"/>
                <w:sz w:val="16"/>
                <w:szCs w:val="16"/>
              </w:rPr>
            </w:pPr>
            <w:r w:rsidRPr="003478AF">
              <w:rPr>
                <w:rFonts w:cs="Arial"/>
                <w:sz w:val="16"/>
                <w:szCs w:val="16"/>
              </w:rPr>
              <w:t>Odsetek masy wytworzonych odpadów niebezpiecznych poddanych termicznemu przekształceniu</w:t>
            </w:r>
          </w:p>
        </w:tc>
        <w:tc>
          <w:tcPr>
            <w:tcW w:w="888" w:type="pct"/>
            <w:vAlign w:val="center"/>
          </w:tcPr>
          <w:p w14:paraId="00A2E961" w14:textId="77777777" w:rsidR="00AC237C" w:rsidRPr="003478AF" w:rsidRDefault="00AC237C" w:rsidP="00E136AA">
            <w:pPr>
              <w:ind w:firstLine="0"/>
              <w:jc w:val="center"/>
              <w:rPr>
                <w:rFonts w:cs="Arial"/>
                <w:sz w:val="16"/>
                <w:szCs w:val="16"/>
              </w:rPr>
            </w:pPr>
            <w:r w:rsidRPr="003478AF">
              <w:rPr>
                <w:rFonts w:cs="Arial"/>
                <w:sz w:val="16"/>
                <w:szCs w:val="16"/>
              </w:rPr>
              <w:t>%</w:t>
            </w:r>
          </w:p>
        </w:tc>
      </w:tr>
      <w:tr w:rsidR="00AC237C" w:rsidRPr="003478AF" w14:paraId="2883F11A" w14:textId="77777777" w:rsidTr="00E136AA">
        <w:tc>
          <w:tcPr>
            <w:tcW w:w="1283" w:type="pct"/>
            <w:vMerge/>
            <w:vAlign w:val="center"/>
          </w:tcPr>
          <w:p w14:paraId="1AA6C962" w14:textId="77777777" w:rsidR="00AC237C" w:rsidRPr="003478AF" w:rsidRDefault="00AC237C" w:rsidP="00E136AA">
            <w:pPr>
              <w:ind w:firstLine="0"/>
              <w:jc w:val="left"/>
              <w:rPr>
                <w:rFonts w:cs="Arial"/>
                <w:sz w:val="16"/>
                <w:szCs w:val="16"/>
              </w:rPr>
            </w:pPr>
          </w:p>
        </w:tc>
        <w:tc>
          <w:tcPr>
            <w:tcW w:w="2829" w:type="pct"/>
            <w:vAlign w:val="center"/>
          </w:tcPr>
          <w:p w14:paraId="0B886C16" w14:textId="77777777" w:rsidR="00AC237C" w:rsidRPr="003478AF" w:rsidRDefault="00AC237C" w:rsidP="00E136AA">
            <w:pPr>
              <w:ind w:firstLine="0"/>
              <w:jc w:val="left"/>
              <w:rPr>
                <w:rFonts w:cs="Arial"/>
                <w:sz w:val="16"/>
                <w:szCs w:val="16"/>
              </w:rPr>
            </w:pPr>
            <w:r w:rsidRPr="003478AF">
              <w:rPr>
                <w:rFonts w:cs="Arial"/>
                <w:sz w:val="16"/>
                <w:szCs w:val="16"/>
              </w:rPr>
              <w:t>Odsetek masy wytworzonych odpadów niebezpiecznych składowanych bez przetworzenia</w:t>
            </w:r>
          </w:p>
        </w:tc>
        <w:tc>
          <w:tcPr>
            <w:tcW w:w="888" w:type="pct"/>
            <w:vAlign w:val="center"/>
          </w:tcPr>
          <w:p w14:paraId="0BA73409" w14:textId="77777777" w:rsidR="00AC237C" w:rsidRPr="003478AF" w:rsidRDefault="00AC237C" w:rsidP="00E136AA">
            <w:pPr>
              <w:ind w:firstLine="0"/>
              <w:jc w:val="center"/>
              <w:rPr>
                <w:rFonts w:cs="Arial"/>
                <w:sz w:val="16"/>
                <w:szCs w:val="16"/>
              </w:rPr>
            </w:pPr>
            <w:r w:rsidRPr="003478AF">
              <w:rPr>
                <w:rFonts w:cs="Arial"/>
                <w:sz w:val="16"/>
                <w:szCs w:val="16"/>
              </w:rPr>
              <w:t>%</w:t>
            </w:r>
          </w:p>
        </w:tc>
      </w:tr>
      <w:tr w:rsidR="00684833" w:rsidRPr="003478AF" w14:paraId="24564D2F" w14:textId="77777777" w:rsidTr="00E136AA">
        <w:tc>
          <w:tcPr>
            <w:tcW w:w="1283" w:type="pct"/>
            <w:vMerge/>
            <w:vAlign w:val="center"/>
          </w:tcPr>
          <w:p w14:paraId="68C54871" w14:textId="77777777" w:rsidR="00684833" w:rsidRPr="003478AF" w:rsidRDefault="00684833" w:rsidP="00E136AA">
            <w:pPr>
              <w:ind w:firstLine="0"/>
              <w:jc w:val="left"/>
              <w:rPr>
                <w:rFonts w:cs="Arial"/>
                <w:sz w:val="16"/>
                <w:szCs w:val="16"/>
              </w:rPr>
            </w:pPr>
          </w:p>
        </w:tc>
        <w:tc>
          <w:tcPr>
            <w:tcW w:w="2829" w:type="pct"/>
            <w:vAlign w:val="center"/>
          </w:tcPr>
          <w:p w14:paraId="73790CD6" w14:textId="77777777" w:rsidR="00684833" w:rsidRPr="003478AF" w:rsidRDefault="00684833" w:rsidP="00E136AA">
            <w:pPr>
              <w:ind w:firstLine="0"/>
              <w:jc w:val="left"/>
              <w:rPr>
                <w:rFonts w:cs="Arial"/>
                <w:sz w:val="16"/>
                <w:szCs w:val="16"/>
              </w:rPr>
            </w:pPr>
            <w:r w:rsidRPr="003478AF">
              <w:rPr>
                <w:rFonts w:cs="Arial"/>
                <w:sz w:val="16"/>
                <w:szCs w:val="16"/>
              </w:rPr>
              <w:t>Masa selektywnie zebranych/ odebranych komunalnych odpadów niebezpiecznych</w:t>
            </w:r>
          </w:p>
        </w:tc>
        <w:tc>
          <w:tcPr>
            <w:tcW w:w="888" w:type="pct"/>
            <w:vAlign w:val="center"/>
          </w:tcPr>
          <w:p w14:paraId="05EE5C44" w14:textId="228AC6EF" w:rsidR="00684833" w:rsidRPr="003478AF" w:rsidRDefault="00684833" w:rsidP="00E136AA">
            <w:pPr>
              <w:ind w:firstLine="0"/>
              <w:jc w:val="center"/>
              <w:rPr>
                <w:rFonts w:cs="Arial"/>
                <w:sz w:val="16"/>
                <w:szCs w:val="16"/>
              </w:rPr>
            </w:pPr>
            <w:r w:rsidRPr="003478AF">
              <w:rPr>
                <w:rFonts w:cs="Arial"/>
                <w:sz w:val="16"/>
                <w:szCs w:val="16"/>
              </w:rPr>
              <w:t>tys. ton</w:t>
            </w:r>
          </w:p>
        </w:tc>
      </w:tr>
      <w:tr w:rsidR="00684833" w:rsidRPr="003478AF" w14:paraId="416F8355" w14:textId="77777777" w:rsidTr="00E136AA">
        <w:tc>
          <w:tcPr>
            <w:tcW w:w="1283" w:type="pct"/>
            <w:vMerge w:val="restart"/>
            <w:vAlign w:val="center"/>
          </w:tcPr>
          <w:p w14:paraId="141CEB5E" w14:textId="77777777" w:rsidR="00684833" w:rsidRPr="003478AF" w:rsidRDefault="00684833" w:rsidP="00E136AA">
            <w:pPr>
              <w:ind w:firstLine="0"/>
              <w:jc w:val="left"/>
              <w:rPr>
                <w:rFonts w:cs="Arial"/>
                <w:sz w:val="16"/>
                <w:szCs w:val="16"/>
              </w:rPr>
            </w:pPr>
            <w:r w:rsidRPr="003478AF">
              <w:rPr>
                <w:rFonts w:cs="Arial"/>
                <w:sz w:val="16"/>
                <w:szCs w:val="16"/>
              </w:rPr>
              <w:t>Odpady niebezpieczne – odpady medyczne i weterynaryjne</w:t>
            </w:r>
          </w:p>
        </w:tc>
        <w:tc>
          <w:tcPr>
            <w:tcW w:w="2829" w:type="pct"/>
            <w:vAlign w:val="center"/>
          </w:tcPr>
          <w:p w14:paraId="347E3464" w14:textId="77777777" w:rsidR="00684833" w:rsidRPr="003478AF" w:rsidRDefault="00684833" w:rsidP="00E136AA">
            <w:pPr>
              <w:ind w:firstLine="0"/>
              <w:jc w:val="left"/>
              <w:rPr>
                <w:rFonts w:cs="Arial"/>
                <w:sz w:val="16"/>
                <w:szCs w:val="16"/>
              </w:rPr>
            </w:pPr>
            <w:r w:rsidRPr="003478AF">
              <w:rPr>
                <w:rFonts w:cs="Arial"/>
                <w:sz w:val="16"/>
                <w:szCs w:val="16"/>
              </w:rPr>
              <w:t>Ilość wytworzonych odpadów medycznych i weterynaryjnych</w:t>
            </w:r>
          </w:p>
        </w:tc>
        <w:tc>
          <w:tcPr>
            <w:tcW w:w="888" w:type="pct"/>
            <w:vAlign w:val="center"/>
          </w:tcPr>
          <w:p w14:paraId="68AC9F7E" w14:textId="40FE93F1" w:rsidR="00684833" w:rsidRPr="003478AF" w:rsidRDefault="00684833" w:rsidP="00E136AA">
            <w:pPr>
              <w:ind w:firstLine="0"/>
              <w:jc w:val="center"/>
              <w:rPr>
                <w:rFonts w:cs="Arial"/>
                <w:sz w:val="16"/>
                <w:szCs w:val="16"/>
              </w:rPr>
            </w:pPr>
            <w:r w:rsidRPr="003478AF">
              <w:rPr>
                <w:rFonts w:cs="Arial"/>
                <w:sz w:val="16"/>
                <w:szCs w:val="16"/>
              </w:rPr>
              <w:t>tys. ton</w:t>
            </w:r>
          </w:p>
        </w:tc>
      </w:tr>
      <w:tr w:rsidR="00684833" w:rsidRPr="003478AF" w14:paraId="6400D81E" w14:textId="77777777" w:rsidTr="00E136AA">
        <w:tc>
          <w:tcPr>
            <w:tcW w:w="1283" w:type="pct"/>
            <w:vMerge/>
            <w:vAlign w:val="center"/>
          </w:tcPr>
          <w:p w14:paraId="6E0E368F" w14:textId="77777777" w:rsidR="00684833" w:rsidRPr="003478AF" w:rsidRDefault="00684833" w:rsidP="00E136AA">
            <w:pPr>
              <w:ind w:firstLine="0"/>
              <w:jc w:val="left"/>
              <w:rPr>
                <w:rFonts w:cs="Arial"/>
                <w:sz w:val="16"/>
                <w:szCs w:val="16"/>
              </w:rPr>
            </w:pPr>
          </w:p>
        </w:tc>
        <w:tc>
          <w:tcPr>
            <w:tcW w:w="2829" w:type="pct"/>
            <w:vAlign w:val="center"/>
          </w:tcPr>
          <w:p w14:paraId="324FEE42" w14:textId="77777777" w:rsidR="00684833" w:rsidRPr="003478AF" w:rsidRDefault="00684833" w:rsidP="00E136AA">
            <w:pPr>
              <w:ind w:firstLine="0"/>
              <w:jc w:val="left"/>
              <w:rPr>
                <w:rFonts w:cs="Arial"/>
                <w:sz w:val="16"/>
                <w:szCs w:val="16"/>
              </w:rPr>
            </w:pPr>
            <w:r w:rsidRPr="003478AF">
              <w:rPr>
                <w:rFonts w:cs="Arial"/>
                <w:sz w:val="16"/>
                <w:szCs w:val="16"/>
              </w:rPr>
              <w:t>Ilość wytworzonych odpadów medycznych i weterynaryjnych przetworzonych na terenie województwa</w:t>
            </w:r>
          </w:p>
        </w:tc>
        <w:tc>
          <w:tcPr>
            <w:tcW w:w="888" w:type="pct"/>
            <w:vAlign w:val="center"/>
          </w:tcPr>
          <w:p w14:paraId="3F741971" w14:textId="017E6B95" w:rsidR="00684833" w:rsidRPr="003478AF" w:rsidRDefault="00684833" w:rsidP="00E136AA">
            <w:pPr>
              <w:ind w:firstLine="0"/>
              <w:jc w:val="center"/>
              <w:rPr>
                <w:rFonts w:cs="Arial"/>
                <w:sz w:val="16"/>
                <w:szCs w:val="16"/>
              </w:rPr>
            </w:pPr>
            <w:r w:rsidRPr="003478AF">
              <w:rPr>
                <w:rFonts w:cs="Arial"/>
                <w:sz w:val="16"/>
                <w:szCs w:val="16"/>
              </w:rPr>
              <w:t>tys. ton</w:t>
            </w:r>
          </w:p>
        </w:tc>
      </w:tr>
      <w:tr w:rsidR="00684833" w:rsidRPr="003478AF" w14:paraId="2E6F6A6D" w14:textId="77777777" w:rsidTr="00E136AA">
        <w:tc>
          <w:tcPr>
            <w:tcW w:w="1283" w:type="pct"/>
            <w:vAlign w:val="center"/>
          </w:tcPr>
          <w:p w14:paraId="0F6FEF76" w14:textId="77777777" w:rsidR="00684833" w:rsidRPr="003478AF" w:rsidRDefault="00684833" w:rsidP="00E136AA">
            <w:pPr>
              <w:ind w:firstLine="0"/>
              <w:jc w:val="left"/>
              <w:rPr>
                <w:rFonts w:cs="Arial"/>
                <w:sz w:val="16"/>
                <w:szCs w:val="16"/>
              </w:rPr>
            </w:pPr>
            <w:r w:rsidRPr="003478AF">
              <w:rPr>
                <w:rFonts w:cs="Arial"/>
                <w:sz w:val="16"/>
                <w:szCs w:val="16"/>
              </w:rPr>
              <w:t>Odpady niebezpieczne – zawierające PCB</w:t>
            </w:r>
          </w:p>
        </w:tc>
        <w:tc>
          <w:tcPr>
            <w:tcW w:w="2829" w:type="pct"/>
            <w:vAlign w:val="center"/>
          </w:tcPr>
          <w:p w14:paraId="54423F4F" w14:textId="77777777" w:rsidR="00684833" w:rsidRPr="003478AF" w:rsidRDefault="00684833" w:rsidP="00E136AA">
            <w:pPr>
              <w:ind w:firstLine="0"/>
              <w:jc w:val="left"/>
              <w:rPr>
                <w:rFonts w:cs="Arial"/>
                <w:sz w:val="16"/>
                <w:szCs w:val="16"/>
              </w:rPr>
            </w:pPr>
            <w:r w:rsidRPr="003478AF">
              <w:rPr>
                <w:rFonts w:cs="Arial"/>
                <w:sz w:val="16"/>
                <w:szCs w:val="16"/>
              </w:rPr>
              <w:t>Masa pozostałych do zlikwidowania urządzeń zawierających PCB</w:t>
            </w:r>
          </w:p>
        </w:tc>
        <w:tc>
          <w:tcPr>
            <w:tcW w:w="888" w:type="pct"/>
            <w:vAlign w:val="center"/>
          </w:tcPr>
          <w:p w14:paraId="0C839172" w14:textId="69F1DD3D" w:rsidR="00684833" w:rsidRPr="003478AF" w:rsidRDefault="00684833" w:rsidP="00E136AA">
            <w:pPr>
              <w:ind w:firstLine="0"/>
              <w:jc w:val="center"/>
              <w:rPr>
                <w:rFonts w:cs="Arial"/>
                <w:sz w:val="16"/>
                <w:szCs w:val="16"/>
              </w:rPr>
            </w:pPr>
            <w:r w:rsidRPr="003478AF">
              <w:rPr>
                <w:rFonts w:cs="Arial"/>
                <w:sz w:val="16"/>
                <w:szCs w:val="16"/>
              </w:rPr>
              <w:t>tys. ton</w:t>
            </w:r>
          </w:p>
        </w:tc>
      </w:tr>
      <w:tr w:rsidR="00684833" w:rsidRPr="003478AF" w14:paraId="7A21A962" w14:textId="77777777" w:rsidTr="00E136AA">
        <w:tc>
          <w:tcPr>
            <w:tcW w:w="1283" w:type="pct"/>
            <w:vMerge w:val="restart"/>
            <w:vAlign w:val="center"/>
          </w:tcPr>
          <w:p w14:paraId="0352B14A" w14:textId="77777777" w:rsidR="00684833" w:rsidRPr="003478AF" w:rsidRDefault="00684833" w:rsidP="00E136AA">
            <w:pPr>
              <w:ind w:firstLine="0"/>
              <w:jc w:val="left"/>
              <w:rPr>
                <w:rFonts w:cs="Arial"/>
                <w:sz w:val="16"/>
                <w:szCs w:val="16"/>
              </w:rPr>
            </w:pPr>
            <w:r w:rsidRPr="003478AF">
              <w:rPr>
                <w:rFonts w:cs="Arial"/>
                <w:sz w:val="16"/>
                <w:szCs w:val="16"/>
              </w:rPr>
              <w:t>Odpady niebezpieczne – zawierające azbest</w:t>
            </w:r>
          </w:p>
        </w:tc>
        <w:tc>
          <w:tcPr>
            <w:tcW w:w="2829" w:type="pct"/>
            <w:vAlign w:val="center"/>
          </w:tcPr>
          <w:p w14:paraId="1668279F" w14:textId="77777777" w:rsidR="00684833" w:rsidRPr="003478AF" w:rsidRDefault="00684833" w:rsidP="00E136AA">
            <w:pPr>
              <w:ind w:firstLine="0"/>
              <w:jc w:val="left"/>
              <w:rPr>
                <w:rFonts w:cs="Arial"/>
                <w:sz w:val="16"/>
                <w:szCs w:val="16"/>
              </w:rPr>
            </w:pPr>
            <w:r w:rsidRPr="003478AF">
              <w:rPr>
                <w:rFonts w:cs="Arial"/>
                <w:sz w:val="16"/>
                <w:szCs w:val="16"/>
              </w:rPr>
              <w:t xml:space="preserve">Masa dotychczas usuniętych i unieszkodliwionych wyrobów zawierających azbest </w:t>
            </w:r>
          </w:p>
        </w:tc>
        <w:tc>
          <w:tcPr>
            <w:tcW w:w="888" w:type="pct"/>
            <w:vAlign w:val="center"/>
          </w:tcPr>
          <w:p w14:paraId="34C4BA09" w14:textId="7EC14A25" w:rsidR="00684833" w:rsidRPr="003478AF" w:rsidRDefault="00684833" w:rsidP="00E136AA">
            <w:pPr>
              <w:ind w:firstLine="0"/>
              <w:jc w:val="center"/>
              <w:rPr>
                <w:rFonts w:cs="Arial"/>
                <w:sz w:val="16"/>
                <w:szCs w:val="16"/>
              </w:rPr>
            </w:pPr>
            <w:r w:rsidRPr="003478AF">
              <w:rPr>
                <w:rFonts w:cs="Arial"/>
                <w:sz w:val="16"/>
                <w:szCs w:val="16"/>
              </w:rPr>
              <w:t>tys. ton</w:t>
            </w:r>
          </w:p>
        </w:tc>
      </w:tr>
      <w:tr w:rsidR="00684833" w:rsidRPr="003478AF" w14:paraId="294017E7" w14:textId="77777777" w:rsidTr="00E136AA">
        <w:tc>
          <w:tcPr>
            <w:tcW w:w="1283" w:type="pct"/>
            <w:vMerge/>
            <w:vAlign w:val="center"/>
          </w:tcPr>
          <w:p w14:paraId="786C04B1" w14:textId="77777777" w:rsidR="00684833" w:rsidRPr="003478AF" w:rsidRDefault="00684833" w:rsidP="00E136AA">
            <w:pPr>
              <w:ind w:firstLine="0"/>
              <w:jc w:val="left"/>
              <w:rPr>
                <w:rFonts w:cs="Arial"/>
                <w:sz w:val="16"/>
                <w:szCs w:val="16"/>
              </w:rPr>
            </w:pPr>
          </w:p>
        </w:tc>
        <w:tc>
          <w:tcPr>
            <w:tcW w:w="2829" w:type="pct"/>
            <w:vAlign w:val="center"/>
          </w:tcPr>
          <w:p w14:paraId="62FCF050" w14:textId="77777777" w:rsidR="00684833" w:rsidRPr="003478AF" w:rsidRDefault="00684833" w:rsidP="00E136AA">
            <w:pPr>
              <w:ind w:firstLine="0"/>
              <w:jc w:val="left"/>
              <w:rPr>
                <w:rFonts w:cs="Arial"/>
                <w:sz w:val="16"/>
                <w:szCs w:val="16"/>
              </w:rPr>
            </w:pPr>
            <w:r w:rsidRPr="003478AF">
              <w:rPr>
                <w:rFonts w:cs="Arial"/>
                <w:sz w:val="16"/>
                <w:szCs w:val="16"/>
              </w:rPr>
              <w:t xml:space="preserve">Masa pozostałych zinwentaryzowanych wyrobów zawierających azbest – do usunięcia </w:t>
            </w:r>
            <w:r w:rsidRPr="003478AF">
              <w:rPr>
                <w:rFonts w:cs="Arial"/>
                <w:sz w:val="16"/>
                <w:szCs w:val="16"/>
              </w:rPr>
              <w:br/>
              <w:t>i unieszkodliwienia</w:t>
            </w:r>
          </w:p>
        </w:tc>
        <w:tc>
          <w:tcPr>
            <w:tcW w:w="888" w:type="pct"/>
            <w:vAlign w:val="center"/>
          </w:tcPr>
          <w:p w14:paraId="1C9C0A33" w14:textId="584662B4" w:rsidR="00684833" w:rsidRPr="003478AF" w:rsidRDefault="00684833" w:rsidP="00E136AA">
            <w:pPr>
              <w:ind w:firstLine="0"/>
              <w:jc w:val="center"/>
              <w:rPr>
                <w:rFonts w:cs="Arial"/>
                <w:sz w:val="16"/>
                <w:szCs w:val="16"/>
              </w:rPr>
            </w:pPr>
            <w:r w:rsidRPr="003478AF">
              <w:rPr>
                <w:rFonts w:cs="Arial"/>
                <w:sz w:val="16"/>
                <w:szCs w:val="16"/>
              </w:rPr>
              <w:t>tys. ton</w:t>
            </w:r>
          </w:p>
        </w:tc>
      </w:tr>
      <w:tr w:rsidR="00684833" w:rsidRPr="003478AF" w14:paraId="38757CBF" w14:textId="77777777" w:rsidTr="00E136AA">
        <w:tc>
          <w:tcPr>
            <w:tcW w:w="1283" w:type="pct"/>
            <w:vAlign w:val="center"/>
          </w:tcPr>
          <w:p w14:paraId="1AE1B670" w14:textId="77777777" w:rsidR="00684833" w:rsidRPr="003478AF" w:rsidRDefault="00684833" w:rsidP="00E136AA">
            <w:pPr>
              <w:ind w:firstLine="0"/>
              <w:jc w:val="left"/>
              <w:rPr>
                <w:rFonts w:cs="Arial"/>
                <w:sz w:val="16"/>
                <w:szCs w:val="16"/>
              </w:rPr>
            </w:pPr>
            <w:r w:rsidRPr="003478AF">
              <w:rPr>
                <w:rFonts w:cs="Arial"/>
                <w:sz w:val="16"/>
                <w:szCs w:val="16"/>
              </w:rPr>
              <w:t>Odpady powstające z produktów – oleje odpadowe</w:t>
            </w:r>
          </w:p>
        </w:tc>
        <w:tc>
          <w:tcPr>
            <w:tcW w:w="2829" w:type="pct"/>
            <w:vAlign w:val="center"/>
          </w:tcPr>
          <w:p w14:paraId="60209F08" w14:textId="77777777" w:rsidR="00684833" w:rsidRPr="003478AF" w:rsidRDefault="00684833" w:rsidP="00E136AA">
            <w:pPr>
              <w:ind w:firstLine="0"/>
              <w:jc w:val="left"/>
              <w:rPr>
                <w:rFonts w:cs="Arial"/>
                <w:sz w:val="16"/>
                <w:szCs w:val="16"/>
              </w:rPr>
            </w:pPr>
            <w:r w:rsidRPr="003478AF">
              <w:rPr>
                <w:rFonts w:cs="Arial"/>
                <w:sz w:val="16"/>
                <w:szCs w:val="16"/>
              </w:rPr>
              <w:t xml:space="preserve">Ilość wytworzonych olejów odpadowych </w:t>
            </w:r>
          </w:p>
        </w:tc>
        <w:tc>
          <w:tcPr>
            <w:tcW w:w="888" w:type="pct"/>
            <w:vAlign w:val="center"/>
          </w:tcPr>
          <w:p w14:paraId="5E81E686" w14:textId="1F457792" w:rsidR="00684833" w:rsidRPr="003478AF" w:rsidRDefault="00684833" w:rsidP="00E136AA">
            <w:pPr>
              <w:ind w:firstLine="0"/>
              <w:jc w:val="center"/>
              <w:rPr>
                <w:rFonts w:cs="Arial"/>
                <w:sz w:val="16"/>
                <w:szCs w:val="16"/>
              </w:rPr>
            </w:pPr>
            <w:r w:rsidRPr="003478AF">
              <w:rPr>
                <w:rFonts w:cs="Arial"/>
                <w:sz w:val="16"/>
                <w:szCs w:val="16"/>
              </w:rPr>
              <w:t>tys. ton</w:t>
            </w:r>
          </w:p>
        </w:tc>
      </w:tr>
      <w:tr w:rsidR="00684833" w:rsidRPr="003478AF" w14:paraId="5C5B0063" w14:textId="77777777" w:rsidTr="00E136AA">
        <w:tc>
          <w:tcPr>
            <w:tcW w:w="1283" w:type="pct"/>
            <w:vMerge w:val="restart"/>
            <w:vAlign w:val="center"/>
          </w:tcPr>
          <w:p w14:paraId="0E3F6B9B" w14:textId="77777777" w:rsidR="00684833" w:rsidRPr="003478AF" w:rsidRDefault="00684833" w:rsidP="00E136AA">
            <w:pPr>
              <w:ind w:firstLine="0"/>
              <w:jc w:val="left"/>
              <w:rPr>
                <w:rFonts w:cs="Arial"/>
                <w:sz w:val="16"/>
                <w:szCs w:val="16"/>
              </w:rPr>
            </w:pPr>
            <w:r w:rsidRPr="003478AF">
              <w:rPr>
                <w:rFonts w:cs="Arial"/>
                <w:sz w:val="16"/>
                <w:szCs w:val="16"/>
              </w:rPr>
              <w:t>Odpady powstające z produktów – baterie i akumulatory</w:t>
            </w:r>
          </w:p>
        </w:tc>
        <w:tc>
          <w:tcPr>
            <w:tcW w:w="2829" w:type="pct"/>
            <w:vAlign w:val="center"/>
          </w:tcPr>
          <w:p w14:paraId="320FBFF9" w14:textId="77777777" w:rsidR="00684833" w:rsidRPr="003478AF" w:rsidRDefault="00684833" w:rsidP="00E136AA">
            <w:pPr>
              <w:ind w:firstLine="0"/>
              <w:jc w:val="left"/>
              <w:rPr>
                <w:rFonts w:cs="Arial"/>
                <w:sz w:val="16"/>
                <w:szCs w:val="16"/>
              </w:rPr>
            </w:pPr>
            <w:r w:rsidRPr="003478AF">
              <w:rPr>
                <w:rFonts w:cs="Arial"/>
                <w:sz w:val="16"/>
                <w:szCs w:val="16"/>
              </w:rPr>
              <w:t>Masa zebranych przenośnych baterii i akumulatorów (ogółem)</w:t>
            </w:r>
          </w:p>
        </w:tc>
        <w:tc>
          <w:tcPr>
            <w:tcW w:w="888" w:type="pct"/>
            <w:vAlign w:val="center"/>
          </w:tcPr>
          <w:p w14:paraId="214482CF" w14:textId="4708F042" w:rsidR="00684833" w:rsidRPr="003478AF" w:rsidRDefault="00684833" w:rsidP="00E136AA">
            <w:pPr>
              <w:ind w:firstLine="0"/>
              <w:jc w:val="center"/>
              <w:rPr>
                <w:rFonts w:cs="Arial"/>
                <w:sz w:val="16"/>
                <w:szCs w:val="16"/>
              </w:rPr>
            </w:pPr>
            <w:r w:rsidRPr="003478AF">
              <w:rPr>
                <w:rFonts w:cs="Arial"/>
                <w:sz w:val="16"/>
                <w:szCs w:val="16"/>
              </w:rPr>
              <w:t>tys. ton</w:t>
            </w:r>
          </w:p>
        </w:tc>
      </w:tr>
      <w:tr w:rsidR="00684833" w:rsidRPr="003478AF" w14:paraId="3F51FD76" w14:textId="77777777" w:rsidTr="00E136AA">
        <w:tc>
          <w:tcPr>
            <w:tcW w:w="1283" w:type="pct"/>
            <w:vMerge/>
            <w:vAlign w:val="center"/>
          </w:tcPr>
          <w:p w14:paraId="2A2AB0DB" w14:textId="77777777" w:rsidR="00684833" w:rsidRPr="003478AF" w:rsidRDefault="00684833" w:rsidP="00E136AA">
            <w:pPr>
              <w:jc w:val="left"/>
              <w:rPr>
                <w:rFonts w:cs="Arial"/>
                <w:sz w:val="16"/>
                <w:szCs w:val="16"/>
              </w:rPr>
            </w:pPr>
          </w:p>
        </w:tc>
        <w:tc>
          <w:tcPr>
            <w:tcW w:w="2829" w:type="pct"/>
            <w:vAlign w:val="center"/>
          </w:tcPr>
          <w:p w14:paraId="42CF81B3" w14:textId="77777777" w:rsidR="00684833" w:rsidRPr="003478AF" w:rsidRDefault="00684833" w:rsidP="00E136AA">
            <w:pPr>
              <w:ind w:firstLine="0"/>
              <w:jc w:val="left"/>
              <w:rPr>
                <w:rFonts w:cs="Arial"/>
                <w:sz w:val="16"/>
                <w:szCs w:val="16"/>
              </w:rPr>
            </w:pPr>
            <w:r w:rsidRPr="003478AF">
              <w:rPr>
                <w:rFonts w:cs="Arial"/>
                <w:sz w:val="16"/>
                <w:szCs w:val="16"/>
              </w:rPr>
              <w:t>Masa zebranych zużytych baterii i akumulatorów kwasowo-ołowiowych</w:t>
            </w:r>
          </w:p>
        </w:tc>
        <w:tc>
          <w:tcPr>
            <w:tcW w:w="888" w:type="pct"/>
            <w:vAlign w:val="center"/>
          </w:tcPr>
          <w:p w14:paraId="2DAF7616" w14:textId="3CF5F41C" w:rsidR="00684833" w:rsidRPr="003478AF" w:rsidRDefault="00684833" w:rsidP="00E136AA">
            <w:pPr>
              <w:ind w:firstLine="0"/>
              <w:jc w:val="center"/>
              <w:rPr>
                <w:rFonts w:cs="Arial"/>
                <w:sz w:val="16"/>
                <w:szCs w:val="16"/>
              </w:rPr>
            </w:pPr>
            <w:r w:rsidRPr="003478AF">
              <w:rPr>
                <w:rFonts w:cs="Arial"/>
                <w:sz w:val="16"/>
                <w:szCs w:val="16"/>
              </w:rPr>
              <w:t>tys. ton</w:t>
            </w:r>
          </w:p>
        </w:tc>
      </w:tr>
      <w:tr w:rsidR="00684833" w:rsidRPr="003478AF" w14:paraId="7B8CA03A" w14:textId="77777777" w:rsidTr="00E136AA">
        <w:tc>
          <w:tcPr>
            <w:tcW w:w="1283" w:type="pct"/>
            <w:vMerge/>
            <w:vAlign w:val="center"/>
          </w:tcPr>
          <w:p w14:paraId="47757F0B" w14:textId="77777777" w:rsidR="00684833" w:rsidRPr="003478AF" w:rsidRDefault="00684833" w:rsidP="00E136AA">
            <w:pPr>
              <w:jc w:val="left"/>
              <w:rPr>
                <w:rFonts w:cs="Arial"/>
                <w:sz w:val="16"/>
                <w:szCs w:val="16"/>
              </w:rPr>
            </w:pPr>
          </w:p>
        </w:tc>
        <w:tc>
          <w:tcPr>
            <w:tcW w:w="2829" w:type="pct"/>
            <w:vAlign w:val="center"/>
          </w:tcPr>
          <w:p w14:paraId="0197A769" w14:textId="77777777" w:rsidR="00684833" w:rsidRPr="003478AF" w:rsidRDefault="00684833" w:rsidP="00E136AA">
            <w:pPr>
              <w:ind w:firstLine="0"/>
              <w:jc w:val="left"/>
              <w:rPr>
                <w:rFonts w:cs="Arial"/>
                <w:sz w:val="16"/>
                <w:szCs w:val="16"/>
              </w:rPr>
            </w:pPr>
            <w:r w:rsidRPr="003478AF">
              <w:rPr>
                <w:rFonts w:cs="Arial"/>
                <w:sz w:val="16"/>
                <w:szCs w:val="16"/>
              </w:rPr>
              <w:t>Masa zebranych zużytych baterii i akumulatorów niklowo-kadmowych</w:t>
            </w:r>
          </w:p>
        </w:tc>
        <w:tc>
          <w:tcPr>
            <w:tcW w:w="888" w:type="pct"/>
            <w:vAlign w:val="center"/>
          </w:tcPr>
          <w:p w14:paraId="31FE1587" w14:textId="42A2B1BC" w:rsidR="00684833" w:rsidRPr="003478AF" w:rsidRDefault="00684833" w:rsidP="00E136AA">
            <w:pPr>
              <w:ind w:firstLine="0"/>
              <w:jc w:val="center"/>
              <w:rPr>
                <w:rFonts w:cs="Arial"/>
                <w:sz w:val="16"/>
                <w:szCs w:val="16"/>
              </w:rPr>
            </w:pPr>
            <w:r w:rsidRPr="003478AF">
              <w:rPr>
                <w:rFonts w:cs="Arial"/>
                <w:sz w:val="16"/>
                <w:szCs w:val="16"/>
              </w:rPr>
              <w:t>tys. ton</w:t>
            </w:r>
          </w:p>
        </w:tc>
      </w:tr>
      <w:tr w:rsidR="00684833" w:rsidRPr="003478AF" w14:paraId="5CBB4E86" w14:textId="77777777" w:rsidTr="00E136AA">
        <w:tc>
          <w:tcPr>
            <w:tcW w:w="1283" w:type="pct"/>
            <w:vMerge/>
            <w:vAlign w:val="center"/>
          </w:tcPr>
          <w:p w14:paraId="5CEBC1A6" w14:textId="77777777" w:rsidR="00684833" w:rsidRPr="003478AF" w:rsidRDefault="00684833" w:rsidP="00E136AA">
            <w:pPr>
              <w:jc w:val="left"/>
              <w:rPr>
                <w:rFonts w:cs="Arial"/>
                <w:sz w:val="16"/>
                <w:szCs w:val="16"/>
              </w:rPr>
            </w:pPr>
          </w:p>
        </w:tc>
        <w:tc>
          <w:tcPr>
            <w:tcW w:w="2829" w:type="pct"/>
            <w:vAlign w:val="center"/>
          </w:tcPr>
          <w:p w14:paraId="5B70E72D" w14:textId="77777777" w:rsidR="00684833" w:rsidRPr="003478AF" w:rsidRDefault="00684833" w:rsidP="00E136AA">
            <w:pPr>
              <w:ind w:firstLine="0"/>
              <w:jc w:val="left"/>
              <w:rPr>
                <w:rFonts w:cs="Arial"/>
                <w:sz w:val="16"/>
                <w:szCs w:val="16"/>
              </w:rPr>
            </w:pPr>
            <w:r w:rsidRPr="003478AF">
              <w:rPr>
                <w:rFonts w:cs="Arial"/>
                <w:sz w:val="16"/>
                <w:szCs w:val="16"/>
              </w:rPr>
              <w:t>Masa pozostałych zebranych zużytych baterii i akumulatorów</w:t>
            </w:r>
          </w:p>
        </w:tc>
        <w:tc>
          <w:tcPr>
            <w:tcW w:w="888" w:type="pct"/>
            <w:vAlign w:val="center"/>
          </w:tcPr>
          <w:p w14:paraId="15619C71" w14:textId="768951C9" w:rsidR="00684833" w:rsidRPr="003478AF" w:rsidRDefault="00684833" w:rsidP="00E136AA">
            <w:pPr>
              <w:ind w:firstLine="0"/>
              <w:jc w:val="center"/>
              <w:rPr>
                <w:rFonts w:cs="Arial"/>
                <w:sz w:val="16"/>
                <w:szCs w:val="16"/>
              </w:rPr>
            </w:pPr>
            <w:r w:rsidRPr="003478AF">
              <w:rPr>
                <w:rFonts w:cs="Arial"/>
                <w:sz w:val="16"/>
                <w:szCs w:val="16"/>
              </w:rPr>
              <w:t>tys. ton</w:t>
            </w:r>
          </w:p>
        </w:tc>
      </w:tr>
      <w:tr w:rsidR="00684833" w:rsidRPr="003478AF" w14:paraId="6E37BBE9" w14:textId="77777777" w:rsidTr="00E136AA">
        <w:tc>
          <w:tcPr>
            <w:tcW w:w="1283" w:type="pct"/>
            <w:vAlign w:val="center"/>
          </w:tcPr>
          <w:p w14:paraId="18C062B8" w14:textId="77777777" w:rsidR="00684833" w:rsidRPr="003478AF" w:rsidRDefault="00684833" w:rsidP="00E136AA">
            <w:pPr>
              <w:ind w:firstLine="0"/>
              <w:jc w:val="left"/>
              <w:rPr>
                <w:rFonts w:cs="Arial"/>
                <w:sz w:val="16"/>
                <w:szCs w:val="16"/>
              </w:rPr>
            </w:pPr>
            <w:r w:rsidRPr="003478AF">
              <w:rPr>
                <w:rFonts w:cs="Arial"/>
                <w:sz w:val="16"/>
                <w:szCs w:val="16"/>
              </w:rPr>
              <w:t>Odpady powstające z produktów – zużyty sprzęt elektryczny i elektroniczny</w:t>
            </w:r>
          </w:p>
        </w:tc>
        <w:tc>
          <w:tcPr>
            <w:tcW w:w="2829" w:type="pct"/>
            <w:vAlign w:val="center"/>
          </w:tcPr>
          <w:p w14:paraId="2797DFDF" w14:textId="77777777" w:rsidR="00684833" w:rsidRPr="003478AF" w:rsidRDefault="00684833" w:rsidP="00E136AA">
            <w:pPr>
              <w:ind w:firstLine="0"/>
              <w:jc w:val="left"/>
              <w:rPr>
                <w:rFonts w:cs="Arial"/>
                <w:sz w:val="16"/>
                <w:szCs w:val="16"/>
              </w:rPr>
            </w:pPr>
            <w:r w:rsidRPr="003478AF">
              <w:rPr>
                <w:rFonts w:cs="Arial"/>
                <w:sz w:val="16"/>
                <w:szCs w:val="16"/>
              </w:rPr>
              <w:t xml:space="preserve">Masa zebranego zużytego sprzętu elektrycznego i elektronicznego – ogółem </w:t>
            </w:r>
          </w:p>
        </w:tc>
        <w:tc>
          <w:tcPr>
            <w:tcW w:w="888" w:type="pct"/>
            <w:vAlign w:val="center"/>
          </w:tcPr>
          <w:p w14:paraId="08743C3E" w14:textId="0D1379B8" w:rsidR="00684833" w:rsidRPr="003478AF" w:rsidRDefault="00684833" w:rsidP="00E136AA">
            <w:pPr>
              <w:ind w:firstLine="0"/>
              <w:jc w:val="center"/>
              <w:rPr>
                <w:rFonts w:cs="Arial"/>
                <w:sz w:val="16"/>
                <w:szCs w:val="16"/>
              </w:rPr>
            </w:pPr>
            <w:r w:rsidRPr="003478AF">
              <w:rPr>
                <w:rFonts w:cs="Arial"/>
                <w:sz w:val="16"/>
                <w:szCs w:val="16"/>
              </w:rPr>
              <w:t>tys. ton</w:t>
            </w:r>
          </w:p>
        </w:tc>
      </w:tr>
      <w:tr w:rsidR="00AC237C" w:rsidRPr="003478AF" w14:paraId="4C97C2FA" w14:textId="77777777" w:rsidTr="00E136AA">
        <w:tc>
          <w:tcPr>
            <w:tcW w:w="1283" w:type="pct"/>
            <w:vMerge w:val="restart"/>
            <w:vAlign w:val="center"/>
          </w:tcPr>
          <w:p w14:paraId="6B30CBFC" w14:textId="77777777" w:rsidR="00AC237C" w:rsidRPr="003478AF" w:rsidRDefault="00AC237C" w:rsidP="00E136AA">
            <w:pPr>
              <w:ind w:firstLine="0"/>
              <w:jc w:val="left"/>
              <w:rPr>
                <w:rFonts w:cs="Arial"/>
                <w:sz w:val="16"/>
                <w:szCs w:val="16"/>
              </w:rPr>
            </w:pPr>
            <w:r w:rsidRPr="003478AF">
              <w:rPr>
                <w:rFonts w:cs="Arial"/>
                <w:sz w:val="16"/>
                <w:szCs w:val="16"/>
              </w:rPr>
              <w:t>Odpady powstające z produktów – pojazdy wycofane z eksploatacji</w:t>
            </w:r>
          </w:p>
        </w:tc>
        <w:tc>
          <w:tcPr>
            <w:tcW w:w="2829" w:type="pct"/>
            <w:vAlign w:val="center"/>
          </w:tcPr>
          <w:p w14:paraId="4A0E6394" w14:textId="77777777" w:rsidR="00AC237C" w:rsidRPr="003478AF" w:rsidRDefault="00AC237C" w:rsidP="00E136AA">
            <w:pPr>
              <w:ind w:firstLine="0"/>
              <w:jc w:val="left"/>
              <w:rPr>
                <w:rFonts w:cs="Arial"/>
                <w:sz w:val="16"/>
                <w:szCs w:val="16"/>
              </w:rPr>
            </w:pPr>
            <w:r w:rsidRPr="003478AF">
              <w:rPr>
                <w:rFonts w:cs="Arial"/>
                <w:sz w:val="16"/>
                <w:szCs w:val="16"/>
              </w:rPr>
              <w:t>Liczba stacji demontażu</w:t>
            </w:r>
          </w:p>
        </w:tc>
        <w:tc>
          <w:tcPr>
            <w:tcW w:w="888" w:type="pct"/>
            <w:vAlign w:val="center"/>
          </w:tcPr>
          <w:p w14:paraId="250F074C" w14:textId="77777777" w:rsidR="00AC237C" w:rsidRPr="003478AF" w:rsidRDefault="00AC237C" w:rsidP="00E136AA">
            <w:pPr>
              <w:ind w:firstLine="0"/>
              <w:jc w:val="center"/>
              <w:rPr>
                <w:rFonts w:cs="Arial"/>
                <w:sz w:val="16"/>
                <w:szCs w:val="16"/>
              </w:rPr>
            </w:pPr>
            <w:r w:rsidRPr="003478AF">
              <w:rPr>
                <w:rFonts w:cs="Arial"/>
                <w:sz w:val="16"/>
                <w:szCs w:val="16"/>
              </w:rPr>
              <w:t>szt.</w:t>
            </w:r>
          </w:p>
        </w:tc>
      </w:tr>
      <w:tr w:rsidR="00AC237C" w:rsidRPr="003478AF" w14:paraId="65E7CFA5" w14:textId="77777777" w:rsidTr="00E136AA">
        <w:tc>
          <w:tcPr>
            <w:tcW w:w="1283" w:type="pct"/>
            <w:vMerge/>
            <w:vAlign w:val="center"/>
          </w:tcPr>
          <w:p w14:paraId="751FDEE3" w14:textId="77777777" w:rsidR="00AC237C" w:rsidRPr="003478AF" w:rsidRDefault="00AC237C" w:rsidP="00E136AA">
            <w:pPr>
              <w:jc w:val="left"/>
              <w:rPr>
                <w:rFonts w:cs="Arial"/>
                <w:sz w:val="16"/>
                <w:szCs w:val="16"/>
              </w:rPr>
            </w:pPr>
          </w:p>
        </w:tc>
        <w:tc>
          <w:tcPr>
            <w:tcW w:w="2829" w:type="pct"/>
            <w:vAlign w:val="center"/>
          </w:tcPr>
          <w:p w14:paraId="62B6A426" w14:textId="77777777" w:rsidR="00AC237C" w:rsidRPr="003478AF" w:rsidRDefault="00AC237C" w:rsidP="00E136AA">
            <w:pPr>
              <w:ind w:firstLine="0"/>
              <w:jc w:val="left"/>
              <w:rPr>
                <w:rFonts w:cs="Arial"/>
                <w:sz w:val="16"/>
                <w:szCs w:val="16"/>
              </w:rPr>
            </w:pPr>
            <w:r w:rsidRPr="003478AF">
              <w:rPr>
                <w:rFonts w:cs="Arial"/>
                <w:sz w:val="16"/>
                <w:szCs w:val="16"/>
              </w:rPr>
              <w:t>Liczba punktów zbierania pojazdów</w:t>
            </w:r>
          </w:p>
        </w:tc>
        <w:tc>
          <w:tcPr>
            <w:tcW w:w="888" w:type="pct"/>
            <w:vAlign w:val="center"/>
          </w:tcPr>
          <w:p w14:paraId="13C41F0C" w14:textId="77777777" w:rsidR="00AC237C" w:rsidRPr="003478AF" w:rsidRDefault="00AC237C" w:rsidP="00E136AA">
            <w:pPr>
              <w:ind w:firstLine="0"/>
              <w:jc w:val="center"/>
              <w:rPr>
                <w:rFonts w:cs="Arial"/>
                <w:sz w:val="16"/>
                <w:szCs w:val="16"/>
              </w:rPr>
            </w:pPr>
            <w:r w:rsidRPr="003478AF">
              <w:rPr>
                <w:rFonts w:cs="Arial"/>
                <w:sz w:val="16"/>
                <w:szCs w:val="16"/>
              </w:rPr>
              <w:t>szt.</w:t>
            </w:r>
          </w:p>
        </w:tc>
      </w:tr>
      <w:tr w:rsidR="00AC237C" w:rsidRPr="003478AF" w14:paraId="551E5582" w14:textId="77777777" w:rsidTr="00E136AA">
        <w:tc>
          <w:tcPr>
            <w:tcW w:w="1283" w:type="pct"/>
            <w:vMerge/>
            <w:vAlign w:val="center"/>
          </w:tcPr>
          <w:p w14:paraId="0915E74E" w14:textId="77777777" w:rsidR="00AC237C" w:rsidRPr="003478AF" w:rsidRDefault="00AC237C" w:rsidP="00E136AA">
            <w:pPr>
              <w:jc w:val="left"/>
              <w:rPr>
                <w:rFonts w:cs="Arial"/>
                <w:sz w:val="16"/>
                <w:szCs w:val="16"/>
              </w:rPr>
            </w:pPr>
          </w:p>
        </w:tc>
        <w:tc>
          <w:tcPr>
            <w:tcW w:w="2829" w:type="pct"/>
            <w:vAlign w:val="center"/>
          </w:tcPr>
          <w:p w14:paraId="28574034" w14:textId="77777777" w:rsidR="00AC237C" w:rsidRPr="003478AF" w:rsidRDefault="00AC237C" w:rsidP="00E136AA">
            <w:pPr>
              <w:ind w:firstLine="0"/>
              <w:jc w:val="left"/>
              <w:rPr>
                <w:rFonts w:cs="Arial"/>
                <w:sz w:val="16"/>
                <w:szCs w:val="16"/>
              </w:rPr>
            </w:pPr>
            <w:r w:rsidRPr="003478AF">
              <w:rPr>
                <w:rFonts w:cs="Arial"/>
                <w:sz w:val="16"/>
                <w:szCs w:val="16"/>
              </w:rPr>
              <w:t>Masa zebranych pojazdów wycofanych z eksploatacji</w:t>
            </w:r>
          </w:p>
        </w:tc>
        <w:tc>
          <w:tcPr>
            <w:tcW w:w="888" w:type="pct"/>
            <w:vAlign w:val="center"/>
          </w:tcPr>
          <w:p w14:paraId="3646CC74" w14:textId="3F313853" w:rsidR="00AC237C" w:rsidRPr="003478AF" w:rsidRDefault="00AC237C" w:rsidP="00E136AA">
            <w:pPr>
              <w:ind w:firstLine="0"/>
              <w:jc w:val="center"/>
              <w:rPr>
                <w:rFonts w:cs="Arial"/>
                <w:sz w:val="16"/>
                <w:szCs w:val="16"/>
              </w:rPr>
            </w:pPr>
            <w:r w:rsidRPr="003478AF">
              <w:rPr>
                <w:rFonts w:cs="Arial"/>
                <w:sz w:val="16"/>
                <w:szCs w:val="16"/>
              </w:rPr>
              <w:t xml:space="preserve">tys. </w:t>
            </w:r>
            <w:r w:rsidR="00684833" w:rsidRPr="003478AF">
              <w:rPr>
                <w:rFonts w:cs="Arial"/>
                <w:sz w:val="16"/>
                <w:szCs w:val="16"/>
              </w:rPr>
              <w:t>ton</w:t>
            </w:r>
          </w:p>
        </w:tc>
      </w:tr>
      <w:tr w:rsidR="00AC237C" w:rsidRPr="003478AF" w14:paraId="7DA45C6F" w14:textId="77777777" w:rsidTr="00E136AA">
        <w:tc>
          <w:tcPr>
            <w:tcW w:w="1283" w:type="pct"/>
            <w:vAlign w:val="center"/>
          </w:tcPr>
          <w:p w14:paraId="07C32E20" w14:textId="77777777" w:rsidR="00AC237C" w:rsidRPr="003478AF" w:rsidRDefault="00AC237C" w:rsidP="00E136AA">
            <w:pPr>
              <w:ind w:firstLine="0"/>
              <w:jc w:val="left"/>
              <w:rPr>
                <w:rFonts w:cs="Arial"/>
                <w:sz w:val="16"/>
                <w:szCs w:val="16"/>
              </w:rPr>
            </w:pPr>
            <w:r w:rsidRPr="003478AF">
              <w:rPr>
                <w:rFonts w:cs="Arial"/>
                <w:sz w:val="16"/>
                <w:szCs w:val="16"/>
              </w:rPr>
              <w:t>Odpady pozostałe - odpady z budowy, remontów i demontażu obiektów budowlanych oraz infrastruktury drogowej</w:t>
            </w:r>
          </w:p>
        </w:tc>
        <w:tc>
          <w:tcPr>
            <w:tcW w:w="2829" w:type="pct"/>
            <w:vAlign w:val="center"/>
          </w:tcPr>
          <w:p w14:paraId="65CD498E" w14:textId="77777777" w:rsidR="00AC237C" w:rsidRPr="003478AF" w:rsidRDefault="00AC237C" w:rsidP="00E136AA">
            <w:pPr>
              <w:ind w:firstLine="0"/>
              <w:jc w:val="left"/>
              <w:rPr>
                <w:rFonts w:cs="Arial"/>
                <w:sz w:val="16"/>
                <w:szCs w:val="16"/>
              </w:rPr>
            </w:pPr>
            <w:r w:rsidRPr="003478AF">
              <w:rPr>
                <w:rFonts w:cs="Arial"/>
                <w:sz w:val="16"/>
                <w:szCs w:val="16"/>
              </w:rPr>
              <w:t>Poziom przygotowania do ponownego użycia, recyklingu oraz innych form odzysku materiałów budowlanych i rozbiórkowych</w:t>
            </w:r>
          </w:p>
        </w:tc>
        <w:tc>
          <w:tcPr>
            <w:tcW w:w="888" w:type="pct"/>
            <w:vAlign w:val="center"/>
          </w:tcPr>
          <w:p w14:paraId="0F8BB4D1" w14:textId="77777777" w:rsidR="00AC237C" w:rsidRPr="003478AF" w:rsidRDefault="00AC237C" w:rsidP="00E136AA">
            <w:pPr>
              <w:ind w:firstLine="0"/>
              <w:jc w:val="center"/>
              <w:rPr>
                <w:rFonts w:cs="Arial"/>
                <w:sz w:val="16"/>
                <w:szCs w:val="16"/>
              </w:rPr>
            </w:pPr>
            <w:r w:rsidRPr="003478AF">
              <w:rPr>
                <w:rFonts w:cs="Arial"/>
                <w:sz w:val="16"/>
                <w:szCs w:val="16"/>
              </w:rPr>
              <w:t>%</w:t>
            </w:r>
          </w:p>
        </w:tc>
      </w:tr>
      <w:tr w:rsidR="00AC237C" w:rsidRPr="003478AF" w14:paraId="55EBABD7" w14:textId="77777777" w:rsidTr="00E136AA">
        <w:tc>
          <w:tcPr>
            <w:tcW w:w="1283" w:type="pct"/>
            <w:vMerge w:val="restart"/>
            <w:vAlign w:val="center"/>
          </w:tcPr>
          <w:p w14:paraId="257B1C77" w14:textId="77777777" w:rsidR="00AC237C" w:rsidRPr="003478AF" w:rsidRDefault="00AC237C" w:rsidP="00E136AA">
            <w:pPr>
              <w:ind w:firstLine="0"/>
              <w:jc w:val="left"/>
              <w:rPr>
                <w:rFonts w:cs="Arial"/>
                <w:sz w:val="16"/>
                <w:szCs w:val="16"/>
              </w:rPr>
            </w:pPr>
            <w:r w:rsidRPr="003478AF">
              <w:rPr>
                <w:rFonts w:cs="Arial"/>
                <w:sz w:val="16"/>
                <w:szCs w:val="16"/>
              </w:rPr>
              <w:t>Odpady pozostałe - komunalne osady ściekowe</w:t>
            </w:r>
          </w:p>
        </w:tc>
        <w:tc>
          <w:tcPr>
            <w:tcW w:w="2829" w:type="pct"/>
            <w:vAlign w:val="center"/>
          </w:tcPr>
          <w:p w14:paraId="7EFFCABB" w14:textId="77777777" w:rsidR="00AC237C" w:rsidRPr="003478AF" w:rsidRDefault="00AC237C" w:rsidP="00E136AA">
            <w:pPr>
              <w:ind w:firstLine="0"/>
              <w:jc w:val="left"/>
              <w:rPr>
                <w:rFonts w:cs="Arial"/>
                <w:sz w:val="16"/>
                <w:szCs w:val="16"/>
              </w:rPr>
            </w:pPr>
            <w:r w:rsidRPr="003478AF">
              <w:rPr>
                <w:rFonts w:cs="Arial"/>
                <w:sz w:val="16"/>
                <w:szCs w:val="16"/>
              </w:rPr>
              <w:t>Masa wytworzonych komunalnych osadów ściekowych</w:t>
            </w:r>
          </w:p>
        </w:tc>
        <w:tc>
          <w:tcPr>
            <w:tcW w:w="888" w:type="pct"/>
            <w:vAlign w:val="center"/>
          </w:tcPr>
          <w:p w14:paraId="36116F68" w14:textId="6D751EA1" w:rsidR="00AC237C" w:rsidRPr="003478AF" w:rsidRDefault="00AC237C" w:rsidP="00E136AA">
            <w:pPr>
              <w:ind w:firstLine="0"/>
              <w:jc w:val="center"/>
              <w:rPr>
                <w:rFonts w:cs="Arial"/>
                <w:sz w:val="16"/>
                <w:szCs w:val="16"/>
              </w:rPr>
            </w:pPr>
            <w:r w:rsidRPr="003478AF">
              <w:rPr>
                <w:rFonts w:cs="Arial"/>
                <w:sz w:val="16"/>
                <w:szCs w:val="16"/>
              </w:rPr>
              <w:t>tys.</w:t>
            </w:r>
            <w:r w:rsidR="00684833" w:rsidRPr="003478AF">
              <w:rPr>
                <w:rFonts w:cs="Arial"/>
                <w:sz w:val="16"/>
                <w:szCs w:val="16"/>
              </w:rPr>
              <w:t>ton</w:t>
            </w:r>
            <w:r w:rsidRPr="003478AF">
              <w:rPr>
                <w:rFonts w:cs="Arial"/>
                <w:sz w:val="16"/>
                <w:szCs w:val="16"/>
              </w:rPr>
              <w:t xml:space="preserve"> / tys. </w:t>
            </w:r>
            <w:r w:rsidR="00684833" w:rsidRPr="003478AF">
              <w:rPr>
                <w:rFonts w:cs="Arial"/>
                <w:sz w:val="16"/>
                <w:szCs w:val="16"/>
              </w:rPr>
              <w:t>ton</w:t>
            </w:r>
            <w:r w:rsidRPr="003478AF">
              <w:rPr>
                <w:rFonts w:cs="Arial"/>
                <w:sz w:val="16"/>
                <w:szCs w:val="16"/>
              </w:rPr>
              <w:t xml:space="preserve"> s.m.</w:t>
            </w:r>
          </w:p>
        </w:tc>
      </w:tr>
      <w:tr w:rsidR="00AC237C" w:rsidRPr="003478AF" w14:paraId="4D7C6B55" w14:textId="77777777" w:rsidTr="00E136AA">
        <w:tc>
          <w:tcPr>
            <w:tcW w:w="1283" w:type="pct"/>
            <w:vMerge/>
            <w:vAlign w:val="center"/>
          </w:tcPr>
          <w:p w14:paraId="4D2C46C0" w14:textId="77777777" w:rsidR="00AC237C" w:rsidRPr="003478AF" w:rsidRDefault="00AC237C" w:rsidP="00E136AA">
            <w:pPr>
              <w:jc w:val="left"/>
              <w:rPr>
                <w:rFonts w:cs="Arial"/>
                <w:sz w:val="16"/>
                <w:szCs w:val="16"/>
              </w:rPr>
            </w:pPr>
          </w:p>
        </w:tc>
        <w:tc>
          <w:tcPr>
            <w:tcW w:w="2829" w:type="pct"/>
            <w:vAlign w:val="center"/>
          </w:tcPr>
          <w:p w14:paraId="36A2FFF4" w14:textId="77777777" w:rsidR="00AC237C" w:rsidRPr="003478AF" w:rsidRDefault="00AC237C" w:rsidP="00E136AA">
            <w:pPr>
              <w:ind w:firstLine="0"/>
              <w:jc w:val="left"/>
              <w:rPr>
                <w:rFonts w:cs="Arial"/>
                <w:sz w:val="16"/>
                <w:szCs w:val="16"/>
              </w:rPr>
            </w:pPr>
            <w:r w:rsidRPr="003478AF">
              <w:rPr>
                <w:rFonts w:cs="Arial"/>
                <w:sz w:val="16"/>
                <w:szCs w:val="16"/>
              </w:rPr>
              <w:t>Odsetek masy wytworzonych komunalnych osadów ściekowych poddanych przetwarzaniu metodami termicznymi</w:t>
            </w:r>
          </w:p>
        </w:tc>
        <w:tc>
          <w:tcPr>
            <w:tcW w:w="888" w:type="pct"/>
            <w:vAlign w:val="center"/>
          </w:tcPr>
          <w:p w14:paraId="26420311" w14:textId="77777777" w:rsidR="00AC237C" w:rsidRPr="003478AF" w:rsidRDefault="00AC237C" w:rsidP="00E136AA">
            <w:pPr>
              <w:ind w:firstLine="0"/>
              <w:jc w:val="center"/>
              <w:rPr>
                <w:rFonts w:cs="Arial"/>
                <w:sz w:val="16"/>
                <w:szCs w:val="16"/>
              </w:rPr>
            </w:pPr>
            <w:r w:rsidRPr="003478AF">
              <w:rPr>
                <w:rFonts w:cs="Arial"/>
                <w:sz w:val="16"/>
                <w:szCs w:val="16"/>
              </w:rPr>
              <w:t>%</w:t>
            </w:r>
          </w:p>
        </w:tc>
      </w:tr>
      <w:tr w:rsidR="00AC237C" w:rsidRPr="003478AF" w14:paraId="5F7C6FE1" w14:textId="77777777" w:rsidTr="00E136AA">
        <w:tc>
          <w:tcPr>
            <w:tcW w:w="1283" w:type="pct"/>
            <w:vMerge/>
            <w:vAlign w:val="center"/>
          </w:tcPr>
          <w:p w14:paraId="392E72A6" w14:textId="77777777" w:rsidR="00AC237C" w:rsidRPr="003478AF" w:rsidRDefault="00AC237C" w:rsidP="00E136AA">
            <w:pPr>
              <w:jc w:val="left"/>
              <w:rPr>
                <w:rFonts w:cs="Arial"/>
                <w:sz w:val="16"/>
                <w:szCs w:val="16"/>
              </w:rPr>
            </w:pPr>
          </w:p>
        </w:tc>
        <w:tc>
          <w:tcPr>
            <w:tcW w:w="2829" w:type="pct"/>
            <w:vAlign w:val="center"/>
          </w:tcPr>
          <w:p w14:paraId="45F10AD1" w14:textId="77777777" w:rsidR="00AC237C" w:rsidRPr="003478AF" w:rsidRDefault="00AC237C" w:rsidP="00E136AA">
            <w:pPr>
              <w:ind w:firstLine="0"/>
              <w:jc w:val="left"/>
              <w:rPr>
                <w:rFonts w:cs="Arial"/>
                <w:sz w:val="16"/>
                <w:szCs w:val="16"/>
              </w:rPr>
            </w:pPr>
            <w:r w:rsidRPr="003478AF">
              <w:rPr>
                <w:rFonts w:cs="Arial"/>
                <w:sz w:val="16"/>
                <w:szCs w:val="16"/>
              </w:rPr>
              <w:t>Odsetek masy wytworzonych komunalnych osadów ściekowych bezpośrednio stosowanych na powierzchni ziemi</w:t>
            </w:r>
          </w:p>
        </w:tc>
        <w:tc>
          <w:tcPr>
            <w:tcW w:w="888" w:type="pct"/>
            <w:vAlign w:val="center"/>
          </w:tcPr>
          <w:p w14:paraId="4B38DCD3" w14:textId="77777777" w:rsidR="00AC237C" w:rsidRPr="003478AF" w:rsidRDefault="00AC237C" w:rsidP="00E136AA">
            <w:pPr>
              <w:ind w:firstLine="0"/>
              <w:jc w:val="center"/>
              <w:rPr>
                <w:rFonts w:cs="Arial"/>
                <w:sz w:val="16"/>
                <w:szCs w:val="16"/>
              </w:rPr>
            </w:pPr>
            <w:r w:rsidRPr="003478AF">
              <w:rPr>
                <w:rFonts w:cs="Arial"/>
                <w:sz w:val="16"/>
                <w:szCs w:val="16"/>
              </w:rPr>
              <w:t>%</w:t>
            </w:r>
          </w:p>
        </w:tc>
      </w:tr>
      <w:tr w:rsidR="00AC237C" w:rsidRPr="003478AF" w14:paraId="2F90EBA7" w14:textId="77777777" w:rsidTr="00E136AA">
        <w:tc>
          <w:tcPr>
            <w:tcW w:w="1283" w:type="pct"/>
            <w:vMerge/>
            <w:vAlign w:val="center"/>
          </w:tcPr>
          <w:p w14:paraId="43DCF3CA" w14:textId="77777777" w:rsidR="00AC237C" w:rsidRPr="003478AF" w:rsidRDefault="00AC237C" w:rsidP="00E136AA">
            <w:pPr>
              <w:jc w:val="left"/>
              <w:rPr>
                <w:rFonts w:cs="Arial"/>
                <w:sz w:val="16"/>
                <w:szCs w:val="16"/>
              </w:rPr>
            </w:pPr>
          </w:p>
        </w:tc>
        <w:tc>
          <w:tcPr>
            <w:tcW w:w="2829" w:type="pct"/>
            <w:vAlign w:val="center"/>
          </w:tcPr>
          <w:p w14:paraId="0E815930" w14:textId="77777777" w:rsidR="00AC237C" w:rsidRPr="003478AF" w:rsidRDefault="00AC237C" w:rsidP="00E136AA">
            <w:pPr>
              <w:ind w:firstLine="0"/>
              <w:jc w:val="left"/>
              <w:rPr>
                <w:rFonts w:cs="Arial"/>
                <w:sz w:val="16"/>
                <w:szCs w:val="16"/>
              </w:rPr>
            </w:pPr>
            <w:r w:rsidRPr="003478AF">
              <w:rPr>
                <w:rFonts w:cs="Arial"/>
                <w:sz w:val="16"/>
                <w:szCs w:val="16"/>
              </w:rPr>
              <w:t>Odsetek masy wytworzonych komunalnych osadów ściekowych poddawanych kompostowaniu</w:t>
            </w:r>
          </w:p>
        </w:tc>
        <w:tc>
          <w:tcPr>
            <w:tcW w:w="888" w:type="pct"/>
            <w:vAlign w:val="center"/>
          </w:tcPr>
          <w:p w14:paraId="134740E2" w14:textId="77777777" w:rsidR="00AC237C" w:rsidRPr="003478AF" w:rsidRDefault="00AC237C" w:rsidP="00E136AA">
            <w:pPr>
              <w:ind w:firstLine="0"/>
              <w:jc w:val="center"/>
              <w:rPr>
                <w:rFonts w:cs="Arial"/>
                <w:sz w:val="16"/>
                <w:szCs w:val="16"/>
              </w:rPr>
            </w:pPr>
            <w:r w:rsidRPr="003478AF">
              <w:rPr>
                <w:rFonts w:cs="Arial"/>
                <w:sz w:val="16"/>
                <w:szCs w:val="16"/>
              </w:rPr>
              <w:t>%</w:t>
            </w:r>
          </w:p>
        </w:tc>
      </w:tr>
    </w:tbl>
    <w:p w14:paraId="666A8AFC" w14:textId="552E5172" w:rsidR="00892CB1" w:rsidRPr="003478AF" w:rsidRDefault="00892CB1" w:rsidP="00986D40">
      <w:pPr>
        <w:pStyle w:val="AZRODLO"/>
      </w:pPr>
      <w:r w:rsidRPr="003478AF">
        <w:t xml:space="preserve">Źródło: Opracowanie własne na podstawie Planu gospodarki odpadami komunalnymi dla Wielkopolski na lata </w:t>
      </w:r>
      <w:r w:rsidR="00E136AA" w:rsidRPr="003478AF">
        <w:br/>
      </w:r>
      <w:r w:rsidRPr="003478AF">
        <w:t>2016-2022 wraz z Planem inwestycyjnym, Zarząd Województwa Wielkopolskiego, Poznań, maj 2017</w:t>
      </w:r>
    </w:p>
    <w:p w14:paraId="102ED973" w14:textId="6885E7CF" w:rsidR="00892CB1" w:rsidRPr="003478AF" w:rsidRDefault="00892CB1" w:rsidP="00175EF7">
      <w:pPr>
        <w:ind w:firstLine="0"/>
        <w:jc w:val="center"/>
        <w:rPr>
          <w:sz w:val="16"/>
          <w:szCs w:val="16"/>
        </w:rPr>
      </w:pPr>
    </w:p>
    <w:p w14:paraId="741AEF0D" w14:textId="5D5E8895" w:rsidR="00144F09" w:rsidRPr="003478AF" w:rsidRDefault="00144F09">
      <w:pPr>
        <w:spacing w:line="240" w:lineRule="auto"/>
        <w:ind w:firstLine="0"/>
        <w:jc w:val="left"/>
        <w:rPr>
          <w:sz w:val="16"/>
          <w:szCs w:val="16"/>
        </w:rPr>
      </w:pPr>
    </w:p>
    <w:p w14:paraId="2D4EF870" w14:textId="77777777" w:rsidR="00603B22" w:rsidRPr="003478AF" w:rsidRDefault="00603B22">
      <w:pPr>
        <w:spacing w:line="240" w:lineRule="auto"/>
        <w:ind w:firstLine="0"/>
        <w:jc w:val="left"/>
        <w:rPr>
          <w:sz w:val="16"/>
          <w:szCs w:val="16"/>
        </w:rPr>
        <w:sectPr w:rsidR="00603B22" w:rsidRPr="003478AF" w:rsidSect="00194CA4">
          <w:headerReference w:type="first" r:id="rId138"/>
          <w:pgSz w:w="9979" w:h="14181"/>
          <w:pgMar w:top="340" w:right="851" w:bottom="340" w:left="851" w:header="567" w:footer="714" w:gutter="0"/>
          <w:cols w:space="708"/>
          <w:docGrid w:linePitch="360"/>
        </w:sectPr>
      </w:pPr>
    </w:p>
    <w:p w14:paraId="069A240F" w14:textId="77777777" w:rsidR="00C977E8" w:rsidRPr="003478AF" w:rsidRDefault="00C977E8" w:rsidP="00333F25"/>
    <w:p w14:paraId="0FE16840" w14:textId="138AE570" w:rsidR="00AC237C" w:rsidRPr="003478AF" w:rsidRDefault="00AC237C" w:rsidP="00194CA4">
      <w:pPr>
        <w:pStyle w:val="Nagwek3"/>
      </w:pPr>
      <w:bookmarkStart w:id="109" w:name="_Toc82160012"/>
      <w:r w:rsidRPr="003478AF">
        <w:t xml:space="preserve">Załącznik </w:t>
      </w:r>
      <w:r w:rsidR="00903FE7" w:rsidRPr="003478AF">
        <w:t>2</w:t>
      </w:r>
      <w:r w:rsidR="00267BA8" w:rsidRPr="003478AF">
        <w:t>.</w:t>
      </w:r>
      <w:r w:rsidR="0074258E" w:rsidRPr="003478AF">
        <w:t xml:space="preserve"> Analiza regresji wskaźników</w:t>
      </w:r>
      <w:bookmarkEnd w:id="109"/>
    </w:p>
    <w:p w14:paraId="7301641D" w14:textId="77777777" w:rsidR="008A67B7" w:rsidRPr="003478AF" w:rsidRDefault="008A67B7" w:rsidP="008A67B7">
      <w:pPr>
        <w:rPr>
          <w:noProof/>
        </w:rPr>
      </w:pPr>
      <w:bookmarkStart w:id="110" w:name="_Hlk77117348"/>
    </w:p>
    <w:p w14:paraId="6AD86365" w14:textId="44CFCD3D" w:rsidR="002D30B2" w:rsidRPr="003478AF" w:rsidRDefault="002D30B2" w:rsidP="008A67B7">
      <w:pPr>
        <w:ind w:firstLine="0"/>
        <w:jc w:val="center"/>
        <w:rPr>
          <w:rFonts w:cs="Arial"/>
          <w:b/>
          <w:bCs/>
          <w:noProof/>
          <w:sz w:val="16"/>
          <w:szCs w:val="16"/>
        </w:rPr>
      </w:pPr>
      <w:r w:rsidRPr="003478AF">
        <w:rPr>
          <w:rFonts w:cs="Arial"/>
          <w:b/>
          <w:bCs/>
          <w:noProof/>
          <w:sz w:val="16"/>
          <w:szCs w:val="16"/>
        </w:rPr>
        <w:t>Ryc. 1</w:t>
      </w:r>
      <w:r w:rsidR="00E620A6" w:rsidRPr="003478AF">
        <w:rPr>
          <w:rFonts w:cs="Arial"/>
          <w:b/>
          <w:bCs/>
          <w:noProof/>
          <w:sz w:val="16"/>
          <w:szCs w:val="16"/>
        </w:rPr>
        <w:t>a</w:t>
      </w:r>
      <w:r w:rsidRPr="003478AF">
        <w:rPr>
          <w:rFonts w:cs="Arial"/>
          <w:b/>
          <w:bCs/>
          <w:noProof/>
          <w:sz w:val="16"/>
          <w:szCs w:val="16"/>
        </w:rPr>
        <w:t>. Prognoza zużycia wody (hm</w:t>
      </w:r>
      <w:r w:rsidRPr="003478AF">
        <w:rPr>
          <w:rFonts w:cs="Arial"/>
          <w:b/>
          <w:bCs/>
          <w:noProof/>
          <w:sz w:val="16"/>
          <w:szCs w:val="16"/>
          <w:vertAlign w:val="superscript"/>
        </w:rPr>
        <w:t>3</w:t>
      </w:r>
      <w:r w:rsidRPr="003478AF">
        <w:rPr>
          <w:rFonts w:cs="Arial"/>
          <w:b/>
          <w:bCs/>
          <w:noProof/>
          <w:sz w:val="16"/>
          <w:szCs w:val="16"/>
        </w:rPr>
        <w:t xml:space="preserve">) w </w:t>
      </w:r>
      <w:r w:rsidR="008A67B7" w:rsidRPr="003478AF">
        <w:rPr>
          <w:rFonts w:cs="Arial"/>
          <w:b/>
          <w:bCs/>
          <w:noProof/>
          <w:sz w:val="16"/>
          <w:szCs w:val="16"/>
        </w:rPr>
        <w:t>województwie wielkopolskim do 2030 roku</w:t>
      </w:r>
    </w:p>
    <w:p w14:paraId="014EC0DD" w14:textId="7EF375FB" w:rsidR="002D30B2" w:rsidRPr="003478AF" w:rsidRDefault="002D30B2" w:rsidP="00175EF7">
      <w:pPr>
        <w:ind w:firstLine="0"/>
        <w:rPr>
          <w:rFonts w:cs="Arial"/>
          <w:b/>
          <w:bCs/>
          <w:noProof/>
          <w:sz w:val="16"/>
          <w:szCs w:val="16"/>
        </w:rPr>
      </w:pPr>
      <w:r w:rsidRPr="003478AF">
        <w:rPr>
          <w:noProof/>
          <w:lang w:eastAsia="pl-PL"/>
        </w:rPr>
        <w:drawing>
          <wp:inline distT="0" distB="0" distL="0" distR="0" wp14:anchorId="6FF1C24C" wp14:editId="5731FA58">
            <wp:extent cx="5256000" cy="2764302"/>
            <wp:effectExtent l="0" t="0" r="1905" b="0"/>
            <wp:docPr id="14" name="Wykres 14">
              <a:extLst xmlns:a="http://schemas.openxmlformats.org/drawingml/2006/main">
                <a:ext uri="{FF2B5EF4-FFF2-40B4-BE49-F238E27FC236}">
                  <a16:creationId xmlns:a16="http://schemas.microsoft.com/office/drawing/2014/main" id="{00000000-0008-0000-02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39"/>
              </a:graphicData>
            </a:graphic>
          </wp:inline>
        </w:drawing>
      </w:r>
    </w:p>
    <w:p w14:paraId="42AA1D74" w14:textId="6AC30F3F" w:rsidR="002D30B2" w:rsidRPr="003478AF" w:rsidRDefault="002D30B2" w:rsidP="00986D40">
      <w:pPr>
        <w:pStyle w:val="AZRODLO"/>
      </w:pPr>
      <w:r w:rsidRPr="003478AF">
        <w:t xml:space="preserve">Źródło: Opracowanie </w:t>
      </w:r>
      <w:r w:rsidR="006B642A" w:rsidRPr="003478AF">
        <w:t>własne</w:t>
      </w:r>
    </w:p>
    <w:p w14:paraId="1EECABEE" w14:textId="3F195CDE" w:rsidR="002D30B2" w:rsidRPr="003478AF" w:rsidRDefault="002D30B2" w:rsidP="008A67B7">
      <w:pPr>
        <w:rPr>
          <w:noProof/>
        </w:rPr>
      </w:pPr>
    </w:p>
    <w:p w14:paraId="4B0C864B" w14:textId="77777777" w:rsidR="008A67B7" w:rsidRPr="003478AF" w:rsidRDefault="008A67B7" w:rsidP="008A67B7">
      <w:pPr>
        <w:rPr>
          <w:noProof/>
        </w:rPr>
      </w:pPr>
    </w:p>
    <w:p w14:paraId="513EA5CC" w14:textId="21F5B0C0" w:rsidR="007451C0" w:rsidRPr="003478AF" w:rsidRDefault="007451C0" w:rsidP="008A67B7">
      <w:pPr>
        <w:ind w:firstLine="0"/>
        <w:jc w:val="center"/>
        <w:rPr>
          <w:rFonts w:cs="Arial"/>
          <w:b/>
          <w:bCs/>
          <w:noProof/>
          <w:sz w:val="16"/>
          <w:szCs w:val="16"/>
        </w:rPr>
      </w:pPr>
      <w:r w:rsidRPr="003478AF">
        <w:rPr>
          <w:rFonts w:cs="Arial"/>
          <w:b/>
          <w:bCs/>
          <w:noProof/>
          <w:sz w:val="16"/>
          <w:szCs w:val="16"/>
        </w:rPr>
        <w:t>Ryc. 1</w:t>
      </w:r>
      <w:r w:rsidR="002D30B2" w:rsidRPr="003478AF">
        <w:rPr>
          <w:rFonts w:cs="Arial"/>
          <w:b/>
          <w:bCs/>
          <w:noProof/>
          <w:sz w:val="16"/>
          <w:szCs w:val="16"/>
        </w:rPr>
        <w:t>b</w:t>
      </w:r>
      <w:r w:rsidRPr="003478AF">
        <w:rPr>
          <w:rFonts w:cs="Arial"/>
          <w:b/>
          <w:bCs/>
          <w:noProof/>
          <w:sz w:val="16"/>
          <w:szCs w:val="16"/>
        </w:rPr>
        <w:t>. Prognoza zużycia wody z wodociągów w gospodarstwach domowyc</w:t>
      </w:r>
      <w:r w:rsidR="00175EF7" w:rsidRPr="003478AF">
        <w:rPr>
          <w:rFonts w:cs="Arial"/>
          <w:b/>
          <w:bCs/>
          <w:noProof/>
          <w:sz w:val="16"/>
          <w:szCs w:val="16"/>
        </w:rPr>
        <w:t>h</w:t>
      </w:r>
      <w:r w:rsidRPr="003478AF">
        <w:rPr>
          <w:rFonts w:cs="Arial"/>
          <w:b/>
          <w:bCs/>
          <w:noProof/>
          <w:sz w:val="16"/>
          <w:szCs w:val="16"/>
        </w:rPr>
        <w:t xml:space="preserve"> </w:t>
      </w:r>
      <w:r w:rsidR="008A67B7" w:rsidRPr="003478AF">
        <w:rPr>
          <w:rFonts w:cs="Arial"/>
          <w:b/>
          <w:bCs/>
          <w:noProof/>
          <w:sz w:val="16"/>
          <w:szCs w:val="16"/>
        </w:rPr>
        <w:br/>
      </w:r>
      <w:r w:rsidRPr="003478AF">
        <w:rPr>
          <w:rFonts w:cs="Arial"/>
          <w:b/>
          <w:bCs/>
          <w:noProof/>
          <w:sz w:val="16"/>
          <w:szCs w:val="16"/>
        </w:rPr>
        <w:t>na 1 mieszkańca (m</w:t>
      </w:r>
      <w:r w:rsidRPr="003478AF">
        <w:rPr>
          <w:rFonts w:cs="Arial"/>
          <w:b/>
          <w:bCs/>
          <w:noProof/>
          <w:sz w:val="16"/>
          <w:szCs w:val="16"/>
          <w:vertAlign w:val="superscript"/>
        </w:rPr>
        <w:t>3</w:t>
      </w:r>
      <w:r w:rsidRPr="003478AF">
        <w:rPr>
          <w:rFonts w:cs="Arial"/>
          <w:b/>
          <w:bCs/>
          <w:noProof/>
          <w:sz w:val="16"/>
          <w:szCs w:val="16"/>
        </w:rPr>
        <w:t xml:space="preserve">) </w:t>
      </w:r>
      <w:r w:rsidR="008A67B7" w:rsidRPr="003478AF">
        <w:rPr>
          <w:rFonts w:cs="Arial"/>
          <w:b/>
          <w:bCs/>
          <w:noProof/>
          <w:sz w:val="16"/>
          <w:szCs w:val="16"/>
        </w:rPr>
        <w:t>w województwie wielkopolskim do 2030 roku</w:t>
      </w:r>
    </w:p>
    <w:p w14:paraId="2002929C" w14:textId="1590FE06" w:rsidR="002D30B2" w:rsidRPr="003478AF" w:rsidRDefault="0003194F" w:rsidP="00175EF7">
      <w:pPr>
        <w:ind w:firstLine="0"/>
        <w:rPr>
          <w:rFonts w:cs="Arial"/>
          <w:b/>
          <w:bCs/>
          <w:noProof/>
          <w:sz w:val="16"/>
          <w:szCs w:val="16"/>
        </w:rPr>
      </w:pPr>
      <w:r w:rsidRPr="003478AF">
        <w:rPr>
          <w:noProof/>
          <w:lang w:eastAsia="pl-PL"/>
        </w:rPr>
        <w:drawing>
          <wp:inline distT="0" distB="0" distL="0" distR="0" wp14:anchorId="766DED11" wp14:editId="476A2500">
            <wp:extent cx="5256000" cy="2855741"/>
            <wp:effectExtent l="0" t="0" r="1905" b="1905"/>
            <wp:docPr id="15" name="Wykres 15">
              <a:extLst xmlns:a="http://schemas.openxmlformats.org/drawingml/2006/main">
                <a:ext uri="{FF2B5EF4-FFF2-40B4-BE49-F238E27FC236}">
                  <a16:creationId xmlns:a16="http://schemas.microsoft.com/office/drawing/2014/main" id="{00000000-0008-0000-03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40"/>
              </a:graphicData>
            </a:graphic>
          </wp:inline>
        </w:drawing>
      </w:r>
    </w:p>
    <w:p w14:paraId="11BCBDBC" w14:textId="2EC8C86D" w:rsidR="007451C0" w:rsidRPr="003478AF" w:rsidRDefault="007451C0" w:rsidP="00986D40">
      <w:pPr>
        <w:pStyle w:val="AZRODLO"/>
      </w:pPr>
      <w:r w:rsidRPr="003478AF">
        <w:t xml:space="preserve">Źródło: Opracowanie </w:t>
      </w:r>
      <w:r w:rsidR="006B642A" w:rsidRPr="003478AF">
        <w:t>własne</w:t>
      </w:r>
    </w:p>
    <w:p w14:paraId="67BDD1AA" w14:textId="77028B9D" w:rsidR="008A67B7" w:rsidRPr="003478AF" w:rsidRDefault="008A67B7">
      <w:pPr>
        <w:spacing w:line="240" w:lineRule="auto"/>
        <w:ind w:firstLine="0"/>
        <w:jc w:val="left"/>
        <w:rPr>
          <w:rFonts w:eastAsia="Arial" w:cs="Arial"/>
          <w:bCs/>
          <w:sz w:val="16"/>
          <w:szCs w:val="16"/>
        </w:rPr>
      </w:pPr>
      <w:r w:rsidRPr="003478AF">
        <w:br w:type="page"/>
      </w:r>
    </w:p>
    <w:p w14:paraId="703E2D9F" w14:textId="77777777" w:rsidR="008A67B7" w:rsidRPr="003478AF" w:rsidRDefault="008A67B7" w:rsidP="008A67B7">
      <w:pPr>
        <w:rPr>
          <w:noProof/>
        </w:rPr>
      </w:pPr>
    </w:p>
    <w:p w14:paraId="54BC843C" w14:textId="40A0B4A0" w:rsidR="007451C0" w:rsidRPr="003478AF" w:rsidRDefault="007451C0" w:rsidP="008A67B7">
      <w:pPr>
        <w:spacing w:line="240" w:lineRule="auto"/>
        <w:ind w:firstLine="0"/>
        <w:jc w:val="center"/>
        <w:rPr>
          <w:rFonts w:cs="Arial"/>
          <w:b/>
          <w:bCs/>
          <w:noProof/>
          <w:sz w:val="16"/>
          <w:szCs w:val="16"/>
        </w:rPr>
      </w:pPr>
      <w:r w:rsidRPr="003478AF">
        <w:rPr>
          <w:rFonts w:cs="Arial"/>
          <w:b/>
          <w:bCs/>
          <w:noProof/>
          <w:sz w:val="16"/>
          <w:szCs w:val="16"/>
        </w:rPr>
        <w:t>Ryc. 2. Prognoza wodochłonności przemysłu (</w:t>
      </w:r>
      <w:r w:rsidR="0003194F" w:rsidRPr="003478AF">
        <w:rPr>
          <w:rFonts w:cs="Arial"/>
          <w:b/>
          <w:bCs/>
          <w:noProof/>
          <w:sz w:val="16"/>
          <w:szCs w:val="16"/>
        </w:rPr>
        <w:t>da</w:t>
      </w:r>
      <w:r w:rsidRPr="003478AF">
        <w:rPr>
          <w:rFonts w:cs="Arial"/>
          <w:b/>
          <w:bCs/>
          <w:noProof/>
          <w:sz w:val="16"/>
          <w:szCs w:val="16"/>
        </w:rPr>
        <w:t>m</w:t>
      </w:r>
      <w:r w:rsidRPr="003478AF">
        <w:rPr>
          <w:rFonts w:cs="Arial"/>
          <w:b/>
          <w:bCs/>
          <w:noProof/>
          <w:sz w:val="16"/>
          <w:szCs w:val="16"/>
          <w:vertAlign w:val="superscript"/>
        </w:rPr>
        <w:t>3</w:t>
      </w:r>
      <w:r w:rsidRPr="003478AF">
        <w:rPr>
          <w:rFonts w:cs="Arial"/>
          <w:b/>
          <w:bCs/>
          <w:noProof/>
          <w:sz w:val="16"/>
          <w:szCs w:val="16"/>
        </w:rPr>
        <w:t xml:space="preserve">/mln zł) </w:t>
      </w:r>
      <w:r w:rsidR="008A67B7" w:rsidRPr="003478AF">
        <w:rPr>
          <w:rFonts w:cs="Arial"/>
          <w:b/>
          <w:bCs/>
          <w:noProof/>
          <w:sz w:val="16"/>
          <w:szCs w:val="16"/>
        </w:rPr>
        <w:t>w województwie wielkopolskim do 2030 roku</w:t>
      </w:r>
    </w:p>
    <w:p w14:paraId="63086BC7" w14:textId="46306D13" w:rsidR="007451C0" w:rsidRPr="003478AF" w:rsidRDefault="0003194F" w:rsidP="00175EF7">
      <w:pPr>
        <w:spacing w:line="240" w:lineRule="auto"/>
        <w:ind w:firstLine="0"/>
        <w:rPr>
          <w:rFonts w:cs="Arial"/>
          <w:noProof/>
          <w:sz w:val="16"/>
          <w:szCs w:val="16"/>
        </w:rPr>
      </w:pPr>
      <w:r w:rsidRPr="003478AF">
        <w:rPr>
          <w:noProof/>
          <w:lang w:eastAsia="pl-PL"/>
        </w:rPr>
        <w:drawing>
          <wp:inline distT="0" distB="0" distL="0" distR="0" wp14:anchorId="501C31E8" wp14:editId="6D895596">
            <wp:extent cx="5256000" cy="2545715"/>
            <wp:effectExtent l="0" t="0" r="1905" b="6985"/>
            <wp:docPr id="16" name="Wykres 16">
              <a:extLst xmlns:a="http://schemas.openxmlformats.org/drawingml/2006/main">
                <a:ext uri="{FF2B5EF4-FFF2-40B4-BE49-F238E27FC236}">
                  <a16:creationId xmlns:a16="http://schemas.microsoft.com/office/drawing/2014/main" id="{00000000-0008-0000-04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41"/>
              </a:graphicData>
            </a:graphic>
          </wp:inline>
        </w:drawing>
      </w:r>
    </w:p>
    <w:p w14:paraId="551BAF8C" w14:textId="485D4FE5" w:rsidR="007451C0" w:rsidRPr="003478AF" w:rsidRDefault="007451C0" w:rsidP="00986D40">
      <w:pPr>
        <w:pStyle w:val="AZRODLO"/>
      </w:pPr>
      <w:r w:rsidRPr="003478AF">
        <w:t xml:space="preserve">Źródło: Opracowanie </w:t>
      </w:r>
      <w:r w:rsidR="006B642A" w:rsidRPr="003478AF">
        <w:t>własne</w:t>
      </w:r>
    </w:p>
    <w:p w14:paraId="222A6A2C" w14:textId="532EC144" w:rsidR="007451C0" w:rsidRPr="003478AF" w:rsidRDefault="007451C0" w:rsidP="008A67B7">
      <w:pPr>
        <w:rPr>
          <w:noProof/>
        </w:rPr>
      </w:pPr>
    </w:p>
    <w:p w14:paraId="43B93D92" w14:textId="77777777" w:rsidR="008A67B7" w:rsidRPr="003478AF" w:rsidRDefault="008A67B7" w:rsidP="008A67B7">
      <w:pPr>
        <w:rPr>
          <w:noProof/>
        </w:rPr>
      </w:pPr>
    </w:p>
    <w:p w14:paraId="6B6470C9" w14:textId="526398AB" w:rsidR="007451C0" w:rsidRPr="003478AF" w:rsidRDefault="007451C0" w:rsidP="008A67B7">
      <w:pPr>
        <w:spacing w:line="240" w:lineRule="auto"/>
        <w:ind w:firstLine="0"/>
        <w:jc w:val="center"/>
        <w:rPr>
          <w:rFonts w:cs="Arial"/>
          <w:noProof/>
          <w:sz w:val="16"/>
          <w:szCs w:val="16"/>
        </w:rPr>
      </w:pPr>
      <w:r w:rsidRPr="003478AF">
        <w:rPr>
          <w:rFonts w:cs="Arial"/>
          <w:b/>
          <w:bCs/>
          <w:noProof/>
          <w:sz w:val="16"/>
          <w:szCs w:val="16"/>
        </w:rPr>
        <w:t xml:space="preserve">Ryc. 3. Prognoza wodochłonności gospodarki </w:t>
      </w:r>
      <w:r w:rsidR="0003194F" w:rsidRPr="003478AF">
        <w:rPr>
          <w:rFonts w:cs="Arial"/>
          <w:b/>
          <w:bCs/>
          <w:noProof/>
          <w:sz w:val="16"/>
          <w:szCs w:val="16"/>
        </w:rPr>
        <w:t>(</w:t>
      </w:r>
      <w:r w:rsidRPr="003478AF">
        <w:rPr>
          <w:rFonts w:cs="Arial"/>
          <w:b/>
          <w:bCs/>
          <w:noProof/>
          <w:sz w:val="16"/>
          <w:szCs w:val="16"/>
        </w:rPr>
        <w:t>dam</w:t>
      </w:r>
      <w:r w:rsidRPr="003478AF">
        <w:rPr>
          <w:rFonts w:cs="Arial"/>
          <w:b/>
          <w:bCs/>
          <w:noProof/>
          <w:sz w:val="16"/>
          <w:szCs w:val="16"/>
          <w:vertAlign w:val="superscript"/>
        </w:rPr>
        <w:t>3</w:t>
      </w:r>
      <w:r w:rsidRPr="003478AF">
        <w:rPr>
          <w:rFonts w:cs="Arial"/>
          <w:b/>
          <w:bCs/>
          <w:noProof/>
          <w:sz w:val="16"/>
          <w:szCs w:val="16"/>
        </w:rPr>
        <w:t>/mln zł</w:t>
      </w:r>
      <w:r w:rsidR="0003194F" w:rsidRPr="003478AF">
        <w:rPr>
          <w:rFonts w:cs="Arial"/>
          <w:b/>
          <w:bCs/>
          <w:noProof/>
          <w:sz w:val="16"/>
          <w:szCs w:val="16"/>
        </w:rPr>
        <w:t>)</w:t>
      </w:r>
      <w:r w:rsidRPr="003478AF">
        <w:rPr>
          <w:rFonts w:cs="Arial"/>
          <w:b/>
          <w:bCs/>
          <w:noProof/>
          <w:sz w:val="16"/>
          <w:szCs w:val="16"/>
        </w:rPr>
        <w:t xml:space="preserve"> </w:t>
      </w:r>
      <w:r w:rsidR="008A67B7" w:rsidRPr="003478AF">
        <w:rPr>
          <w:rFonts w:cs="Arial"/>
          <w:b/>
          <w:bCs/>
          <w:noProof/>
          <w:sz w:val="16"/>
          <w:szCs w:val="16"/>
        </w:rPr>
        <w:t>w województwie wielkopolskim do 2030 roku</w:t>
      </w:r>
      <w:r w:rsidR="008A67B7" w:rsidRPr="003478AF">
        <w:rPr>
          <w:noProof/>
          <w:lang w:eastAsia="pl-PL"/>
        </w:rPr>
        <w:t xml:space="preserve"> </w:t>
      </w:r>
      <w:r w:rsidR="0003194F" w:rsidRPr="003478AF">
        <w:rPr>
          <w:noProof/>
          <w:lang w:eastAsia="pl-PL"/>
        </w:rPr>
        <w:drawing>
          <wp:inline distT="0" distB="0" distL="0" distR="0" wp14:anchorId="54CDFC28" wp14:editId="5A2F1230">
            <wp:extent cx="5256000" cy="2588456"/>
            <wp:effectExtent l="0" t="0" r="1905" b="2540"/>
            <wp:docPr id="19" name="Wykres 19">
              <a:extLst xmlns:a="http://schemas.openxmlformats.org/drawingml/2006/main">
                <a:ext uri="{FF2B5EF4-FFF2-40B4-BE49-F238E27FC236}">
                  <a16:creationId xmlns:a16="http://schemas.microsoft.com/office/drawing/2014/main" id="{00000000-0008-0000-05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42"/>
              </a:graphicData>
            </a:graphic>
          </wp:inline>
        </w:drawing>
      </w:r>
    </w:p>
    <w:p w14:paraId="47CBA981" w14:textId="3447D6EC" w:rsidR="008A67B7" w:rsidRPr="003478AF" w:rsidRDefault="007451C0" w:rsidP="00986D40">
      <w:pPr>
        <w:pStyle w:val="AZRODLO"/>
      </w:pPr>
      <w:r w:rsidRPr="003478AF">
        <w:t xml:space="preserve">Źródło: Opracowanie </w:t>
      </w:r>
      <w:r w:rsidR="006B642A" w:rsidRPr="003478AF">
        <w:t>własne</w:t>
      </w:r>
    </w:p>
    <w:p w14:paraId="430CF460" w14:textId="77777777" w:rsidR="008A67B7" w:rsidRPr="003478AF" w:rsidRDefault="008A67B7">
      <w:pPr>
        <w:spacing w:line="240" w:lineRule="auto"/>
        <w:ind w:firstLine="0"/>
        <w:jc w:val="left"/>
        <w:rPr>
          <w:rFonts w:eastAsia="Arial" w:cs="Arial"/>
          <w:bCs/>
          <w:sz w:val="16"/>
          <w:szCs w:val="16"/>
        </w:rPr>
      </w:pPr>
      <w:r w:rsidRPr="003478AF">
        <w:br w:type="page"/>
      </w:r>
    </w:p>
    <w:p w14:paraId="301A9C59" w14:textId="77777777" w:rsidR="008A67B7" w:rsidRPr="003478AF" w:rsidRDefault="008A67B7" w:rsidP="008A67B7">
      <w:pPr>
        <w:rPr>
          <w:noProof/>
        </w:rPr>
      </w:pPr>
    </w:p>
    <w:p w14:paraId="1069A355" w14:textId="2C62BEFD" w:rsidR="007451C0" w:rsidRPr="003478AF" w:rsidRDefault="007451C0" w:rsidP="008A67B7">
      <w:pPr>
        <w:spacing w:line="240" w:lineRule="auto"/>
        <w:ind w:firstLine="0"/>
        <w:jc w:val="center"/>
        <w:rPr>
          <w:rFonts w:cs="Arial"/>
          <w:noProof/>
          <w:sz w:val="16"/>
          <w:szCs w:val="16"/>
        </w:rPr>
      </w:pPr>
      <w:r w:rsidRPr="003478AF">
        <w:rPr>
          <w:rFonts w:cs="Arial"/>
          <w:b/>
          <w:bCs/>
          <w:noProof/>
          <w:sz w:val="16"/>
          <w:szCs w:val="16"/>
        </w:rPr>
        <w:t>Ryc. 4. Prognoza wodochłonność gospodarstw domowych (m</w:t>
      </w:r>
      <w:r w:rsidRPr="003478AF">
        <w:rPr>
          <w:rFonts w:cs="Arial"/>
          <w:b/>
          <w:bCs/>
          <w:noProof/>
          <w:sz w:val="16"/>
          <w:szCs w:val="16"/>
          <w:vertAlign w:val="superscript"/>
        </w:rPr>
        <w:t>3</w:t>
      </w:r>
      <w:r w:rsidRPr="003478AF">
        <w:rPr>
          <w:rFonts w:cs="Arial"/>
          <w:b/>
          <w:bCs/>
          <w:noProof/>
          <w:sz w:val="16"/>
          <w:szCs w:val="16"/>
        </w:rPr>
        <w:t xml:space="preserve">/mln zł) </w:t>
      </w:r>
      <w:r w:rsidR="008A67B7" w:rsidRPr="003478AF">
        <w:rPr>
          <w:rFonts w:cs="Arial"/>
          <w:b/>
          <w:bCs/>
          <w:noProof/>
          <w:sz w:val="16"/>
          <w:szCs w:val="16"/>
        </w:rPr>
        <w:br/>
        <w:t>w województwie wielkopolskim do 2030 roku</w:t>
      </w:r>
      <w:r w:rsidR="008A67B7" w:rsidRPr="003478AF">
        <w:rPr>
          <w:noProof/>
          <w:lang w:eastAsia="pl-PL"/>
        </w:rPr>
        <w:t xml:space="preserve"> </w:t>
      </w:r>
      <w:r w:rsidR="0003194F" w:rsidRPr="003478AF">
        <w:rPr>
          <w:noProof/>
          <w:lang w:eastAsia="pl-PL"/>
        </w:rPr>
        <w:drawing>
          <wp:inline distT="0" distB="0" distL="0" distR="0" wp14:anchorId="5613E413" wp14:editId="066B8A70">
            <wp:extent cx="5256000" cy="2623625"/>
            <wp:effectExtent l="0" t="0" r="1905" b="5715"/>
            <wp:docPr id="27" name="Wykres 27">
              <a:extLst xmlns:a="http://schemas.openxmlformats.org/drawingml/2006/main">
                <a:ext uri="{FF2B5EF4-FFF2-40B4-BE49-F238E27FC236}">
                  <a16:creationId xmlns:a16="http://schemas.microsoft.com/office/drawing/2014/main" id="{00000000-0008-0000-06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43"/>
              </a:graphicData>
            </a:graphic>
          </wp:inline>
        </w:drawing>
      </w:r>
    </w:p>
    <w:p w14:paraId="3FAB9AC4" w14:textId="236D5075" w:rsidR="007451C0" w:rsidRPr="003478AF" w:rsidRDefault="007451C0" w:rsidP="00986D40">
      <w:pPr>
        <w:pStyle w:val="AZRODLO"/>
      </w:pPr>
      <w:r w:rsidRPr="003478AF">
        <w:t xml:space="preserve">Źródło: Opracowanie </w:t>
      </w:r>
      <w:r w:rsidR="006B642A" w:rsidRPr="003478AF">
        <w:t>własne</w:t>
      </w:r>
    </w:p>
    <w:p w14:paraId="355D3575" w14:textId="2D50C4A3" w:rsidR="007451C0" w:rsidRPr="003478AF" w:rsidRDefault="007451C0" w:rsidP="008A67B7">
      <w:pPr>
        <w:rPr>
          <w:noProof/>
        </w:rPr>
      </w:pPr>
    </w:p>
    <w:p w14:paraId="0E947F41" w14:textId="77777777" w:rsidR="008A67B7" w:rsidRPr="003478AF" w:rsidRDefault="008A67B7" w:rsidP="008A67B7">
      <w:pPr>
        <w:rPr>
          <w:noProof/>
        </w:rPr>
      </w:pPr>
    </w:p>
    <w:p w14:paraId="732036FF" w14:textId="34D7BE91" w:rsidR="007451C0" w:rsidRPr="003478AF" w:rsidRDefault="007451C0" w:rsidP="008A67B7">
      <w:pPr>
        <w:spacing w:line="240" w:lineRule="auto"/>
        <w:ind w:firstLine="0"/>
        <w:jc w:val="center"/>
        <w:rPr>
          <w:rFonts w:cs="Arial"/>
          <w:b/>
          <w:bCs/>
          <w:noProof/>
          <w:sz w:val="16"/>
          <w:szCs w:val="16"/>
        </w:rPr>
      </w:pPr>
      <w:r w:rsidRPr="003478AF">
        <w:rPr>
          <w:rFonts w:cs="Arial"/>
          <w:b/>
          <w:bCs/>
          <w:noProof/>
          <w:sz w:val="16"/>
          <w:szCs w:val="16"/>
        </w:rPr>
        <w:t>Ryc. 5. Prognoza ilości ścieków przemysłowych odprowadzonych w ciągu roku (</w:t>
      </w:r>
      <w:r w:rsidR="0003194F" w:rsidRPr="003478AF">
        <w:rPr>
          <w:rFonts w:cs="Arial"/>
          <w:b/>
          <w:bCs/>
          <w:noProof/>
          <w:sz w:val="16"/>
          <w:szCs w:val="16"/>
        </w:rPr>
        <w:t>mln</w:t>
      </w:r>
      <w:r w:rsidRPr="003478AF">
        <w:rPr>
          <w:rFonts w:cs="Arial"/>
          <w:b/>
          <w:bCs/>
          <w:noProof/>
          <w:sz w:val="16"/>
          <w:szCs w:val="16"/>
        </w:rPr>
        <w:t xml:space="preserve"> dam</w:t>
      </w:r>
      <w:r w:rsidRPr="003478AF">
        <w:rPr>
          <w:rFonts w:cs="Arial"/>
          <w:b/>
          <w:bCs/>
          <w:noProof/>
          <w:sz w:val="16"/>
          <w:szCs w:val="16"/>
          <w:vertAlign w:val="superscript"/>
        </w:rPr>
        <w:t>3</w:t>
      </w:r>
      <w:r w:rsidRPr="003478AF">
        <w:rPr>
          <w:rFonts w:cs="Arial"/>
          <w:b/>
          <w:bCs/>
          <w:noProof/>
          <w:sz w:val="16"/>
          <w:szCs w:val="16"/>
        </w:rPr>
        <w:t xml:space="preserve">) </w:t>
      </w:r>
      <w:r w:rsidR="008A67B7" w:rsidRPr="003478AF">
        <w:rPr>
          <w:rFonts w:cs="Arial"/>
          <w:b/>
          <w:bCs/>
          <w:noProof/>
          <w:sz w:val="16"/>
          <w:szCs w:val="16"/>
        </w:rPr>
        <w:br/>
        <w:t>w województwie wielkopolskim do 2030 roku</w:t>
      </w:r>
      <w:r w:rsidR="0003194F" w:rsidRPr="003478AF">
        <w:rPr>
          <w:noProof/>
          <w:lang w:eastAsia="pl-PL"/>
        </w:rPr>
        <w:drawing>
          <wp:inline distT="0" distB="0" distL="0" distR="0" wp14:anchorId="1D3175F1" wp14:editId="09CDB892">
            <wp:extent cx="5256000" cy="2433320"/>
            <wp:effectExtent l="0" t="0" r="1905" b="5080"/>
            <wp:docPr id="28" name="Wykres 28">
              <a:extLst xmlns:a="http://schemas.openxmlformats.org/drawingml/2006/main">
                <a:ext uri="{FF2B5EF4-FFF2-40B4-BE49-F238E27FC236}">
                  <a16:creationId xmlns:a16="http://schemas.microsoft.com/office/drawing/2014/main" id="{00000000-0008-0000-07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44"/>
              </a:graphicData>
            </a:graphic>
          </wp:inline>
        </w:drawing>
      </w:r>
    </w:p>
    <w:p w14:paraId="35EACFF8" w14:textId="4C74DBD5" w:rsidR="007451C0" w:rsidRPr="003478AF" w:rsidRDefault="007451C0" w:rsidP="00986D40">
      <w:pPr>
        <w:pStyle w:val="AZRODLO"/>
      </w:pPr>
      <w:r w:rsidRPr="003478AF">
        <w:t xml:space="preserve">Źródło: Opracowanie </w:t>
      </w:r>
      <w:r w:rsidR="006B642A" w:rsidRPr="003478AF">
        <w:t>własne</w:t>
      </w:r>
    </w:p>
    <w:p w14:paraId="3A225199" w14:textId="6E814671" w:rsidR="00E5095A" w:rsidRPr="003478AF" w:rsidRDefault="00E5095A">
      <w:pPr>
        <w:spacing w:line="240" w:lineRule="auto"/>
        <w:ind w:firstLine="0"/>
        <w:jc w:val="left"/>
        <w:rPr>
          <w:rFonts w:eastAsia="Arial" w:cs="Arial"/>
          <w:bCs/>
          <w:sz w:val="16"/>
          <w:szCs w:val="16"/>
        </w:rPr>
      </w:pPr>
      <w:r w:rsidRPr="003478AF">
        <w:br w:type="page"/>
      </w:r>
    </w:p>
    <w:p w14:paraId="70384086" w14:textId="77777777" w:rsidR="008A67B7" w:rsidRPr="003478AF" w:rsidRDefault="008A67B7" w:rsidP="008A67B7">
      <w:pPr>
        <w:rPr>
          <w:noProof/>
        </w:rPr>
      </w:pPr>
    </w:p>
    <w:p w14:paraId="09E64189" w14:textId="547DE859" w:rsidR="007451C0" w:rsidRPr="003478AF" w:rsidRDefault="007451C0" w:rsidP="008A67B7">
      <w:pPr>
        <w:spacing w:line="240" w:lineRule="auto"/>
        <w:ind w:firstLine="0"/>
        <w:jc w:val="center"/>
        <w:rPr>
          <w:rFonts w:cs="Arial"/>
          <w:b/>
          <w:bCs/>
          <w:noProof/>
          <w:sz w:val="16"/>
          <w:szCs w:val="16"/>
        </w:rPr>
      </w:pPr>
      <w:r w:rsidRPr="003478AF">
        <w:rPr>
          <w:rFonts w:cs="Arial"/>
          <w:b/>
          <w:bCs/>
          <w:noProof/>
          <w:sz w:val="16"/>
          <w:szCs w:val="16"/>
        </w:rPr>
        <w:t>Ryc. 6. Prognoza ilości ścieków przemysłowe odprowadzone w cią</w:t>
      </w:r>
      <w:r w:rsidR="008A67B7" w:rsidRPr="003478AF">
        <w:rPr>
          <w:rFonts w:cs="Arial"/>
          <w:b/>
          <w:bCs/>
          <w:noProof/>
          <w:sz w:val="16"/>
          <w:szCs w:val="16"/>
        </w:rPr>
        <w:t>gu roku do sieci kanalizacyjnej</w:t>
      </w:r>
      <w:r w:rsidRPr="003478AF">
        <w:rPr>
          <w:rFonts w:cs="Arial"/>
          <w:b/>
          <w:bCs/>
          <w:noProof/>
          <w:sz w:val="16"/>
          <w:szCs w:val="16"/>
        </w:rPr>
        <w:t xml:space="preserve"> (</w:t>
      </w:r>
      <w:r w:rsidR="002A3CCF" w:rsidRPr="003478AF">
        <w:rPr>
          <w:rFonts w:cs="Arial"/>
          <w:b/>
          <w:bCs/>
          <w:noProof/>
          <w:sz w:val="16"/>
          <w:szCs w:val="16"/>
        </w:rPr>
        <w:t xml:space="preserve">tys. </w:t>
      </w:r>
      <w:r w:rsidRPr="003478AF">
        <w:rPr>
          <w:rFonts w:cs="Arial"/>
          <w:b/>
          <w:bCs/>
          <w:noProof/>
          <w:sz w:val="16"/>
          <w:szCs w:val="16"/>
        </w:rPr>
        <w:t>dam</w:t>
      </w:r>
      <w:r w:rsidRPr="003478AF">
        <w:rPr>
          <w:rFonts w:cs="Arial"/>
          <w:b/>
          <w:bCs/>
          <w:noProof/>
          <w:sz w:val="16"/>
          <w:szCs w:val="16"/>
          <w:vertAlign w:val="superscript"/>
        </w:rPr>
        <w:t>3</w:t>
      </w:r>
      <w:r w:rsidRPr="003478AF">
        <w:rPr>
          <w:rFonts w:cs="Arial"/>
          <w:b/>
          <w:bCs/>
          <w:noProof/>
          <w:sz w:val="16"/>
          <w:szCs w:val="16"/>
        </w:rPr>
        <w:t xml:space="preserve">) </w:t>
      </w:r>
      <w:r w:rsidR="008A67B7" w:rsidRPr="003478AF">
        <w:rPr>
          <w:rFonts w:cs="Arial"/>
          <w:b/>
          <w:bCs/>
          <w:noProof/>
          <w:sz w:val="16"/>
          <w:szCs w:val="16"/>
        </w:rPr>
        <w:br/>
        <w:t>w województwie wielkopolskim do 2030 roku</w:t>
      </w:r>
    </w:p>
    <w:p w14:paraId="26D084A6" w14:textId="77777777" w:rsidR="007451C0" w:rsidRPr="003478AF" w:rsidRDefault="007451C0" w:rsidP="00175EF7">
      <w:pPr>
        <w:spacing w:line="240" w:lineRule="auto"/>
        <w:ind w:firstLine="0"/>
        <w:rPr>
          <w:rFonts w:cs="Arial"/>
          <w:noProof/>
          <w:sz w:val="16"/>
          <w:szCs w:val="16"/>
        </w:rPr>
      </w:pPr>
      <w:r w:rsidRPr="003478AF">
        <w:rPr>
          <w:rFonts w:cs="Arial"/>
          <w:noProof/>
          <w:sz w:val="16"/>
          <w:szCs w:val="16"/>
          <w:lang w:eastAsia="pl-PL"/>
        </w:rPr>
        <w:drawing>
          <wp:inline distT="0" distB="0" distL="0" distR="0" wp14:anchorId="1D800CA8" wp14:editId="4FFF2655">
            <wp:extent cx="5256000" cy="2623624"/>
            <wp:effectExtent l="0" t="0" r="1905" b="5715"/>
            <wp:docPr id="108" name="Wykres 108">
              <a:extLst xmlns:a="http://schemas.openxmlformats.org/drawingml/2006/main">
                <a:ext uri="{FF2B5EF4-FFF2-40B4-BE49-F238E27FC236}">
                  <a16:creationId xmlns:a16="http://schemas.microsoft.com/office/drawing/2014/main" id="{2629F8FD-9877-45AF-A29B-39742A4737A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45"/>
              </a:graphicData>
            </a:graphic>
          </wp:inline>
        </w:drawing>
      </w:r>
    </w:p>
    <w:p w14:paraId="287D95DE" w14:textId="287D1AB8" w:rsidR="007451C0" w:rsidRPr="003478AF" w:rsidRDefault="007451C0" w:rsidP="00986D40">
      <w:pPr>
        <w:pStyle w:val="AZRODLO"/>
      </w:pPr>
      <w:r w:rsidRPr="003478AF">
        <w:t xml:space="preserve">Źródło: Opracowanie </w:t>
      </w:r>
      <w:r w:rsidR="006B642A" w:rsidRPr="003478AF">
        <w:t>własne</w:t>
      </w:r>
    </w:p>
    <w:p w14:paraId="74EB3D03" w14:textId="64A5FAE3" w:rsidR="007451C0" w:rsidRPr="003478AF" w:rsidRDefault="007451C0" w:rsidP="008A67B7">
      <w:pPr>
        <w:rPr>
          <w:noProof/>
        </w:rPr>
      </w:pPr>
    </w:p>
    <w:p w14:paraId="4E96C908" w14:textId="77777777" w:rsidR="008A67B7" w:rsidRPr="003478AF" w:rsidRDefault="008A67B7" w:rsidP="008A67B7">
      <w:pPr>
        <w:rPr>
          <w:noProof/>
        </w:rPr>
      </w:pPr>
    </w:p>
    <w:p w14:paraId="5FA6FDF9" w14:textId="4FE4BB34" w:rsidR="00175EF7" w:rsidRPr="003478AF" w:rsidRDefault="00C50DF0" w:rsidP="008A67B7">
      <w:pPr>
        <w:spacing w:line="240" w:lineRule="auto"/>
        <w:ind w:firstLine="0"/>
        <w:jc w:val="center"/>
        <w:rPr>
          <w:rFonts w:cs="Arial"/>
          <w:b/>
          <w:bCs/>
          <w:noProof/>
          <w:sz w:val="16"/>
          <w:szCs w:val="16"/>
        </w:rPr>
      </w:pPr>
      <w:r w:rsidRPr="003478AF">
        <w:rPr>
          <w:rFonts w:cs="Arial"/>
          <w:b/>
          <w:bCs/>
          <w:noProof/>
          <w:sz w:val="16"/>
          <w:szCs w:val="16"/>
        </w:rPr>
        <w:t>Ryc. 6a. Prognoza ilości ścieków przemysłowych</w:t>
      </w:r>
      <w:r w:rsidR="00E620A6" w:rsidRPr="003478AF">
        <w:rPr>
          <w:rFonts w:cs="Arial"/>
          <w:b/>
          <w:bCs/>
          <w:noProof/>
          <w:sz w:val="16"/>
          <w:szCs w:val="16"/>
        </w:rPr>
        <w:t xml:space="preserve"> i</w:t>
      </w:r>
      <w:r w:rsidRPr="003478AF">
        <w:rPr>
          <w:rFonts w:cs="Arial"/>
          <w:b/>
          <w:bCs/>
          <w:noProof/>
          <w:sz w:val="16"/>
          <w:szCs w:val="16"/>
        </w:rPr>
        <w:t xml:space="preserve"> komunalnych wymagających oczyszczania odprowadzonych do wód lub do ziemi w ciągu roku - ogółem na 1 mieszkańca (m</w:t>
      </w:r>
      <w:r w:rsidRPr="003478AF">
        <w:rPr>
          <w:rFonts w:cs="Arial"/>
          <w:b/>
          <w:bCs/>
          <w:noProof/>
          <w:sz w:val="16"/>
          <w:szCs w:val="16"/>
          <w:vertAlign w:val="superscript"/>
        </w:rPr>
        <w:t>3</w:t>
      </w:r>
      <w:r w:rsidRPr="003478AF">
        <w:rPr>
          <w:rFonts w:cs="Arial"/>
          <w:b/>
          <w:bCs/>
          <w:noProof/>
          <w:sz w:val="16"/>
          <w:szCs w:val="16"/>
        </w:rPr>
        <w:t>)</w:t>
      </w:r>
      <w:r w:rsidRPr="003478AF" w:rsidDel="0003194F">
        <w:rPr>
          <w:rFonts w:cs="Arial"/>
          <w:b/>
          <w:bCs/>
          <w:noProof/>
          <w:sz w:val="16"/>
          <w:szCs w:val="16"/>
        </w:rPr>
        <w:t xml:space="preserve"> </w:t>
      </w:r>
      <w:r w:rsidR="008A67B7" w:rsidRPr="003478AF">
        <w:rPr>
          <w:rFonts w:cs="Arial"/>
          <w:b/>
          <w:bCs/>
          <w:noProof/>
          <w:sz w:val="16"/>
          <w:szCs w:val="16"/>
        </w:rPr>
        <w:br/>
        <w:t>w województwie wielkopolskim do 2030 roku</w:t>
      </w:r>
    </w:p>
    <w:p w14:paraId="7FBED08F" w14:textId="741FF540" w:rsidR="00C50DF0" w:rsidRPr="003478AF" w:rsidRDefault="00C50DF0" w:rsidP="00C50DF0">
      <w:pPr>
        <w:spacing w:line="240" w:lineRule="auto"/>
        <w:ind w:firstLine="0"/>
        <w:rPr>
          <w:rFonts w:cs="Arial"/>
          <w:b/>
          <w:bCs/>
          <w:noProof/>
          <w:sz w:val="16"/>
          <w:szCs w:val="16"/>
        </w:rPr>
      </w:pPr>
      <w:r w:rsidRPr="003478AF">
        <w:rPr>
          <w:noProof/>
          <w:lang w:eastAsia="pl-PL"/>
        </w:rPr>
        <w:drawing>
          <wp:inline distT="0" distB="0" distL="0" distR="0" wp14:anchorId="091087F9" wp14:editId="45DD5DFE">
            <wp:extent cx="5256000" cy="2743200"/>
            <wp:effectExtent l="0" t="0" r="1905" b="0"/>
            <wp:docPr id="30" name="Wykres 30">
              <a:extLst xmlns:a="http://schemas.openxmlformats.org/drawingml/2006/main">
                <a:ext uri="{FF2B5EF4-FFF2-40B4-BE49-F238E27FC236}">
                  <a16:creationId xmlns:a16="http://schemas.microsoft.com/office/drawing/2014/main" id="{72C57551-D29D-43D7-8114-B32AE25AB5B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46"/>
              </a:graphicData>
            </a:graphic>
          </wp:inline>
        </w:drawing>
      </w:r>
    </w:p>
    <w:p w14:paraId="0FB33312" w14:textId="69846311" w:rsidR="00C50DF0" w:rsidRPr="003478AF" w:rsidRDefault="00C50DF0" w:rsidP="00986D40">
      <w:pPr>
        <w:pStyle w:val="AZRODLO"/>
      </w:pPr>
      <w:r w:rsidRPr="003478AF">
        <w:t xml:space="preserve">Źródło: Opracowanie </w:t>
      </w:r>
      <w:r w:rsidR="006B642A" w:rsidRPr="003478AF">
        <w:t>własne</w:t>
      </w:r>
    </w:p>
    <w:p w14:paraId="16D96110" w14:textId="2CFD10A7" w:rsidR="008A67B7" w:rsidRPr="003478AF" w:rsidRDefault="008A67B7">
      <w:pPr>
        <w:spacing w:line="240" w:lineRule="auto"/>
        <w:ind w:firstLine="0"/>
        <w:jc w:val="left"/>
        <w:rPr>
          <w:rFonts w:eastAsia="Arial" w:cs="Arial"/>
          <w:bCs/>
          <w:sz w:val="16"/>
          <w:szCs w:val="16"/>
        </w:rPr>
      </w:pPr>
      <w:r w:rsidRPr="003478AF">
        <w:br w:type="page"/>
      </w:r>
    </w:p>
    <w:p w14:paraId="7A693680" w14:textId="7745C330" w:rsidR="00C50DF0" w:rsidRPr="003478AF" w:rsidRDefault="00C50DF0" w:rsidP="008A67B7">
      <w:pPr>
        <w:rPr>
          <w:noProof/>
        </w:rPr>
      </w:pPr>
    </w:p>
    <w:p w14:paraId="7F909459" w14:textId="3F8E3C18" w:rsidR="007451C0" w:rsidRPr="003478AF" w:rsidRDefault="007451C0" w:rsidP="008A67B7">
      <w:pPr>
        <w:spacing w:line="240" w:lineRule="auto"/>
        <w:ind w:firstLine="0"/>
        <w:jc w:val="center"/>
        <w:rPr>
          <w:rFonts w:cs="Arial"/>
          <w:b/>
          <w:bCs/>
          <w:noProof/>
          <w:sz w:val="16"/>
          <w:szCs w:val="16"/>
        </w:rPr>
      </w:pPr>
      <w:r w:rsidRPr="003478AF">
        <w:rPr>
          <w:rFonts w:cs="Arial"/>
          <w:b/>
          <w:bCs/>
          <w:noProof/>
          <w:sz w:val="16"/>
          <w:szCs w:val="16"/>
        </w:rPr>
        <w:t xml:space="preserve">Ryc. 7. Prognoza emisji zanieczyszczeń metanu </w:t>
      </w:r>
      <w:r w:rsidR="008A67B7" w:rsidRPr="003478AF">
        <w:rPr>
          <w:rFonts w:cs="Arial"/>
          <w:b/>
          <w:bCs/>
          <w:noProof/>
          <w:sz w:val="16"/>
          <w:szCs w:val="16"/>
        </w:rPr>
        <w:t>z</w:t>
      </w:r>
      <w:r w:rsidRPr="003478AF">
        <w:rPr>
          <w:rFonts w:cs="Arial"/>
          <w:b/>
          <w:bCs/>
          <w:noProof/>
          <w:sz w:val="16"/>
          <w:szCs w:val="16"/>
        </w:rPr>
        <w:t xml:space="preserve"> zakład</w:t>
      </w:r>
      <w:r w:rsidR="008A67B7" w:rsidRPr="003478AF">
        <w:rPr>
          <w:rFonts w:cs="Arial"/>
          <w:b/>
          <w:bCs/>
          <w:noProof/>
          <w:sz w:val="16"/>
          <w:szCs w:val="16"/>
        </w:rPr>
        <w:t>ów</w:t>
      </w:r>
      <w:r w:rsidRPr="003478AF">
        <w:rPr>
          <w:rFonts w:cs="Arial"/>
          <w:b/>
          <w:bCs/>
          <w:noProof/>
          <w:sz w:val="16"/>
          <w:szCs w:val="16"/>
        </w:rPr>
        <w:t xml:space="preserve"> szczególnie uciążliwych (t/rok) </w:t>
      </w:r>
      <w:r w:rsidR="008A67B7" w:rsidRPr="003478AF">
        <w:rPr>
          <w:rFonts w:cs="Arial"/>
          <w:b/>
          <w:bCs/>
          <w:noProof/>
          <w:sz w:val="16"/>
          <w:szCs w:val="16"/>
        </w:rPr>
        <w:br/>
        <w:t>w województwie wielkopolskim do 2030 roku</w:t>
      </w:r>
    </w:p>
    <w:p w14:paraId="2B92AA4C" w14:textId="77777777" w:rsidR="007451C0" w:rsidRPr="003478AF" w:rsidRDefault="007451C0" w:rsidP="00175EF7">
      <w:pPr>
        <w:spacing w:line="240" w:lineRule="auto"/>
        <w:ind w:firstLine="0"/>
        <w:rPr>
          <w:rFonts w:cs="Arial"/>
          <w:noProof/>
          <w:sz w:val="16"/>
          <w:szCs w:val="16"/>
        </w:rPr>
      </w:pPr>
      <w:r w:rsidRPr="003478AF">
        <w:rPr>
          <w:rFonts w:cs="Arial"/>
          <w:noProof/>
          <w:sz w:val="16"/>
          <w:szCs w:val="16"/>
          <w:lang w:eastAsia="pl-PL"/>
        </w:rPr>
        <w:drawing>
          <wp:inline distT="0" distB="0" distL="0" distR="0" wp14:anchorId="3CEA0003" wp14:editId="1492FF11">
            <wp:extent cx="5256000" cy="2560955"/>
            <wp:effectExtent l="0" t="0" r="1905" b="0"/>
            <wp:docPr id="111" name="Wykres 111">
              <a:extLst xmlns:a="http://schemas.openxmlformats.org/drawingml/2006/main">
                <a:ext uri="{FF2B5EF4-FFF2-40B4-BE49-F238E27FC236}">
                  <a16:creationId xmlns:a16="http://schemas.microsoft.com/office/drawing/2014/main" id="{00000000-0008-0000-09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47"/>
              </a:graphicData>
            </a:graphic>
          </wp:inline>
        </w:drawing>
      </w:r>
    </w:p>
    <w:p w14:paraId="349BF556" w14:textId="000E2D84" w:rsidR="007451C0" w:rsidRPr="003478AF" w:rsidRDefault="007451C0" w:rsidP="00986D40">
      <w:pPr>
        <w:pStyle w:val="AZRODLO"/>
      </w:pPr>
      <w:r w:rsidRPr="003478AF">
        <w:t xml:space="preserve">Źródło: Opracowanie </w:t>
      </w:r>
      <w:r w:rsidR="006B642A" w:rsidRPr="003478AF">
        <w:t>własne</w:t>
      </w:r>
    </w:p>
    <w:p w14:paraId="5E1FA1E8" w14:textId="227B7EF6" w:rsidR="007451C0" w:rsidRPr="003478AF" w:rsidRDefault="007451C0" w:rsidP="008A67B7">
      <w:pPr>
        <w:rPr>
          <w:noProof/>
        </w:rPr>
      </w:pPr>
    </w:p>
    <w:p w14:paraId="76C2551E" w14:textId="77777777" w:rsidR="008A67B7" w:rsidRPr="003478AF" w:rsidRDefault="008A67B7" w:rsidP="008A67B7">
      <w:pPr>
        <w:rPr>
          <w:noProof/>
        </w:rPr>
      </w:pPr>
    </w:p>
    <w:p w14:paraId="0496309F" w14:textId="465D55C0" w:rsidR="008A67B7" w:rsidRPr="003478AF" w:rsidRDefault="007451C0" w:rsidP="008A67B7">
      <w:pPr>
        <w:spacing w:line="240" w:lineRule="auto"/>
        <w:ind w:firstLine="0"/>
        <w:jc w:val="center"/>
        <w:rPr>
          <w:rFonts w:cs="Arial"/>
          <w:noProof/>
          <w:sz w:val="16"/>
          <w:szCs w:val="16"/>
          <w:lang w:eastAsia="pl-PL"/>
        </w:rPr>
      </w:pPr>
      <w:r w:rsidRPr="003478AF">
        <w:rPr>
          <w:rFonts w:cs="Arial"/>
          <w:b/>
          <w:bCs/>
          <w:noProof/>
          <w:sz w:val="16"/>
          <w:szCs w:val="16"/>
        </w:rPr>
        <w:t>Ryc. 8. Prognoza emisji zanieczyszczeń dwutlen</w:t>
      </w:r>
      <w:r w:rsidR="005C026B" w:rsidRPr="003478AF">
        <w:rPr>
          <w:rFonts w:cs="Arial"/>
          <w:b/>
          <w:bCs/>
          <w:noProof/>
          <w:sz w:val="16"/>
          <w:szCs w:val="16"/>
        </w:rPr>
        <w:t>ku</w:t>
      </w:r>
      <w:r w:rsidRPr="003478AF">
        <w:rPr>
          <w:rFonts w:cs="Arial"/>
          <w:b/>
          <w:bCs/>
          <w:noProof/>
          <w:sz w:val="16"/>
          <w:szCs w:val="16"/>
        </w:rPr>
        <w:t xml:space="preserve"> węgla </w:t>
      </w:r>
      <w:r w:rsidR="008A67B7" w:rsidRPr="003478AF">
        <w:rPr>
          <w:rFonts w:cs="Arial"/>
          <w:b/>
          <w:bCs/>
          <w:noProof/>
          <w:sz w:val="16"/>
          <w:szCs w:val="16"/>
        </w:rPr>
        <w:t xml:space="preserve">z zakładów szczególnie uciążliwych </w:t>
      </w:r>
      <w:r w:rsidRPr="003478AF">
        <w:rPr>
          <w:rFonts w:cs="Arial"/>
          <w:b/>
          <w:bCs/>
          <w:noProof/>
          <w:sz w:val="16"/>
          <w:szCs w:val="16"/>
        </w:rPr>
        <w:t xml:space="preserve">(mln t/rok) </w:t>
      </w:r>
      <w:r w:rsidR="008A67B7" w:rsidRPr="003478AF">
        <w:rPr>
          <w:rFonts w:cs="Arial"/>
          <w:b/>
          <w:bCs/>
          <w:noProof/>
          <w:sz w:val="16"/>
          <w:szCs w:val="16"/>
        </w:rPr>
        <w:t>w województwie wielkopolskim do 2030 roku</w:t>
      </w:r>
    </w:p>
    <w:p w14:paraId="48858DD8" w14:textId="58CE7CCA" w:rsidR="007451C0" w:rsidRPr="003478AF" w:rsidRDefault="007451C0" w:rsidP="00175EF7">
      <w:pPr>
        <w:spacing w:line="240" w:lineRule="auto"/>
        <w:ind w:firstLine="0"/>
        <w:rPr>
          <w:rFonts w:cs="Arial"/>
          <w:noProof/>
          <w:sz w:val="16"/>
          <w:szCs w:val="16"/>
        </w:rPr>
      </w:pPr>
      <w:r w:rsidRPr="003478AF">
        <w:rPr>
          <w:rFonts w:cs="Arial"/>
          <w:noProof/>
          <w:sz w:val="16"/>
          <w:szCs w:val="16"/>
          <w:lang w:eastAsia="pl-PL"/>
        </w:rPr>
        <w:drawing>
          <wp:inline distT="0" distB="0" distL="0" distR="0" wp14:anchorId="7D6EBEFC" wp14:editId="020F1447">
            <wp:extent cx="5256000" cy="2560955"/>
            <wp:effectExtent l="0" t="0" r="1905" b="0"/>
            <wp:docPr id="132" name="Wykres 132">
              <a:extLst xmlns:a="http://schemas.openxmlformats.org/drawingml/2006/main">
                <a:ext uri="{FF2B5EF4-FFF2-40B4-BE49-F238E27FC236}">
                  <a16:creationId xmlns:a16="http://schemas.microsoft.com/office/drawing/2014/main" id="{00000000-0008-0000-0A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48"/>
              </a:graphicData>
            </a:graphic>
          </wp:inline>
        </w:drawing>
      </w:r>
    </w:p>
    <w:p w14:paraId="469F7E0C" w14:textId="3AF4D63A" w:rsidR="007451C0" w:rsidRPr="003478AF" w:rsidRDefault="007451C0" w:rsidP="00986D40">
      <w:pPr>
        <w:pStyle w:val="AZRODLO"/>
      </w:pPr>
      <w:r w:rsidRPr="003478AF">
        <w:t xml:space="preserve">Źródło: Opracowanie </w:t>
      </w:r>
      <w:r w:rsidR="006B642A" w:rsidRPr="003478AF">
        <w:t>własne</w:t>
      </w:r>
    </w:p>
    <w:p w14:paraId="6FB35F62" w14:textId="77777777" w:rsidR="007451C0" w:rsidRPr="003478AF" w:rsidRDefault="007451C0" w:rsidP="00175EF7">
      <w:pPr>
        <w:spacing w:line="240" w:lineRule="auto"/>
        <w:ind w:firstLine="0"/>
        <w:rPr>
          <w:rFonts w:cs="Arial"/>
          <w:noProof/>
          <w:sz w:val="16"/>
          <w:szCs w:val="16"/>
        </w:rPr>
      </w:pPr>
    </w:p>
    <w:p w14:paraId="0D72E726" w14:textId="77777777" w:rsidR="00175EF7" w:rsidRPr="003478AF" w:rsidRDefault="00175EF7">
      <w:pPr>
        <w:spacing w:line="240" w:lineRule="auto"/>
        <w:ind w:firstLine="0"/>
        <w:jc w:val="left"/>
        <w:rPr>
          <w:rFonts w:cs="Arial"/>
          <w:b/>
          <w:bCs/>
          <w:noProof/>
          <w:sz w:val="16"/>
          <w:szCs w:val="16"/>
        </w:rPr>
      </w:pPr>
      <w:r w:rsidRPr="003478AF">
        <w:rPr>
          <w:rFonts w:cs="Arial"/>
          <w:b/>
          <w:bCs/>
          <w:noProof/>
          <w:sz w:val="16"/>
          <w:szCs w:val="16"/>
        </w:rPr>
        <w:br w:type="page"/>
      </w:r>
    </w:p>
    <w:p w14:paraId="2747999B" w14:textId="77777777" w:rsidR="008A67B7" w:rsidRPr="003478AF" w:rsidRDefault="008A67B7" w:rsidP="008A67B7">
      <w:pPr>
        <w:rPr>
          <w:noProof/>
        </w:rPr>
      </w:pPr>
    </w:p>
    <w:p w14:paraId="4F5F2850" w14:textId="19E269F5" w:rsidR="007451C0" w:rsidRPr="003478AF" w:rsidRDefault="007451C0" w:rsidP="008A67B7">
      <w:pPr>
        <w:spacing w:line="240" w:lineRule="auto"/>
        <w:ind w:firstLine="0"/>
        <w:jc w:val="center"/>
        <w:rPr>
          <w:rFonts w:cs="Arial"/>
          <w:b/>
          <w:bCs/>
          <w:noProof/>
          <w:sz w:val="16"/>
          <w:szCs w:val="16"/>
        </w:rPr>
      </w:pPr>
      <w:r w:rsidRPr="003478AF">
        <w:rPr>
          <w:rFonts w:cs="Arial"/>
          <w:b/>
          <w:bCs/>
          <w:noProof/>
          <w:sz w:val="16"/>
          <w:szCs w:val="16"/>
        </w:rPr>
        <w:t xml:space="preserve">Ryc. 9. Prognoza emisji zanieczyszczeń pyłowych </w:t>
      </w:r>
      <w:r w:rsidR="008A67B7" w:rsidRPr="003478AF">
        <w:rPr>
          <w:rFonts w:cs="Arial"/>
          <w:b/>
          <w:bCs/>
          <w:noProof/>
          <w:sz w:val="16"/>
          <w:szCs w:val="16"/>
        </w:rPr>
        <w:t xml:space="preserve">z zakładów szczególnie uciążliwych </w:t>
      </w:r>
      <w:r w:rsidRPr="003478AF">
        <w:rPr>
          <w:rFonts w:cs="Arial"/>
          <w:b/>
          <w:bCs/>
          <w:noProof/>
          <w:sz w:val="16"/>
          <w:szCs w:val="16"/>
        </w:rPr>
        <w:t xml:space="preserve">(tys. t/rok) </w:t>
      </w:r>
      <w:r w:rsidR="008A67B7" w:rsidRPr="003478AF">
        <w:rPr>
          <w:rFonts w:cs="Arial"/>
          <w:b/>
          <w:bCs/>
          <w:noProof/>
          <w:sz w:val="16"/>
          <w:szCs w:val="16"/>
        </w:rPr>
        <w:br/>
        <w:t>w województwie wielkopolskim do 2030 roku</w:t>
      </w:r>
    </w:p>
    <w:p w14:paraId="0F487DCC" w14:textId="77777777" w:rsidR="007451C0" w:rsidRPr="003478AF" w:rsidRDefault="007451C0" w:rsidP="00175EF7">
      <w:pPr>
        <w:spacing w:line="240" w:lineRule="auto"/>
        <w:ind w:firstLine="0"/>
        <w:rPr>
          <w:rFonts w:cs="Arial"/>
          <w:noProof/>
          <w:sz w:val="16"/>
          <w:szCs w:val="16"/>
        </w:rPr>
      </w:pPr>
      <w:r w:rsidRPr="003478AF">
        <w:rPr>
          <w:rFonts w:cs="Arial"/>
          <w:noProof/>
          <w:sz w:val="16"/>
          <w:szCs w:val="16"/>
          <w:lang w:eastAsia="pl-PL"/>
        </w:rPr>
        <w:drawing>
          <wp:inline distT="0" distB="0" distL="0" distR="0" wp14:anchorId="03F3F174" wp14:editId="3C67A3CF">
            <wp:extent cx="5256000" cy="2727297"/>
            <wp:effectExtent l="0" t="0" r="1905" b="0"/>
            <wp:docPr id="135" name="Wykres 135">
              <a:extLst xmlns:a="http://schemas.openxmlformats.org/drawingml/2006/main">
                <a:ext uri="{FF2B5EF4-FFF2-40B4-BE49-F238E27FC236}">
                  <a16:creationId xmlns:a16="http://schemas.microsoft.com/office/drawing/2014/main" id="{00000000-0008-0000-0B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49"/>
              </a:graphicData>
            </a:graphic>
          </wp:inline>
        </w:drawing>
      </w:r>
    </w:p>
    <w:p w14:paraId="6B0EB720" w14:textId="5DCB4E87" w:rsidR="007451C0" w:rsidRPr="003478AF" w:rsidRDefault="007451C0" w:rsidP="00986D40">
      <w:pPr>
        <w:pStyle w:val="AZRODLO"/>
      </w:pPr>
      <w:r w:rsidRPr="003478AF">
        <w:t xml:space="preserve">Źródło: Opracowanie </w:t>
      </w:r>
      <w:r w:rsidR="006B642A" w:rsidRPr="003478AF">
        <w:t>własne</w:t>
      </w:r>
    </w:p>
    <w:p w14:paraId="2E94336C" w14:textId="097F3B26" w:rsidR="007451C0" w:rsidRPr="003478AF" w:rsidRDefault="007451C0" w:rsidP="008A67B7">
      <w:pPr>
        <w:rPr>
          <w:noProof/>
        </w:rPr>
      </w:pPr>
    </w:p>
    <w:p w14:paraId="710CCA63" w14:textId="77777777" w:rsidR="008A67B7" w:rsidRPr="003478AF" w:rsidRDefault="008A67B7" w:rsidP="008A67B7">
      <w:pPr>
        <w:rPr>
          <w:noProof/>
        </w:rPr>
      </w:pPr>
    </w:p>
    <w:p w14:paraId="06858630" w14:textId="3E22E208" w:rsidR="007451C0" w:rsidRPr="003478AF" w:rsidRDefault="007451C0" w:rsidP="008A67B7">
      <w:pPr>
        <w:spacing w:line="240" w:lineRule="auto"/>
        <w:ind w:firstLine="0"/>
        <w:jc w:val="center"/>
        <w:rPr>
          <w:rFonts w:cs="Arial"/>
          <w:b/>
          <w:bCs/>
          <w:noProof/>
          <w:sz w:val="16"/>
          <w:szCs w:val="16"/>
        </w:rPr>
      </w:pPr>
      <w:r w:rsidRPr="003478AF">
        <w:rPr>
          <w:rFonts w:cs="Arial"/>
          <w:b/>
          <w:bCs/>
          <w:noProof/>
          <w:sz w:val="16"/>
          <w:szCs w:val="16"/>
        </w:rPr>
        <w:t xml:space="preserve">Ryc. 10. Prognoza emisji zanieczyszczeń gazowych </w:t>
      </w:r>
      <w:r w:rsidR="008A67B7" w:rsidRPr="003478AF">
        <w:rPr>
          <w:rFonts w:cs="Arial"/>
          <w:b/>
          <w:bCs/>
          <w:noProof/>
          <w:sz w:val="16"/>
          <w:szCs w:val="16"/>
        </w:rPr>
        <w:t xml:space="preserve">z zakładów szczególnie uciążliwych </w:t>
      </w:r>
      <w:r w:rsidRPr="003478AF">
        <w:rPr>
          <w:rFonts w:cs="Arial"/>
          <w:b/>
          <w:bCs/>
          <w:noProof/>
          <w:sz w:val="16"/>
          <w:szCs w:val="16"/>
        </w:rPr>
        <w:t xml:space="preserve">(tys. t/rok) </w:t>
      </w:r>
      <w:r w:rsidR="008A67B7" w:rsidRPr="003478AF">
        <w:rPr>
          <w:rFonts w:cs="Arial"/>
          <w:b/>
          <w:bCs/>
          <w:noProof/>
          <w:sz w:val="16"/>
          <w:szCs w:val="16"/>
        </w:rPr>
        <w:br/>
        <w:t>w województwie wielkopolskim do 2030 roku</w:t>
      </w:r>
    </w:p>
    <w:p w14:paraId="10EF193A" w14:textId="77777777" w:rsidR="007451C0" w:rsidRPr="003478AF" w:rsidRDefault="007451C0" w:rsidP="00175EF7">
      <w:pPr>
        <w:spacing w:line="240" w:lineRule="auto"/>
        <w:ind w:firstLine="0"/>
        <w:rPr>
          <w:rFonts w:cs="Arial"/>
          <w:noProof/>
          <w:sz w:val="16"/>
          <w:szCs w:val="16"/>
        </w:rPr>
      </w:pPr>
      <w:r w:rsidRPr="003478AF">
        <w:rPr>
          <w:rFonts w:cs="Arial"/>
          <w:noProof/>
          <w:sz w:val="16"/>
          <w:szCs w:val="16"/>
          <w:lang w:eastAsia="pl-PL"/>
        </w:rPr>
        <w:drawing>
          <wp:inline distT="0" distB="0" distL="0" distR="0" wp14:anchorId="6C2FD564" wp14:editId="39FD9C85">
            <wp:extent cx="5256000" cy="2894275"/>
            <wp:effectExtent l="0" t="0" r="1905" b="1905"/>
            <wp:docPr id="139" name="Wykres 139">
              <a:extLst xmlns:a="http://schemas.openxmlformats.org/drawingml/2006/main">
                <a:ext uri="{FF2B5EF4-FFF2-40B4-BE49-F238E27FC236}">
                  <a16:creationId xmlns:a16="http://schemas.microsoft.com/office/drawing/2014/main" id="{00000000-0008-0000-0C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50"/>
              </a:graphicData>
            </a:graphic>
          </wp:inline>
        </w:drawing>
      </w:r>
    </w:p>
    <w:p w14:paraId="3FA78935" w14:textId="5B908841" w:rsidR="007451C0" w:rsidRPr="003478AF" w:rsidRDefault="007451C0" w:rsidP="00986D40">
      <w:pPr>
        <w:pStyle w:val="AZRODLO"/>
      </w:pPr>
      <w:r w:rsidRPr="003478AF">
        <w:t xml:space="preserve">Źródło: Opracowanie </w:t>
      </w:r>
      <w:r w:rsidR="006B642A" w:rsidRPr="003478AF">
        <w:t>własne</w:t>
      </w:r>
    </w:p>
    <w:p w14:paraId="19478681" w14:textId="77777777" w:rsidR="007451C0" w:rsidRPr="003478AF" w:rsidRDefault="007451C0" w:rsidP="00175EF7">
      <w:pPr>
        <w:spacing w:line="240" w:lineRule="auto"/>
        <w:ind w:firstLine="0"/>
        <w:rPr>
          <w:rFonts w:cs="Arial"/>
          <w:noProof/>
          <w:sz w:val="16"/>
          <w:szCs w:val="16"/>
        </w:rPr>
      </w:pPr>
    </w:p>
    <w:p w14:paraId="51DE70B4" w14:textId="77777777" w:rsidR="00175EF7" w:rsidRPr="003478AF" w:rsidRDefault="00175EF7">
      <w:pPr>
        <w:spacing w:line="240" w:lineRule="auto"/>
        <w:ind w:firstLine="0"/>
        <w:jc w:val="left"/>
        <w:rPr>
          <w:rFonts w:cs="Arial"/>
          <w:b/>
          <w:bCs/>
          <w:noProof/>
          <w:sz w:val="16"/>
          <w:szCs w:val="16"/>
        </w:rPr>
      </w:pPr>
      <w:r w:rsidRPr="003478AF">
        <w:rPr>
          <w:rFonts w:cs="Arial"/>
          <w:b/>
          <w:bCs/>
          <w:noProof/>
          <w:sz w:val="16"/>
          <w:szCs w:val="16"/>
        </w:rPr>
        <w:br w:type="page"/>
      </w:r>
    </w:p>
    <w:p w14:paraId="2BCF9EED" w14:textId="77777777" w:rsidR="008A67B7" w:rsidRPr="003478AF" w:rsidRDefault="008A67B7" w:rsidP="008A67B7">
      <w:pPr>
        <w:rPr>
          <w:noProof/>
        </w:rPr>
      </w:pPr>
    </w:p>
    <w:p w14:paraId="67FFCAF1" w14:textId="21D34125" w:rsidR="007451C0" w:rsidRPr="003478AF" w:rsidRDefault="007451C0" w:rsidP="008A67B7">
      <w:pPr>
        <w:spacing w:line="240" w:lineRule="auto"/>
        <w:ind w:firstLine="0"/>
        <w:jc w:val="center"/>
        <w:rPr>
          <w:rFonts w:cs="Arial"/>
          <w:b/>
          <w:bCs/>
          <w:noProof/>
          <w:sz w:val="16"/>
          <w:szCs w:val="16"/>
        </w:rPr>
      </w:pPr>
      <w:r w:rsidRPr="003478AF">
        <w:rPr>
          <w:rFonts w:cs="Arial"/>
          <w:b/>
          <w:bCs/>
          <w:noProof/>
          <w:sz w:val="16"/>
          <w:szCs w:val="16"/>
        </w:rPr>
        <w:t xml:space="preserve">Ryc. 11. Prognoza ilości odpadów komunalnych zebranych w ciągu roku (tys. t) </w:t>
      </w:r>
      <w:r w:rsidR="008A67B7" w:rsidRPr="003478AF">
        <w:rPr>
          <w:rFonts w:cs="Arial"/>
          <w:b/>
          <w:bCs/>
          <w:noProof/>
          <w:sz w:val="16"/>
          <w:szCs w:val="16"/>
        </w:rPr>
        <w:br/>
        <w:t>w województwie wielkopolskim do 2030 roku</w:t>
      </w:r>
    </w:p>
    <w:p w14:paraId="7AC5B21D" w14:textId="77777777" w:rsidR="007451C0" w:rsidRPr="003478AF" w:rsidRDefault="007451C0" w:rsidP="00175EF7">
      <w:pPr>
        <w:spacing w:line="240" w:lineRule="auto"/>
        <w:ind w:firstLine="0"/>
        <w:rPr>
          <w:rFonts w:cs="Arial"/>
          <w:noProof/>
          <w:sz w:val="16"/>
          <w:szCs w:val="16"/>
        </w:rPr>
      </w:pPr>
      <w:r w:rsidRPr="003478AF">
        <w:rPr>
          <w:rFonts w:cs="Arial"/>
          <w:noProof/>
          <w:sz w:val="16"/>
          <w:szCs w:val="16"/>
          <w:lang w:eastAsia="pl-PL"/>
        </w:rPr>
        <w:drawing>
          <wp:inline distT="0" distB="0" distL="0" distR="0" wp14:anchorId="45B73C6E" wp14:editId="3BC81FEE">
            <wp:extent cx="5256000" cy="2560955"/>
            <wp:effectExtent l="0" t="0" r="1905" b="0"/>
            <wp:docPr id="141" name="Wykres 141">
              <a:extLst xmlns:a="http://schemas.openxmlformats.org/drawingml/2006/main">
                <a:ext uri="{FF2B5EF4-FFF2-40B4-BE49-F238E27FC236}">
                  <a16:creationId xmlns:a16="http://schemas.microsoft.com/office/drawing/2014/main" id="{63CD889A-E91F-45B4-9C25-16B2F8F5C67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51"/>
              </a:graphicData>
            </a:graphic>
          </wp:inline>
        </w:drawing>
      </w:r>
    </w:p>
    <w:p w14:paraId="0D4EEB10" w14:textId="52C7FF14" w:rsidR="007451C0" w:rsidRPr="003478AF" w:rsidRDefault="007451C0" w:rsidP="00986D40">
      <w:pPr>
        <w:pStyle w:val="AZRODLO"/>
      </w:pPr>
      <w:r w:rsidRPr="003478AF">
        <w:t xml:space="preserve">Źródło: Opracowanie </w:t>
      </w:r>
      <w:r w:rsidR="006B642A" w:rsidRPr="003478AF">
        <w:t>własne</w:t>
      </w:r>
    </w:p>
    <w:p w14:paraId="279C8747" w14:textId="0B8186C8" w:rsidR="007451C0" w:rsidRPr="003478AF" w:rsidRDefault="007451C0" w:rsidP="007630B4">
      <w:pPr>
        <w:rPr>
          <w:noProof/>
        </w:rPr>
      </w:pPr>
    </w:p>
    <w:p w14:paraId="031C5664" w14:textId="77777777" w:rsidR="007630B4" w:rsidRPr="003478AF" w:rsidRDefault="007630B4" w:rsidP="007630B4">
      <w:pPr>
        <w:rPr>
          <w:noProof/>
        </w:rPr>
      </w:pPr>
    </w:p>
    <w:p w14:paraId="3AFE66B1" w14:textId="39D7B34E" w:rsidR="007451C0" w:rsidRPr="003478AF" w:rsidRDefault="007451C0" w:rsidP="007630B4">
      <w:pPr>
        <w:spacing w:line="240" w:lineRule="auto"/>
        <w:ind w:firstLine="0"/>
        <w:jc w:val="center"/>
        <w:rPr>
          <w:rFonts w:cs="Arial"/>
          <w:b/>
          <w:bCs/>
          <w:noProof/>
          <w:sz w:val="16"/>
          <w:szCs w:val="16"/>
        </w:rPr>
      </w:pPr>
      <w:r w:rsidRPr="003478AF">
        <w:rPr>
          <w:rFonts w:cs="Arial"/>
          <w:b/>
          <w:bCs/>
          <w:noProof/>
          <w:sz w:val="16"/>
          <w:szCs w:val="16"/>
        </w:rPr>
        <w:t xml:space="preserve">Ryc. 12. Prognoza zmieszanych odpadów zebranych w ciągu roku na 1 mieszkańca (kg) </w:t>
      </w:r>
      <w:r w:rsidR="007630B4" w:rsidRPr="003478AF">
        <w:rPr>
          <w:rFonts w:cs="Arial"/>
          <w:b/>
          <w:bCs/>
          <w:noProof/>
          <w:sz w:val="16"/>
          <w:szCs w:val="16"/>
        </w:rPr>
        <w:br/>
      </w:r>
      <w:r w:rsidR="008A67B7" w:rsidRPr="003478AF">
        <w:rPr>
          <w:rFonts w:cs="Arial"/>
          <w:b/>
          <w:bCs/>
          <w:noProof/>
          <w:sz w:val="16"/>
          <w:szCs w:val="16"/>
        </w:rPr>
        <w:t>w województwie wielkopolskim do 2030 roku</w:t>
      </w:r>
    </w:p>
    <w:p w14:paraId="0AD20D9A" w14:textId="19F286B8" w:rsidR="007451C0" w:rsidRPr="003478AF" w:rsidRDefault="002100FE" w:rsidP="00175EF7">
      <w:pPr>
        <w:spacing w:line="240" w:lineRule="auto"/>
        <w:ind w:firstLine="0"/>
        <w:rPr>
          <w:rFonts w:cs="Arial"/>
          <w:noProof/>
          <w:sz w:val="16"/>
          <w:szCs w:val="16"/>
        </w:rPr>
      </w:pPr>
      <w:r w:rsidRPr="003478AF">
        <w:rPr>
          <w:noProof/>
          <w:lang w:eastAsia="pl-PL"/>
        </w:rPr>
        <w:drawing>
          <wp:inline distT="0" distB="0" distL="0" distR="0" wp14:anchorId="1B4D372D" wp14:editId="7F613F64">
            <wp:extent cx="5256000" cy="2785110"/>
            <wp:effectExtent l="0" t="0" r="1905" b="0"/>
            <wp:docPr id="37" name="Wykres 37">
              <a:extLst xmlns:a="http://schemas.openxmlformats.org/drawingml/2006/main">
                <a:ext uri="{FF2B5EF4-FFF2-40B4-BE49-F238E27FC236}">
                  <a16:creationId xmlns:a16="http://schemas.microsoft.com/office/drawing/2014/main" id="{00000000-0008-0000-0F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52"/>
              </a:graphicData>
            </a:graphic>
          </wp:inline>
        </w:drawing>
      </w:r>
    </w:p>
    <w:p w14:paraId="37608AE9" w14:textId="5D917775" w:rsidR="007451C0" w:rsidRPr="003478AF" w:rsidRDefault="007451C0" w:rsidP="00986D40">
      <w:pPr>
        <w:pStyle w:val="AZRODLO"/>
      </w:pPr>
      <w:r w:rsidRPr="003478AF">
        <w:t xml:space="preserve">Źródło: Opracowanie </w:t>
      </w:r>
      <w:r w:rsidR="006B642A" w:rsidRPr="003478AF">
        <w:t>własne</w:t>
      </w:r>
    </w:p>
    <w:p w14:paraId="0DBDEECE" w14:textId="77777777" w:rsidR="007451C0" w:rsidRPr="003478AF" w:rsidRDefault="007451C0" w:rsidP="00175EF7">
      <w:pPr>
        <w:spacing w:line="240" w:lineRule="auto"/>
        <w:ind w:firstLine="0"/>
        <w:rPr>
          <w:rFonts w:cs="Arial"/>
          <w:noProof/>
          <w:sz w:val="16"/>
          <w:szCs w:val="16"/>
        </w:rPr>
      </w:pPr>
    </w:p>
    <w:p w14:paraId="12B2D2B0" w14:textId="63BB3952" w:rsidR="00175EF7" w:rsidRPr="003478AF" w:rsidRDefault="00175EF7">
      <w:pPr>
        <w:spacing w:line="240" w:lineRule="auto"/>
        <w:ind w:firstLine="0"/>
        <w:jc w:val="left"/>
        <w:rPr>
          <w:rFonts w:cs="Arial"/>
          <w:b/>
          <w:bCs/>
          <w:noProof/>
          <w:sz w:val="16"/>
          <w:szCs w:val="16"/>
        </w:rPr>
      </w:pPr>
      <w:r w:rsidRPr="003478AF">
        <w:rPr>
          <w:rFonts w:cs="Arial"/>
          <w:b/>
          <w:bCs/>
          <w:noProof/>
          <w:sz w:val="16"/>
          <w:szCs w:val="16"/>
        </w:rPr>
        <w:br w:type="page"/>
      </w:r>
    </w:p>
    <w:p w14:paraId="6D239E41" w14:textId="77777777" w:rsidR="007630B4" w:rsidRPr="003478AF" w:rsidRDefault="007630B4" w:rsidP="007630B4">
      <w:pPr>
        <w:rPr>
          <w:noProof/>
        </w:rPr>
      </w:pPr>
    </w:p>
    <w:p w14:paraId="4A7F065D" w14:textId="2A93000B" w:rsidR="007451C0" w:rsidRPr="003478AF" w:rsidRDefault="007451C0" w:rsidP="007630B4">
      <w:pPr>
        <w:spacing w:line="240" w:lineRule="auto"/>
        <w:ind w:firstLine="0"/>
        <w:jc w:val="center"/>
        <w:rPr>
          <w:rFonts w:cs="Arial"/>
          <w:b/>
          <w:bCs/>
          <w:noProof/>
          <w:sz w:val="16"/>
          <w:szCs w:val="16"/>
        </w:rPr>
      </w:pPr>
      <w:r w:rsidRPr="003478AF">
        <w:rPr>
          <w:rFonts w:cs="Arial"/>
          <w:b/>
          <w:bCs/>
          <w:noProof/>
          <w:sz w:val="16"/>
          <w:szCs w:val="16"/>
        </w:rPr>
        <w:t xml:space="preserve">Ryc. 13. Prognoza odpadów zebranych selektywnie w relacji do ogółu odpadów (%) </w:t>
      </w:r>
      <w:r w:rsidR="007630B4" w:rsidRPr="003478AF">
        <w:rPr>
          <w:rFonts w:cs="Arial"/>
          <w:b/>
          <w:bCs/>
          <w:noProof/>
          <w:sz w:val="16"/>
          <w:szCs w:val="16"/>
        </w:rPr>
        <w:br/>
      </w:r>
      <w:r w:rsidR="008A67B7" w:rsidRPr="003478AF">
        <w:rPr>
          <w:rFonts w:cs="Arial"/>
          <w:b/>
          <w:bCs/>
          <w:noProof/>
          <w:sz w:val="16"/>
          <w:szCs w:val="16"/>
        </w:rPr>
        <w:t>w województwie wielkopolskim do 2030 roku</w:t>
      </w:r>
    </w:p>
    <w:p w14:paraId="0623FA1A" w14:textId="77777777" w:rsidR="007451C0" w:rsidRPr="003478AF" w:rsidRDefault="007451C0" w:rsidP="00175EF7">
      <w:pPr>
        <w:spacing w:line="240" w:lineRule="auto"/>
        <w:ind w:firstLine="0"/>
        <w:rPr>
          <w:rFonts w:cs="Arial"/>
          <w:noProof/>
          <w:sz w:val="16"/>
          <w:szCs w:val="16"/>
        </w:rPr>
      </w:pPr>
      <w:r w:rsidRPr="003478AF">
        <w:rPr>
          <w:rFonts w:cs="Arial"/>
          <w:noProof/>
          <w:sz w:val="16"/>
          <w:szCs w:val="16"/>
          <w:lang w:eastAsia="pl-PL"/>
        </w:rPr>
        <w:drawing>
          <wp:inline distT="0" distB="0" distL="0" distR="0" wp14:anchorId="27200361" wp14:editId="2AA68766">
            <wp:extent cx="5256000" cy="2700655"/>
            <wp:effectExtent l="0" t="0" r="1905" b="4445"/>
            <wp:docPr id="148" name="Wykres 148">
              <a:extLst xmlns:a="http://schemas.openxmlformats.org/drawingml/2006/main">
                <a:ext uri="{FF2B5EF4-FFF2-40B4-BE49-F238E27FC236}">
                  <a16:creationId xmlns:a16="http://schemas.microsoft.com/office/drawing/2014/main" id="{00000000-0008-0000-10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53"/>
              </a:graphicData>
            </a:graphic>
          </wp:inline>
        </w:drawing>
      </w:r>
    </w:p>
    <w:p w14:paraId="2D3E6288" w14:textId="30A0B180" w:rsidR="007451C0" w:rsidRPr="003478AF" w:rsidRDefault="007451C0" w:rsidP="00986D40">
      <w:pPr>
        <w:pStyle w:val="AZRODLO"/>
      </w:pPr>
      <w:r w:rsidRPr="003478AF">
        <w:t xml:space="preserve">Źródło: Opracowanie </w:t>
      </w:r>
      <w:r w:rsidR="006B642A" w:rsidRPr="003478AF">
        <w:t>własne</w:t>
      </w:r>
    </w:p>
    <w:p w14:paraId="4D56BFE4" w14:textId="5BE7AB7C" w:rsidR="007451C0" w:rsidRPr="003478AF" w:rsidRDefault="007451C0" w:rsidP="007630B4">
      <w:pPr>
        <w:rPr>
          <w:noProof/>
        </w:rPr>
      </w:pPr>
    </w:p>
    <w:p w14:paraId="61AA94B4" w14:textId="77777777" w:rsidR="007630B4" w:rsidRPr="003478AF" w:rsidRDefault="007630B4" w:rsidP="007630B4">
      <w:pPr>
        <w:rPr>
          <w:noProof/>
        </w:rPr>
      </w:pPr>
    </w:p>
    <w:p w14:paraId="140C686B" w14:textId="01500CE3" w:rsidR="007451C0" w:rsidRPr="003478AF" w:rsidRDefault="007451C0" w:rsidP="007630B4">
      <w:pPr>
        <w:spacing w:line="240" w:lineRule="auto"/>
        <w:ind w:firstLine="0"/>
        <w:jc w:val="center"/>
        <w:rPr>
          <w:rFonts w:cs="Arial"/>
          <w:b/>
          <w:bCs/>
          <w:noProof/>
          <w:sz w:val="16"/>
          <w:szCs w:val="16"/>
        </w:rPr>
      </w:pPr>
      <w:r w:rsidRPr="003478AF">
        <w:rPr>
          <w:rFonts w:cs="Arial"/>
          <w:b/>
          <w:bCs/>
          <w:noProof/>
          <w:sz w:val="16"/>
          <w:szCs w:val="16"/>
        </w:rPr>
        <w:t xml:space="preserve">Ryc. 14. Prognoza ilości zebranych selektywnie biodegradowalnych odpadów komunalnych w relacji do ogółu odpadów komunalnych zebranych w ciągu roku (t) </w:t>
      </w:r>
      <w:r w:rsidR="008A67B7" w:rsidRPr="003478AF">
        <w:rPr>
          <w:rFonts w:cs="Arial"/>
          <w:b/>
          <w:bCs/>
          <w:noProof/>
          <w:sz w:val="16"/>
          <w:szCs w:val="16"/>
        </w:rPr>
        <w:t>w województwie wielkopolskim do 2030 roku</w:t>
      </w:r>
    </w:p>
    <w:p w14:paraId="3A70540B" w14:textId="77777777" w:rsidR="007451C0" w:rsidRPr="003478AF" w:rsidRDefault="007451C0" w:rsidP="00175EF7">
      <w:pPr>
        <w:spacing w:line="240" w:lineRule="auto"/>
        <w:ind w:firstLine="0"/>
        <w:rPr>
          <w:rFonts w:cs="Arial"/>
          <w:noProof/>
          <w:sz w:val="16"/>
          <w:szCs w:val="16"/>
        </w:rPr>
      </w:pPr>
      <w:r w:rsidRPr="003478AF">
        <w:rPr>
          <w:rFonts w:cs="Arial"/>
          <w:noProof/>
          <w:sz w:val="16"/>
          <w:szCs w:val="16"/>
          <w:lang w:eastAsia="pl-PL"/>
        </w:rPr>
        <w:drawing>
          <wp:inline distT="0" distB="0" distL="0" distR="0" wp14:anchorId="1BC3664D" wp14:editId="2DB24689">
            <wp:extent cx="5256000" cy="2560955"/>
            <wp:effectExtent l="0" t="0" r="1905" b="0"/>
            <wp:docPr id="35" name="Wykres 35">
              <a:extLst xmlns:a="http://schemas.openxmlformats.org/drawingml/2006/main">
                <a:ext uri="{FF2B5EF4-FFF2-40B4-BE49-F238E27FC236}">
                  <a16:creationId xmlns:a16="http://schemas.microsoft.com/office/drawing/2014/main" id="{BC001047-EACE-4FD7-BB56-D0181AA8CCE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54"/>
              </a:graphicData>
            </a:graphic>
          </wp:inline>
        </w:drawing>
      </w:r>
    </w:p>
    <w:p w14:paraId="0254FBF9" w14:textId="1FC647DB" w:rsidR="007451C0" w:rsidRPr="003478AF" w:rsidRDefault="007451C0" w:rsidP="00986D40">
      <w:pPr>
        <w:pStyle w:val="AZRODLO"/>
      </w:pPr>
      <w:r w:rsidRPr="003478AF">
        <w:t xml:space="preserve">Źródło: Opracowanie </w:t>
      </w:r>
      <w:r w:rsidR="006B642A" w:rsidRPr="003478AF">
        <w:t>własne</w:t>
      </w:r>
    </w:p>
    <w:p w14:paraId="115327FF" w14:textId="77777777" w:rsidR="007451C0" w:rsidRPr="003478AF" w:rsidRDefault="007451C0" w:rsidP="00175EF7">
      <w:pPr>
        <w:spacing w:line="240" w:lineRule="auto"/>
        <w:ind w:firstLine="0"/>
        <w:rPr>
          <w:rFonts w:cs="Arial"/>
          <w:noProof/>
          <w:sz w:val="16"/>
          <w:szCs w:val="16"/>
        </w:rPr>
      </w:pPr>
    </w:p>
    <w:p w14:paraId="41B87165" w14:textId="77777777" w:rsidR="00175EF7" w:rsidRPr="003478AF" w:rsidRDefault="00175EF7">
      <w:pPr>
        <w:spacing w:line="240" w:lineRule="auto"/>
        <w:ind w:firstLine="0"/>
        <w:jc w:val="left"/>
        <w:rPr>
          <w:rFonts w:cs="Arial"/>
          <w:b/>
          <w:bCs/>
          <w:noProof/>
          <w:sz w:val="16"/>
          <w:szCs w:val="16"/>
        </w:rPr>
      </w:pPr>
      <w:r w:rsidRPr="003478AF">
        <w:rPr>
          <w:rFonts w:cs="Arial"/>
          <w:b/>
          <w:bCs/>
          <w:noProof/>
          <w:sz w:val="16"/>
          <w:szCs w:val="16"/>
        </w:rPr>
        <w:br w:type="page"/>
      </w:r>
    </w:p>
    <w:p w14:paraId="268E1E6D" w14:textId="77777777" w:rsidR="007630B4" w:rsidRPr="003478AF" w:rsidRDefault="007630B4" w:rsidP="007630B4">
      <w:pPr>
        <w:rPr>
          <w:noProof/>
        </w:rPr>
      </w:pPr>
    </w:p>
    <w:p w14:paraId="03278783" w14:textId="3DC23616" w:rsidR="008A67B7" w:rsidRPr="003478AF" w:rsidRDefault="007451C0" w:rsidP="007630B4">
      <w:pPr>
        <w:spacing w:line="240" w:lineRule="auto"/>
        <w:ind w:firstLine="0"/>
        <w:jc w:val="center"/>
        <w:rPr>
          <w:noProof/>
          <w:lang w:eastAsia="pl-PL"/>
        </w:rPr>
      </w:pPr>
      <w:r w:rsidRPr="003478AF">
        <w:rPr>
          <w:rFonts w:cs="Arial"/>
          <w:b/>
          <w:bCs/>
          <w:noProof/>
          <w:sz w:val="16"/>
          <w:szCs w:val="16"/>
        </w:rPr>
        <w:t xml:space="preserve">Ryc. 15. Prognoza nakładów na środki trwałe służące ochronie środowiska (mln zł) </w:t>
      </w:r>
      <w:r w:rsidR="007630B4" w:rsidRPr="003478AF">
        <w:rPr>
          <w:rFonts w:cs="Arial"/>
          <w:b/>
          <w:bCs/>
          <w:noProof/>
          <w:sz w:val="16"/>
          <w:szCs w:val="16"/>
        </w:rPr>
        <w:br/>
      </w:r>
      <w:r w:rsidR="008A67B7" w:rsidRPr="003478AF">
        <w:rPr>
          <w:rFonts w:cs="Arial"/>
          <w:b/>
          <w:bCs/>
          <w:noProof/>
          <w:sz w:val="16"/>
          <w:szCs w:val="16"/>
        </w:rPr>
        <w:t>w województwie wielkopolskim do 2030 roku</w:t>
      </w:r>
    </w:p>
    <w:p w14:paraId="3E321F61" w14:textId="5FA62007" w:rsidR="007451C0" w:rsidRPr="003478AF" w:rsidRDefault="00DB6427" w:rsidP="00175EF7">
      <w:pPr>
        <w:spacing w:line="240" w:lineRule="auto"/>
        <w:ind w:firstLine="0"/>
        <w:rPr>
          <w:rFonts w:cs="Arial"/>
          <w:b/>
          <w:bCs/>
          <w:noProof/>
          <w:sz w:val="16"/>
          <w:szCs w:val="16"/>
        </w:rPr>
      </w:pPr>
      <w:r w:rsidRPr="003478AF">
        <w:rPr>
          <w:noProof/>
          <w:lang w:eastAsia="pl-PL"/>
        </w:rPr>
        <w:drawing>
          <wp:inline distT="0" distB="0" distL="0" distR="0" wp14:anchorId="2A3EE656" wp14:editId="3EBB0265">
            <wp:extent cx="5256000" cy="2743200"/>
            <wp:effectExtent l="0" t="0" r="1905" b="0"/>
            <wp:docPr id="38" name="Wykres 38">
              <a:extLst xmlns:a="http://schemas.openxmlformats.org/drawingml/2006/main">
                <a:ext uri="{FF2B5EF4-FFF2-40B4-BE49-F238E27FC236}">
                  <a16:creationId xmlns:a16="http://schemas.microsoft.com/office/drawing/2014/main" id="{71A53BD7-7C2B-4195-BCD8-2D45644BD62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55"/>
              </a:graphicData>
            </a:graphic>
          </wp:inline>
        </w:drawing>
      </w:r>
    </w:p>
    <w:p w14:paraId="72D53560" w14:textId="14BF538F" w:rsidR="007451C0" w:rsidRPr="003478AF" w:rsidRDefault="007451C0" w:rsidP="00986D40">
      <w:pPr>
        <w:pStyle w:val="AZRODLO"/>
      </w:pPr>
      <w:r w:rsidRPr="003478AF">
        <w:t xml:space="preserve">Źródło: Opracowanie </w:t>
      </w:r>
      <w:r w:rsidR="006B642A" w:rsidRPr="003478AF">
        <w:t>własne</w:t>
      </w:r>
    </w:p>
    <w:p w14:paraId="715598A7" w14:textId="17476676" w:rsidR="00965220" w:rsidRPr="003478AF" w:rsidRDefault="00965220" w:rsidP="008A67B7"/>
    <w:p w14:paraId="293276B7" w14:textId="77777777" w:rsidR="007630B4" w:rsidRPr="003478AF" w:rsidRDefault="007630B4" w:rsidP="008A67B7"/>
    <w:p w14:paraId="3237C3CB" w14:textId="351C47CF" w:rsidR="00965220" w:rsidRPr="003478AF" w:rsidRDefault="00965220" w:rsidP="007630B4">
      <w:pPr>
        <w:spacing w:line="240" w:lineRule="auto"/>
        <w:ind w:firstLine="0"/>
        <w:jc w:val="center"/>
        <w:rPr>
          <w:rFonts w:cs="Arial"/>
          <w:b/>
          <w:bCs/>
          <w:noProof/>
          <w:sz w:val="16"/>
          <w:szCs w:val="16"/>
        </w:rPr>
      </w:pPr>
      <w:r w:rsidRPr="003478AF">
        <w:rPr>
          <w:rFonts w:cs="Arial"/>
          <w:b/>
          <w:bCs/>
          <w:noProof/>
          <w:sz w:val="16"/>
          <w:szCs w:val="16"/>
        </w:rPr>
        <w:t xml:space="preserve">Ryc. 16. Prognoza powierzchni obszarów prawnie chronionych (tys. ha) </w:t>
      </w:r>
      <w:r w:rsidR="007630B4" w:rsidRPr="003478AF">
        <w:rPr>
          <w:rFonts w:cs="Arial"/>
          <w:b/>
          <w:bCs/>
          <w:noProof/>
          <w:sz w:val="16"/>
          <w:szCs w:val="16"/>
        </w:rPr>
        <w:br/>
      </w:r>
      <w:r w:rsidR="008A67B7" w:rsidRPr="003478AF">
        <w:rPr>
          <w:rFonts w:cs="Arial"/>
          <w:b/>
          <w:bCs/>
          <w:noProof/>
          <w:sz w:val="16"/>
          <w:szCs w:val="16"/>
        </w:rPr>
        <w:t>w województwie wielkopolskim do 2030 roku</w:t>
      </w:r>
    </w:p>
    <w:p w14:paraId="7A644F78" w14:textId="06D8C02C" w:rsidR="008A67B7" w:rsidRPr="003478AF" w:rsidRDefault="008A67B7" w:rsidP="008A67B7">
      <w:pPr>
        <w:spacing w:line="240" w:lineRule="auto"/>
        <w:ind w:firstLine="0"/>
        <w:rPr>
          <w:rFonts w:cs="Arial"/>
          <w:b/>
          <w:bCs/>
          <w:noProof/>
          <w:sz w:val="16"/>
          <w:szCs w:val="16"/>
        </w:rPr>
      </w:pPr>
      <w:r w:rsidRPr="003478AF">
        <w:rPr>
          <w:rFonts w:cs="Arial"/>
          <w:b/>
          <w:bCs/>
          <w:noProof/>
          <w:sz w:val="16"/>
          <w:szCs w:val="16"/>
          <w:lang w:eastAsia="pl-PL"/>
        </w:rPr>
        <w:drawing>
          <wp:inline distT="0" distB="0" distL="0" distR="0" wp14:anchorId="44510F5B" wp14:editId="2D8AB7BD">
            <wp:extent cx="5256000" cy="2687567"/>
            <wp:effectExtent l="0" t="0" r="1905" b="0"/>
            <wp:docPr id="41" name="Wykres 41">
              <a:extLst xmlns:a="http://schemas.openxmlformats.org/drawingml/2006/main">
                <a:ext uri="{FF2B5EF4-FFF2-40B4-BE49-F238E27FC236}">
                  <a16:creationId xmlns:a16="http://schemas.microsoft.com/office/drawing/2014/main" id="{00000000-0008-0000-16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56"/>
              </a:graphicData>
            </a:graphic>
          </wp:inline>
        </w:drawing>
      </w:r>
    </w:p>
    <w:p w14:paraId="66FF53A3" w14:textId="23B515D1" w:rsidR="00965220" w:rsidRPr="003478AF" w:rsidRDefault="00965220" w:rsidP="00986D40">
      <w:pPr>
        <w:pStyle w:val="AZRODLO"/>
      </w:pPr>
      <w:r w:rsidRPr="003478AF">
        <w:t xml:space="preserve">Źródło: Opracowanie </w:t>
      </w:r>
      <w:r w:rsidR="006B642A" w:rsidRPr="003478AF">
        <w:t>własne</w:t>
      </w:r>
    </w:p>
    <w:p w14:paraId="73044D22" w14:textId="186E9611" w:rsidR="00107715" w:rsidRPr="003478AF" w:rsidRDefault="00107715" w:rsidP="00986D40">
      <w:pPr>
        <w:pStyle w:val="AZRODLO"/>
      </w:pPr>
    </w:p>
    <w:p w14:paraId="2A7B991C" w14:textId="6CAFB262" w:rsidR="00E5095A" w:rsidRPr="003478AF" w:rsidRDefault="00E5095A">
      <w:pPr>
        <w:spacing w:line="240" w:lineRule="auto"/>
        <w:ind w:firstLine="0"/>
        <w:jc w:val="left"/>
        <w:rPr>
          <w:rFonts w:cs="Arial"/>
          <w:b/>
          <w:bCs/>
          <w:noProof/>
          <w:sz w:val="16"/>
          <w:szCs w:val="16"/>
        </w:rPr>
      </w:pPr>
      <w:r w:rsidRPr="003478AF">
        <w:rPr>
          <w:rFonts w:cs="Arial"/>
          <w:b/>
          <w:bCs/>
          <w:noProof/>
          <w:sz w:val="16"/>
          <w:szCs w:val="16"/>
        </w:rPr>
        <w:br w:type="page"/>
      </w:r>
    </w:p>
    <w:p w14:paraId="2B5B3E3B" w14:textId="77777777" w:rsidR="008A67B7" w:rsidRPr="003478AF" w:rsidRDefault="008A67B7" w:rsidP="00E5095A">
      <w:pPr>
        <w:rPr>
          <w:noProof/>
        </w:rPr>
      </w:pPr>
    </w:p>
    <w:p w14:paraId="218CE165" w14:textId="5D220A72" w:rsidR="007451C0" w:rsidRPr="003478AF" w:rsidRDefault="007451C0" w:rsidP="007630B4">
      <w:pPr>
        <w:spacing w:line="240" w:lineRule="auto"/>
        <w:ind w:firstLine="0"/>
        <w:jc w:val="center"/>
        <w:rPr>
          <w:rFonts w:cs="Arial"/>
          <w:b/>
          <w:bCs/>
          <w:noProof/>
          <w:sz w:val="16"/>
          <w:szCs w:val="16"/>
        </w:rPr>
      </w:pPr>
      <w:r w:rsidRPr="003478AF">
        <w:rPr>
          <w:rFonts w:cs="Arial"/>
          <w:b/>
          <w:bCs/>
          <w:noProof/>
          <w:sz w:val="16"/>
          <w:szCs w:val="16"/>
        </w:rPr>
        <w:t>Ryc. 1</w:t>
      </w:r>
      <w:r w:rsidR="00902B5E" w:rsidRPr="003478AF">
        <w:rPr>
          <w:rFonts w:cs="Arial"/>
          <w:b/>
          <w:bCs/>
          <w:noProof/>
          <w:sz w:val="16"/>
          <w:szCs w:val="16"/>
        </w:rPr>
        <w:t>7</w:t>
      </w:r>
      <w:r w:rsidRPr="003478AF">
        <w:rPr>
          <w:rFonts w:cs="Arial"/>
          <w:b/>
          <w:bCs/>
          <w:noProof/>
          <w:sz w:val="16"/>
          <w:szCs w:val="16"/>
        </w:rPr>
        <w:t>. Prognoza udziału energii odnawialnej w produkcji energii elektrycznej ogółem (</w:t>
      </w:r>
      <w:r w:rsidR="00CC3F3C" w:rsidRPr="003478AF">
        <w:rPr>
          <w:rFonts w:cs="Arial"/>
          <w:b/>
          <w:bCs/>
          <w:noProof/>
          <w:sz w:val="16"/>
          <w:szCs w:val="16"/>
        </w:rPr>
        <w:t>%</w:t>
      </w:r>
      <w:r w:rsidRPr="003478AF">
        <w:rPr>
          <w:rFonts w:cs="Arial"/>
          <w:b/>
          <w:bCs/>
          <w:noProof/>
          <w:sz w:val="16"/>
          <w:szCs w:val="16"/>
        </w:rPr>
        <w:t xml:space="preserve">) </w:t>
      </w:r>
      <w:r w:rsidR="007630B4" w:rsidRPr="003478AF">
        <w:rPr>
          <w:rFonts w:cs="Arial"/>
          <w:b/>
          <w:bCs/>
          <w:noProof/>
          <w:sz w:val="16"/>
          <w:szCs w:val="16"/>
        </w:rPr>
        <w:br/>
      </w:r>
      <w:r w:rsidR="008A67B7" w:rsidRPr="003478AF">
        <w:rPr>
          <w:rFonts w:cs="Arial"/>
          <w:b/>
          <w:bCs/>
          <w:noProof/>
          <w:sz w:val="16"/>
          <w:szCs w:val="16"/>
        </w:rPr>
        <w:t>w województwie wielkopolskim do 2030 roku</w:t>
      </w:r>
    </w:p>
    <w:p w14:paraId="4F9F1F6E" w14:textId="12D6AD8D" w:rsidR="007451C0" w:rsidRPr="003478AF" w:rsidRDefault="00CC3F3C" w:rsidP="00175EF7">
      <w:pPr>
        <w:spacing w:line="240" w:lineRule="auto"/>
        <w:ind w:firstLine="0"/>
        <w:rPr>
          <w:rFonts w:cs="Arial"/>
          <w:noProof/>
          <w:sz w:val="16"/>
          <w:szCs w:val="16"/>
        </w:rPr>
      </w:pPr>
      <w:r w:rsidRPr="003478AF">
        <w:rPr>
          <w:noProof/>
          <w:lang w:eastAsia="pl-PL"/>
        </w:rPr>
        <w:drawing>
          <wp:inline distT="0" distB="0" distL="0" distR="0" wp14:anchorId="50CCB351" wp14:editId="282CF133">
            <wp:extent cx="5255895" cy="2604135"/>
            <wp:effectExtent l="0" t="0" r="1905" b="5715"/>
            <wp:docPr id="94" name="Wykres 94">
              <a:extLst xmlns:a="http://schemas.openxmlformats.org/drawingml/2006/main">
                <a:ext uri="{FF2B5EF4-FFF2-40B4-BE49-F238E27FC236}">
                  <a16:creationId xmlns:a16="http://schemas.microsoft.com/office/drawing/2014/main" id="{B9683590-108B-480E-BA49-EC6D463A1E3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57"/>
              </a:graphicData>
            </a:graphic>
          </wp:inline>
        </w:drawing>
      </w:r>
      <w:r w:rsidR="007622DC" w:rsidRPr="003478AF" w:rsidDel="00226ED2">
        <w:rPr>
          <w:rFonts w:cs="Arial"/>
          <w:noProof/>
          <w:sz w:val="16"/>
          <w:szCs w:val="16"/>
        </w:rPr>
        <w:t xml:space="preserve"> </w:t>
      </w:r>
    </w:p>
    <w:p w14:paraId="26859774" w14:textId="00C579CE" w:rsidR="007451C0" w:rsidRPr="003478AF" w:rsidRDefault="007451C0" w:rsidP="00986D40">
      <w:pPr>
        <w:pStyle w:val="AZRODLO"/>
      </w:pPr>
      <w:r w:rsidRPr="003478AF">
        <w:t xml:space="preserve">Źródło: Opracowanie </w:t>
      </w:r>
      <w:r w:rsidR="006B642A" w:rsidRPr="003478AF">
        <w:t>własne</w:t>
      </w:r>
    </w:p>
    <w:p w14:paraId="0BF9F78F" w14:textId="4E7A3786" w:rsidR="00965220" w:rsidRPr="003478AF" w:rsidRDefault="00965220" w:rsidP="007630B4">
      <w:pPr>
        <w:rPr>
          <w:noProof/>
        </w:rPr>
      </w:pPr>
    </w:p>
    <w:p w14:paraId="41B10145" w14:textId="77777777" w:rsidR="008A67B7" w:rsidRPr="003478AF" w:rsidRDefault="008A67B7" w:rsidP="007630B4">
      <w:pPr>
        <w:rPr>
          <w:noProof/>
        </w:rPr>
      </w:pPr>
    </w:p>
    <w:p w14:paraId="45293AB3" w14:textId="1A158BA2" w:rsidR="00965220" w:rsidRPr="003478AF" w:rsidRDefault="00965220" w:rsidP="008A67B7">
      <w:pPr>
        <w:spacing w:line="240" w:lineRule="auto"/>
        <w:ind w:firstLine="0"/>
        <w:jc w:val="center"/>
        <w:rPr>
          <w:rFonts w:cs="Arial"/>
          <w:b/>
          <w:bCs/>
          <w:noProof/>
          <w:sz w:val="16"/>
          <w:szCs w:val="16"/>
        </w:rPr>
      </w:pPr>
      <w:r w:rsidRPr="003478AF">
        <w:rPr>
          <w:rFonts w:cs="Arial"/>
          <w:b/>
          <w:bCs/>
          <w:noProof/>
          <w:sz w:val="16"/>
          <w:szCs w:val="16"/>
        </w:rPr>
        <w:t>Ryc. 1</w:t>
      </w:r>
      <w:r w:rsidR="00902B5E" w:rsidRPr="003478AF">
        <w:rPr>
          <w:rFonts w:cs="Arial"/>
          <w:b/>
          <w:bCs/>
          <w:noProof/>
          <w:sz w:val="16"/>
          <w:szCs w:val="16"/>
        </w:rPr>
        <w:t>8</w:t>
      </w:r>
      <w:r w:rsidRPr="003478AF">
        <w:rPr>
          <w:rFonts w:cs="Arial"/>
          <w:b/>
          <w:bCs/>
          <w:noProof/>
          <w:sz w:val="16"/>
          <w:szCs w:val="16"/>
        </w:rPr>
        <w:t xml:space="preserve">. Prognoza zużycia energii elektrycznej ogółem (tys. GWh) </w:t>
      </w:r>
      <w:r w:rsidR="007630B4" w:rsidRPr="003478AF">
        <w:rPr>
          <w:rFonts w:cs="Arial"/>
          <w:b/>
          <w:bCs/>
          <w:noProof/>
          <w:sz w:val="16"/>
          <w:szCs w:val="16"/>
        </w:rPr>
        <w:br/>
      </w:r>
      <w:r w:rsidR="008A67B7" w:rsidRPr="003478AF">
        <w:rPr>
          <w:rFonts w:cs="Arial"/>
          <w:b/>
          <w:bCs/>
          <w:noProof/>
          <w:sz w:val="16"/>
          <w:szCs w:val="16"/>
        </w:rPr>
        <w:t>w województwie wielkopolskim do 2030 roku</w:t>
      </w:r>
    </w:p>
    <w:p w14:paraId="4495BA23" w14:textId="1DE372B7" w:rsidR="00965220" w:rsidRPr="003478AF" w:rsidRDefault="00CC3F3C" w:rsidP="00175EF7">
      <w:pPr>
        <w:spacing w:line="240" w:lineRule="auto"/>
        <w:ind w:firstLine="0"/>
        <w:rPr>
          <w:rFonts w:cs="Arial"/>
          <w:b/>
          <w:bCs/>
          <w:noProof/>
          <w:sz w:val="16"/>
          <w:szCs w:val="16"/>
        </w:rPr>
      </w:pPr>
      <w:r w:rsidRPr="003478AF">
        <w:rPr>
          <w:noProof/>
          <w:lang w:eastAsia="pl-PL"/>
        </w:rPr>
        <w:drawing>
          <wp:inline distT="0" distB="0" distL="0" distR="0" wp14:anchorId="39B49DF6" wp14:editId="4AA453EE">
            <wp:extent cx="5255895" cy="2663190"/>
            <wp:effectExtent l="0" t="0" r="1905" b="3810"/>
            <wp:docPr id="96" name="Wykres 96">
              <a:extLst xmlns:a="http://schemas.openxmlformats.org/drawingml/2006/main">
                <a:ext uri="{FF2B5EF4-FFF2-40B4-BE49-F238E27FC236}">
                  <a16:creationId xmlns:a16="http://schemas.microsoft.com/office/drawing/2014/main" id="{03BBFB28-F2E4-4251-93BC-46003C8C51C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58"/>
              </a:graphicData>
            </a:graphic>
          </wp:inline>
        </w:drawing>
      </w:r>
    </w:p>
    <w:p w14:paraId="4CCC3CBD" w14:textId="1101B84D" w:rsidR="00965220" w:rsidRPr="003478AF" w:rsidRDefault="00965220" w:rsidP="00986D40">
      <w:pPr>
        <w:pStyle w:val="AZRODLO"/>
      </w:pPr>
      <w:r w:rsidRPr="003478AF">
        <w:t xml:space="preserve">Źródło: Opracowanie </w:t>
      </w:r>
      <w:r w:rsidR="006B642A" w:rsidRPr="003478AF">
        <w:t>własne</w:t>
      </w:r>
    </w:p>
    <w:p w14:paraId="0A082E1A" w14:textId="4C023DF8" w:rsidR="008A67B7" w:rsidRPr="003478AF" w:rsidRDefault="008A67B7">
      <w:pPr>
        <w:spacing w:line="240" w:lineRule="auto"/>
        <w:ind w:firstLine="0"/>
        <w:jc w:val="left"/>
        <w:rPr>
          <w:rFonts w:eastAsia="Arial" w:cs="Arial"/>
          <w:bCs/>
          <w:sz w:val="16"/>
          <w:szCs w:val="16"/>
        </w:rPr>
      </w:pPr>
      <w:r w:rsidRPr="003478AF">
        <w:br w:type="page"/>
      </w:r>
    </w:p>
    <w:p w14:paraId="244E7EE9" w14:textId="77777777" w:rsidR="008A67B7" w:rsidRPr="003478AF" w:rsidRDefault="008A67B7" w:rsidP="007630B4">
      <w:pPr>
        <w:rPr>
          <w:noProof/>
        </w:rPr>
      </w:pPr>
      <w:bookmarkStart w:id="111" w:name="_Hlk77197934"/>
    </w:p>
    <w:p w14:paraId="77886CCC" w14:textId="7E2EEEB9" w:rsidR="007451C0" w:rsidRPr="003478AF" w:rsidRDefault="007451C0" w:rsidP="008A67B7">
      <w:pPr>
        <w:spacing w:line="240" w:lineRule="auto"/>
        <w:ind w:firstLine="0"/>
        <w:jc w:val="center"/>
        <w:rPr>
          <w:rFonts w:cs="Arial"/>
          <w:b/>
          <w:bCs/>
          <w:noProof/>
          <w:sz w:val="16"/>
          <w:szCs w:val="16"/>
        </w:rPr>
      </w:pPr>
      <w:r w:rsidRPr="003478AF">
        <w:rPr>
          <w:rFonts w:cs="Arial"/>
          <w:b/>
          <w:bCs/>
          <w:noProof/>
          <w:sz w:val="16"/>
          <w:szCs w:val="16"/>
        </w:rPr>
        <w:t>Ryc. 1</w:t>
      </w:r>
      <w:r w:rsidR="00965220" w:rsidRPr="003478AF">
        <w:rPr>
          <w:rFonts w:cs="Arial"/>
          <w:b/>
          <w:bCs/>
          <w:noProof/>
          <w:sz w:val="16"/>
          <w:szCs w:val="16"/>
        </w:rPr>
        <w:t>9</w:t>
      </w:r>
      <w:r w:rsidRPr="003478AF">
        <w:rPr>
          <w:rFonts w:cs="Arial"/>
          <w:b/>
          <w:bCs/>
          <w:noProof/>
          <w:sz w:val="16"/>
          <w:szCs w:val="16"/>
        </w:rPr>
        <w:t xml:space="preserve">. Prognoza udziału powierzchni użytków rolnych ekologicznych gospodarstw rolnych </w:t>
      </w:r>
      <w:r w:rsidR="008A67B7" w:rsidRPr="003478AF">
        <w:rPr>
          <w:rFonts w:cs="Arial"/>
          <w:b/>
          <w:bCs/>
          <w:noProof/>
          <w:sz w:val="16"/>
          <w:szCs w:val="16"/>
        </w:rPr>
        <w:br/>
      </w:r>
      <w:r w:rsidRPr="003478AF">
        <w:rPr>
          <w:rFonts w:cs="Arial"/>
          <w:b/>
          <w:bCs/>
          <w:noProof/>
          <w:sz w:val="16"/>
          <w:szCs w:val="16"/>
        </w:rPr>
        <w:t xml:space="preserve">z certyfikatem w użytkach rolnych ogółem (%) </w:t>
      </w:r>
      <w:r w:rsidR="008A67B7" w:rsidRPr="003478AF">
        <w:rPr>
          <w:rFonts w:cs="Arial"/>
          <w:b/>
          <w:bCs/>
          <w:noProof/>
          <w:sz w:val="16"/>
          <w:szCs w:val="16"/>
        </w:rPr>
        <w:t>w województwie wielkopolskim do 2030 roku</w:t>
      </w:r>
    </w:p>
    <w:bookmarkEnd w:id="111"/>
    <w:p w14:paraId="14B4445E" w14:textId="77777777" w:rsidR="007451C0" w:rsidRPr="003478AF" w:rsidRDefault="007451C0" w:rsidP="00175EF7">
      <w:pPr>
        <w:spacing w:line="240" w:lineRule="auto"/>
        <w:ind w:firstLine="0"/>
        <w:rPr>
          <w:rFonts w:cs="Arial"/>
          <w:noProof/>
          <w:sz w:val="16"/>
          <w:szCs w:val="16"/>
        </w:rPr>
      </w:pPr>
      <w:r w:rsidRPr="003478AF">
        <w:rPr>
          <w:rFonts w:cs="Arial"/>
          <w:noProof/>
          <w:sz w:val="16"/>
          <w:szCs w:val="16"/>
          <w:lang w:eastAsia="pl-PL"/>
        </w:rPr>
        <w:drawing>
          <wp:inline distT="0" distB="0" distL="0" distR="0" wp14:anchorId="4DD4CD0C" wp14:editId="57C0B604">
            <wp:extent cx="5256000" cy="2797521"/>
            <wp:effectExtent l="0" t="0" r="1905" b="3175"/>
            <wp:docPr id="162" name="Wykres 162">
              <a:extLst xmlns:a="http://schemas.openxmlformats.org/drawingml/2006/main">
                <a:ext uri="{FF2B5EF4-FFF2-40B4-BE49-F238E27FC236}">
                  <a16:creationId xmlns:a16="http://schemas.microsoft.com/office/drawing/2014/main" id="{E69F7CC0-A96D-4B49-8563-88D78B829D9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59"/>
              </a:graphicData>
            </a:graphic>
          </wp:inline>
        </w:drawing>
      </w:r>
    </w:p>
    <w:p w14:paraId="444C0A32" w14:textId="43FAAAFF" w:rsidR="0074258E" w:rsidRPr="003478AF" w:rsidRDefault="007451C0" w:rsidP="00986D40">
      <w:pPr>
        <w:pStyle w:val="AZRODLO"/>
      </w:pPr>
      <w:r w:rsidRPr="003478AF">
        <w:t xml:space="preserve">Źródło: Opracowanie </w:t>
      </w:r>
      <w:bookmarkEnd w:id="110"/>
      <w:r w:rsidR="006B642A" w:rsidRPr="003478AF">
        <w:t>własne</w:t>
      </w:r>
    </w:p>
    <w:p w14:paraId="08BF2C34" w14:textId="1611B05F" w:rsidR="00965220" w:rsidRPr="003478AF" w:rsidRDefault="00965220" w:rsidP="007630B4"/>
    <w:p w14:paraId="3FA7E47C" w14:textId="77777777" w:rsidR="008A67B7" w:rsidRPr="003478AF" w:rsidRDefault="008A67B7" w:rsidP="007630B4"/>
    <w:p w14:paraId="4820DC4F" w14:textId="04C67E67" w:rsidR="00965220" w:rsidRPr="003478AF" w:rsidRDefault="00965220" w:rsidP="008A67B7">
      <w:pPr>
        <w:spacing w:line="240" w:lineRule="auto"/>
        <w:ind w:firstLine="0"/>
        <w:jc w:val="center"/>
        <w:rPr>
          <w:rFonts w:cs="Arial"/>
          <w:b/>
          <w:bCs/>
          <w:noProof/>
          <w:sz w:val="16"/>
          <w:szCs w:val="16"/>
        </w:rPr>
      </w:pPr>
      <w:r w:rsidRPr="003478AF">
        <w:rPr>
          <w:rFonts w:cs="Arial"/>
          <w:b/>
          <w:bCs/>
          <w:noProof/>
          <w:sz w:val="16"/>
          <w:szCs w:val="16"/>
        </w:rPr>
        <w:t xml:space="preserve">Ryc. 20. Prognoza udziału powierzchni użytków rolnych ekologicznych gospodarstw rolnych </w:t>
      </w:r>
      <w:r w:rsidR="008A67B7" w:rsidRPr="003478AF">
        <w:rPr>
          <w:rFonts w:cs="Arial"/>
          <w:b/>
          <w:bCs/>
          <w:noProof/>
          <w:sz w:val="16"/>
          <w:szCs w:val="16"/>
        </w:rPr>
        <w:br/>
      </w:r>
      <w:r w:rsidRPr="003478AF">
        <w:rPr>
          <w:rFonts w:cs="Arial"/>
          <w:b/>
          <w:bCs/>
          <w:noProof/>
          <w:sz w:val="16"/>
          <w:szCs w:val="16"/>
        </w:rPr>
        <w:t xml:space="preserve">z certyfikatem w użytkach rolnych ogółem (%) </w:t>
      </w:r>
      <w:r w:rsidR="008A67B7" w:rsidRPr="003478AF">
        <w:rPr>
          <w:rFonts w:cs="Arial"/>
          <w:b/>
          <w:bCs/>
          <w:noProof/>
          <w:sz w:val="16"/>
          <w:szCs w:val="16"/>
        </w:rPr>
        <w:t>w województwie wielkopolskim do 2030 roku</w:t>
      </w:r>
    </w:p>
    <w:p w14:paraId="177C105E" w14:textId="1FD1B361" w:rsidR="00902B5E" w:rsidRPr="003478AF" w:rsidRDefault="00902B5E" w:rsidP="00986D40">
      <w:pPr>
        <w:pStyle w:val="AZRODLO"/>
      </w:pPr>
      <w:r w:rsidRPr="003478AF">
        <w:rPr>
          <w:noProof/>
          <w:lang w:eastAsia="pl-PL"/>
        </w:rPr>
        <w:drawing>
          <wp:inline distT="0" distB="0" distL="0" distR="0" wp14:anchorId="26EE08CA" wp14:editId="009D2656">
            <wp:extent cx="5256000" cy="2924269"/>
            <wp:effectExtent l="0" t="0" r="1905" b="0"/>
            <wp:docPr id="42" name="Wykres 42">
              <a:extLst xmlns:a="http://schemas.openxmlformats.org/drawingml/2006/main">
                <a:ext uri="{FF2B5EF4-FFF2-40B4-BE49-F238E27FC236}">
                  <a16:creationId xmlns:a16="http://schemas.microsoft.com/office/drawing/2014/main" id="{3B9BB9CC-BB53-4044-AFCC-A259EF402C1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60"/>
              </a:graphicData>
            </a:graphic>
          </wp:inline>
        </w:drawing>
      </w:r>
    </w:p>
    <w:p w14:paraId="4ADB52B3" w14:textId="45EABA39" w:rsidR="00B56DDA" w:rsidRPr="0090414C" w:rsidRDefault="00B56DDA" w:rsidP="00986D40">
      <w:pPr>
        <w:pStyle w:val="AZRODLO"/>
      </w:pPr>
      <w:r w:rsidRPr="003478AF">
        <w:t>Źródło: Opracowanie własne</w:t>
      </w:r>
    </w:p>
    <w:sectPr w:rsidR="00B56DDA" w:rsidRPr="0090414C" w:rsidSect="00DB1355">
      <w:pgSz w:w="9979" w:h="14181" w:code="132"/>
      <w:pgMar w:top="340" w:right="851" w:bottom="340" w:left="851" w:header="567" w:footer="714"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438DDD43" w14:textId="77777777" w:rsidR="00770903" w:rsidRDefault="00770903" w:rsidP="005C7465">
      <w:pPr>
        <w:spacing w:line="240" w:lineRule="auto"/>
      </w:pPr>
      <w:r>
        <w:separator/>
      </w:r>
    </w:p>
    <w:p w14:paraId="346E2EFA" w14:textId="77777777" w:rsidR="00770903" w:rsidRDefault="00770903"/>
    <w:p w14:paraId="020D0C48" w14:textId="77777777" w:rsidR="00770903" w:rsidRDefault="00770903"/>
    <w:p w14:paraId="499CE95E" w14:textId="77777777" w:rsidR="00770903" w:rsidRDefault="00770903"/>
  </w:endnote>
  <w:endnote w:type="continuationSeparator" w:id="0">
    <w:p w14:paraId="6E48FB1C" w14:textId="77777777" w:rsidR="00770903" w:rsidRDefault="00770903" w:rsidP="005C7465">
      <w:pPr>
        <w:spacing w:line="240" w:lineRule="auto"/>
      </w:pPr>
      <w:r>
        <w:continuationSeparator/>
      </w:r>
    </w:p>
    <w:p w14:paraId="00D64EA5" w14:textId="77777777" w:rsidR="00770903" w:rsidRDefault="00770903"/>
    <w:p w14:paraId="3893D1F4" w14:textId="77777777" w:rsidR="00770903" w:rsidRDefault="00770903"/>
    <w:p w14:paraId="19EA5875" w14:textId="77777777" w:rsidR="00770903" w:rsidRDefault="00770903"/>
  </w:endnote>
  <w:endnote w:type="continuationNotice" w:id="1">
    <w:p w14:paraId="7879383D" w14:textId="77777777" w:rsidR="00770903" w:rsidRDefault="00770903">
      <w:pPr>
        <w:spacing w:line="240" w:lineRule="auto"/>
      </w:pPr>
    </w:p>
    <w:p w14:paraId="5D6F64E9" w14:textId="77777777" w:rsidR="00770903" w:rsidRDefault="00770903"/>
    <w:p w14:paraId="157F1617" w14:textId="77777777" w:rsidR="00770903" w:rsidRDefault="00770903"/>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Wingdings">
    <w:panose1 w:val="05000000000000000000"/>
    <w:charset w:val="02"/>
    <w:family w:val="auto"/>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EE"/>
    <w:family w:val="modern"/>
    <w:pitch w:val="fixed"/>
    <w:sig w:usb0="E0002EFF" w:usb1="C0007843" w:usb2="00000009" w:usb3="00000000" w:csb0="000001FF" w:csb1="00000000"/>
  </w:font>
  <w:font w:name="Calibri">
    <w:panose1 w:val="020F0502020204030204"/>
    <w:charset w:val="EE"/>
    <w:family w:val="swiss"/>
    <w:pitch w:val="variable"/>
    <w:sig w:usb0="E4002EFF" w:usb1="C000247B" w:usb2="00000009" w:usb3="00000000" w:csb0="000001FF" w:csb1="00000000"/>
    <w:embedRegular r:id="rId1" w:fontKey="{665521F9-F2DD-414F-9E98-607C7651EF37}"/>
    <w:embedBold r:id="rId2" w:fontKey="{82919520-4DF9-40EE-A37B-93D0236DE315}"/>
    <w:embedItalic r:id="rId3" w:fontKey="{872C0AB3-503E-4DBD-BF9C-813A3047DA52}"/>
  </w:font>
  <w:font w:name="Franklin Gothic Book">
    <w:panose1 w:val="020B0503020102020204"/>
    <w:charset w:val="EE"/>
    <w:family w:val="swiss"/>
    <w:pitch w:val="variable"/>
    <w:sig w:usb0="00000287" w:usb1="00000000" w:usb2="00000000" w:usb3="00000000" w:csb0="0000009F" w:csb1="00000000"/>
    <w:embedRegular r:id="rId4" w:fontKey="{BDFD5A86-668F-4EFA-B54A-2A00ECD33F68}"/>
    <w:embedBold r:id="rId5" w:fontKey="{3920005B-2244-42B1-8DCB-3BC745B993B5}"/>
    <w:embedItalic r:id="rId6" w:fontKey="{C886D740-BC5F-4552-8BF2-B915A17002CF}"/>
  </w:font>
  <w:font w:name="Arial">
    <w:panose1 w:val="020B0604020202020204"/>
    <w:charset w:val="EE"/>
    <w:family w:val="swiss"/>
    <w:pitch w:val="variable"/>
    <w:sig w:usb0="E0002EFF" w:usb1="C000785B" w:usb2="00000009" w:usb3="00000000" w:csb0="000001FF" w:csb1="00000000"/>
  </w:font>
  <w:font w:name="MinionPro-Regular">
    <w:altName w:val="Yu Gothic UI"/>
    <w:panose1 w:val="00000000000000000000"/>
    <w:charset w:val="EE"/>
    <w:family w:val="roman"/>
    <w:notTrueType/>
    <w:pitch w:val="default"/>
    <w:sig w:usb0="00000005" w:usb1="00000000" w:usb2="00000000" w:usb3="00000000" w:csb0="00000002" w:csb1="00000000"/>
  </w:font>
  <w:font w:name="Cambria">
    <w:panose1 w:val="02040503050406030204"/>
    <w:charset w:val="EE"/>
    <w:family w:val="roman"/>
    <w:pitch w:val="variable"/>
    <w:sig w:usb0="E00006FF" w:usb1="420024FF" w:usb2="02000000" w:usb3="00000000" w:csb0="0000019F" w:csb1="00000000"/>
    <w:embedRegular r:id="rId7" w:fontKey="{40ABE4CF-6B43-438E-929D-F649A1FCAC16}"/>
    <w:embedBold r:id="rId8" w:fontKey="{E7908973-8B8E-464B-912F-36D4E65446BF}"/>
    <w:embedItalic r:id="rId9" w:fontKey="{8263CADC-AE11-4C73-82E2-F9B6E97AABF8}"/>
  </w:font>
  <w:font w:name="Tahoma">
    <w:panose1 w:val="020B0604030504040204"/>
    <w:charset w:val="EE"/>
    <w:family w:val="swiss"/>
    <w:pitch w:val="variable"/>
    <w:sig w:usb0="E1002EFF" w:usb1="C000605B" w:usb2="00000029" w:usb3="00000000" w:csb0="000101FF" w:csb1="00000000"/>
    <w:embedRegular r:id="rId10" w:fontKey="{5A606688-9497-41F9-89DD-F122581EA22F}"/>
  </w:font>
  <w:font w:name="Myriad Pro Light">
    <w:altName w:val="Segoe UI Light"/>
    <w:panose1 w:val="00000000000000000000"/>
    <w:charset w:val="00"/>
    <w:family w:val="swiss"/>
    <w:notTrueType/>
    <w:pitch w:val="variable"/>
    <w:sig w:usb0="20000287" w:usb1="00000001" w:usb2="00000000" w:usb3="00000000" w:csb0="0000019F" w:csb1="00000000"/>
  </w:font>
  <w:font w:name="Tekst podstawowy">
    <w:altName w:val="Times New Roman"/>
    <w:charset w:val="00"/>
    <w:family w:val="roman"/>
    <w:pitch w:val="default"/>
    <w:sig w:usb0="00000003" w:usb1="00000000" w:usb2="00000000" w:usb3="00000000" w:csb0="00000001" w:csb1="00000000"/>
    <w:embedRegular r:id="rId11" w:fontKey="{5F0A56C9-8382-4717-9E67-2E8B4DCAA350}"/>
  </w:font>
  <w:font w:name="Candara">
    <w:panose1 w:val="020E0502030303020204"/>
    <w:charset w:val="EE"/>
    <w:family w:val="swiss"/>
    <w:pitch w:val="variable"/>
    <w:sig w:usb0="A00002EF" w:usb1="4000A44B" w:usb2="00000000" w:usb3="00000000" w:csb0="0000019F" w:csb1="00000000"/>
    <w:embedRegular r:id="rId12" w:fontKey="{25EB3BA3-3BE9-473A-8AAD-1C76DC71C9E6}"/>
    <w:embedBold r:id="rId13" w:fontKey="{7D4180EB-484A-410E-8727-5E2893BFA12C}"/>
  </w:font>
  <w:font w:name="SimSun">
    <w:altName w:val="宋体"/>
    <w:panose1 w:val="02010600030101010101"/>
    <w:charset w:val="86"/>
    <w:family w:val="auto"/>
    <w:pitch w:val="variable"/>
    <w:sig w:usb0="00000003" w:usb1="288F0000" w:usb2="00000016" w:usb3="00000000" w:csb0="00040001" w:csb1="00000000"/>
  </w:font>
  <w:font w:name="Mangal">
    <w:panose1 w:val="00000400000000000000"/>
    <w:charset w:val="01"/>
    <w:family w:val="roman"/>
    <w:pitch w:val="variable"/>
    <w:sig w:usb0="00002000" w:usb1="00000000" w:usb2="00000000" w:usb3="00000000" w:csb0="00000000" w:csb1="00000000"/>
    <w:embedBold r:id="rId14" w:fontKey="{FB17B154-0FAA-4ADA-83DA-8B36EDAF679D}"/>
  </w:font>
  <w:font w:name="Bahnschrift Light Condensed">
    <w:panose1 w:val="020B0502040204020203"/>
    <w:charset w:val="EE"/>
    <w:family w:val="swiss"/>
    <w:pitch w:val="variable"/>
    <w:sig w:usb0="A00002C7" w:usb1="00000002" w:usb2="00000000" w:usb3="00000000" w:csb0="0000019F" w:csb1="00000000"/>
    <w:embedBold r:id="rId15" w:fontKey="{141A171C-213C-41FE-982E-C175B6FA68C5}"/>
  </w:font>
  <w:font w:name="Arial Narrow">
    <w:panose1 w:val="020B0606020202030204"/>
    <w:charset w:val="EE"/>
    <w:family w:val="swiss"/>
    <w:pitch w:val="variable"/>
    <w:sig w:usb0="00000287" w:usb1="00000800" w:usb2="00000000" w:usb3="00000000" w:csb0="0000009F" w:csb1="00000000"/>
    <w:embedRegular r:id="rId16" w:fontKey="{4A57F4C1-743D-48CA-AD7F-E6DCBC913BE5}"/>
  </w:font>
  <w:font w:name="Arial,Times New Roman">
    <w:altName w:val="Times New Roman"/>
    <w:panose1 w:val="00000000000000000000"/>
    <w:charset w:val="00"/>
    <w:family w:val="roman"/>
    <w:notTrueType/>
    <w:pitch w:val="default"/>
  </w:font>
  <w:font w:name="CIDFont+F3">
    <w:altName w:val="Yu Gothic"/>
    <w:panose1 w:val="00000000000000000000"/>
    <w:charset w:val="80"/>
    <w:family w:val="auto"/>
    <w:notTrueType/>
    <w:pitch w:val="default"/>
    <w:sig w:usb0="00000001" w:usb1="08070000" w:usb2="00000010" w:usb3="00000000" w:csb0="00020000"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979210B" w14:textId="77777777" w:rsidR="007B1066" w:rsidRPr="00DE6C10" w:rsidRDefault="007B1066" w:rsidP="00AD02AA">
    <w:pPr>
      <w:pStyle w:val="Stopka"/>
      <w:tabs>
        <w:tab w:val="clear" w:pos="4536"/>
      </w:tabs>
      <w:ind w:firstLine="0"/>
      <w:jc w:val="center"/>
      <w:rPr>
        <w:sz w:val="16"/>
        <w:szCs w:val="16"/>
      </w:rPr>
    </w:pPr>
  </w:p>
  <w:p w14:paraId="06F55B32" w14:textId="4C013155" w:rsidR="007B1066" w:rsidRPr="00DE6C10" w:rsidRDefault="007B1066" w:rsidP="00AD02AA">
    <w:pPr>
      <w:pStyle w:val="Stopka"/>
      <w:tabs>
        <w:tab w:val="clear" w:pos="4536"/>
      </w:tabs>
      <w:ind w:firstLine="0"/>
      <w:jc w:val="center"/>
      <w:rPr>
        <w:sz w:val="16"/>
        <w:szCs w:val="16"/>
      </w:rPr>
    </w:pPr>
    <w:r w:rsidRPr="00DE6C10">
      <w:rPr>
        <w:sz w:val="16"/>
        <w:szCs w:val="16"/>
      </w:rPr>
      <w:fldChar w:fldCharType="begin"/>
    </w:r>
    <w:r w:rsidRPr="00DE6C10">
      <w:rPr>
        <w:sz w:val="16"/>
        <w:szCs w:val="16"/>
      </w:rPr>
      <w:instrText>PAGE   \* MERGEFORMAT</w:instrText>
    </w:r>
    <w:r w:rsidRPr="00DE6C10">
      <w:rPr>
        <w:sz w:val="16"/>
        <w:szCs w:val="16"/>
      </w:rPr>
      <w:fldChar w:fldCharType="separate"/>
    </w:r>
    <w:r w:rsidR="001744D9">
      <w:rPr>
        <w:noProof/>
        <w:sz w:val="16"/>
        <w:szCs w:val="16"/>
      </w:rPr>
      <w:t>6</w:t>
    </w:r>
    <w:r w:rsidRPr="00DE6C10">
      <w:rPr>
        <w:noProof/>
        <w:sz w:val="16"/>
        <w:szCs w:val="16"/>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64826E1C" w14:textId="77777777" w:rsidR="00770903" w:rsidRDefault="00770903" w:rsidP="00267BA8">
      <w:pPr>
        <w:ind w:firstLine="0"/>
      </w:pPr>
      <w:r>
        <w:separator/>
      </w:r>
    </w:p>
  </w:footnote>
  <w:footnote w:type="continuationSeparator" w:id="0">
    <w:p w14:paraId="44B9B434" w14:textId="77777777" w:rsidR="00770903" w:rsidRDefault="00770903">
      <w:r>
        <w:continuationSeparator/>
      </w:r>
    </w:p>
  </w:footnote>
  <w:footnote w:type="continuationNotice" w:id="1">
    <w:p w14:paraId="5F5C2C77" w14:textId="77777777" w:rsidR="00770903" w:rsidRDefault="00770903"/>
  </w:footnote>
  <w:footnote w:id="2">
    <w:p w14:paraId="7878BF85" w14:textId="6E3E578E" w:rsidR="007B1066" w:rsidRPr="00DD7F53" w:rsidRDefault="007B1066" w:rsidP="00DD7F53">
      <w:pPr>
        <w:ind w:firstLine="0"/>
        <w:rPr>
          <w:rFonts w:cs="Arial"/>
          <w:sz w:val="16"/>
          <w:szCs w:val="16"/>
          <w:lang w:eastAsia="pl-PL"/>
        </w:rPr>
      </w:pPr>
      <w:r w:rsidRPr="00DD7F53">
        <w:rPr>
          <w:rStyle w:val="Odwoanieprzypisudolnego"/>
          <w:rFonts w:cs="Arial"/>
          <w:sz w:val="16"/>
          <w:szCs w:val="16"/>
        </w:rPr>
        <w:footnoteRef/>
      </w:r>
      <w:r w:rsidRPr="00DD7F53">
        <w:rPr>
          <w:rFonts w:cs="Arial"/>
          <w:sz w:val="16"/>
          <w:szCs w:val="16"/>
        </w:rPr>
        <w:t xml:space="preserve"> </w:t>
      </w:r>
      <w:r w:rsidRPr="00DD7F53">
        <w:rPr>
          <w:rFonts w:cs="Arial"/>
          <w:sz w:val="16"/>
          <w:szCs w:val="16"/>
          <w:lang w:eastAsia="pl-PL"/>
        </w:rPr>
        <w:t>Polityka ekologiczna państwa 2030 – strategia rozwoju w obszarze środowiska i gospodarki wodnej, Warszawa 2019</w:t>
      </w:r>
    </w:p>
  </w:footnote>
  <w:footnote w:id="3">
    <w:p w14:paraId="4B58398B" w14:textId="254C0149" w:rsidR="007B1066" w:rsidRPr="00DD7F53" w:rsidRDefault="007B1066" w:rsidP="00DD7F53">
      <w:pPr>
        <w:ind w:firstLine="0"/>
        <w:rPr>
          <w:rFonts w:cs="Arial"/>
          <w:color w:val="000000"/>
          <w:sz w:val="16"/>
          <w:szCs w:val="16"/>
          <w:lang w:eastAsia="pl-PL"/>
        </w:rPr>
      </w:pPr>
      <w:r w:rsidRPr="00DD7F53">
        <w:rPr>
          <w:rStyle w:val="Odwoanieprzypisudolnego"/>
          <w:rFonts w:cs="Arial"/>
          <w:sz w:val="16"/>
          <w:szCs w:val="16"/>
        </w:rPr>
        <w:footnoteRef/>
      </w:r>
      <w:r w:rsidRPr="00DD7F53">
        <w:rPr>
          <w:rFonts w:cs="Arial"/>
          <w:sz w:val="16"/>
          <w:szCs w:val="16"/>
        </w:rPr>
        <w:t xml:space="preserve"> </w:t>
      </w:r>
      <w:r w:rsidRPr="00DD7F53">
        <w:rPr>
          <w:rFonts w:cs="Arial"/>
          <w:color w:val="000000"/>
          <w:sz w:val="16"/>
          <w:szCs w:val="16"/>
          <w:lang w:eastAsia="pl-PL"/>
        </w:rPr>
        <w:t>Strategia na rzecz Odpowiedzialnego Rozwoju do roku 2020 (z perspektywą do 2030 r.), Warszawa 2017</w:t>
      </w:r>
    </w:p>
  </w:footnote>
  <w:footnote w:id="4">
    <w:p w14:paraId="12A45673" w14:textId="23EEEB81" w:rsidR="007B1066" w:rsidRPr="00DD7F53" w:rsidRDefault="007B1066" w:rsidP="00DD7F53">
      <w:pPr>
        <w:ind w:firstLine="0"/>
        <w:rPr>
          <w:rFonts w:cs="Arial"/>
          <w:sz w:val="16"/>
          <w:szCs w:val="16"/>
          <w:lang w:eastAsia="pl-PL"/>
        </w:rPr>
      </w:pPr>
      <w:r w:rsidRPr="00DD7F53">
        <w:rPr>
          <w:rStyle w:val="Odwoanieprzypisudolnego"/>
          <w:rFonts w:cs="Arial"/>
          <w:sz w:val="16"/>
          <w:szCs w:val="16"/>
        </w:rPr>
        <w:footnoteRef/>
      </w:r>
      <w:r w:rsidRPr="00DD7F53">
        <w:rPr>
          <w:rFonts w:cs="Arial"/>
          <w:sz w:val="16"/>
          <w:szCs w:val="16"/>
        </w:rPr>
        <w:t xml:space="preserve"> </w:t>
      </w:r>
      <w:r w:rsidRPr="00DD7F53">
        <w:rPr>
          <w:rFonts w:cs="Arial"/>
          <w:sz w:val="16"/>
          <w:szCs w:val="16"/>
          <w:lang w:eastAsia="pl-PL"/>
        </w:rPr>
        <w:t>Krajowa Strategia Rozwoju Regionalnego 2030, Warszawa 2019</w:t>
      </w:r>
    </w:p>
  </w:footnote>
  <w:footnote w:id="5">
    <w:p w14:paraId="45954228" w14:textId="0BD760C7" w:rsidR="007B1066" w:rsidRPr="00DD7F53" w:rsidRDefault="007B1066" w:rsidP="00DD7F53">
      <w:pPr>
        <w:ind w:firstLine="0"/>
        <w:rPr>
          <w:rFonts w:cs="Arial"/>
          <w:sz w:val="16"/>
          <w:szCs w:val="16"/>
          <w:lang w:eastAsia="pl-PL"/>
        </w:rPr>
      </w:pPr>
      <w:r w:rsidRPr="00DD7F53">
        <w:rPr>
          <w:rStyle w:val="Odwoanieprzypisudolnego"/>
          <w:rFonts w:cs="Arial"/>
          <w:sz w:val="16"/>
          <w:szCs w:val="16"/>
        </w:rPr>
        <w:footnoteRef/>
      </w:r>
      <w:r w:rsidRPr="00DD7F53">
        <w:rPr>
          <w:rFonts w:cs="Arial"/>
          <w:sz w:val="16"/>
          <w:szCs w:val="16"/>
        </w:rPr>
        <w:t xml:space="preserve"> </w:t>
      </w:r>
      <w:r w:rsidRPr="00DD7F53">
        <w:rPr>
          <w:rFonts w:cs="Arial"/>
          <w:sz w:val="16"/>
          <w:szCs w:val="16"/>
          <w:lang w:eastAsia="pl-PL"/>
        </w:rPr>
        <w:t>Mapa Drogowa transformacji w kierunku gospodarki o obiegu zamkniętym. Załącznik do uchwały nr Rady Ministrów z dnia 3 września 2019 r.</w:t>
      </w:r>
    </w:p>
  </w:footnote>
  <w:footnote w:id="6">
    <w:p w14:paraId="0A17E435" w14:textId="77777777" w:rsidR="007B1066" w:rsidRPr="00DD7F53" w:rsidRDefault="007B1066" w:rsidP="00DD7F53">
      <w:pPr>
        <w:ind w:firstLine="0"/>
        <w:rPr>
          <w:rFonts w:eastAsia="Times New Roman" w:cs="Arial"/>
          <w:sz w:val="16"/>
          <w:szCs w:val="16"/>
          <w:lang w:val="en-GB" w:eastAsia="pl-PL"/>
        </w:rPr>
      </w:pPr>
      <w:r w:rsidRPr="00DD7F53">
        <w:rPr>
          <w:rStyle w:val="Odwoanieprzypisudolnego"/>
          <w:rFonts w:cs="Arial"/>
          <w:sz w:val="16"/>
          <w:szCs w:val="16"/>
        </w:rPr>
        <w:footnoteRef/>
      </w:r>
      <w:r w:rsidRPr="00DD7F53">
        <w:rPr>
          <w:rFonts w:cs="Arial"/>
          <w:sz w:val="16"/>
          <w:szCs w:val="16"/>
          <w:lang w:val="en-GB"/>
        </w:rPr>
        <w:t xml:space="preserve"> </w:t>
      </w:r>
      <w:r w:rsidRPr="00DD7F53">
        <w:rPr>
          <w:rFonts w:eastAsia="Times New Roman" w:cs="Arial"/>
          <w:sz w:val="16"/>
          <w:szCs w:val="16"/>
          <w:lang w:val="en-GB" w:eastAsia="pl-PL"/>
        </w:rPr>
        <w:t>Vanhamäki S., Virtanen M., Luste S., Manskinen K., Transition towards a circular economy at a regional level: A case study on closing biological loops, Resources, Conservation &amp; Recycling, 2020</w:t>
      </w:r>
    </w:p>
  </w:footnote>
  <w:footnote w:id="7">
    <w:p w14:paraId="519A7967" w14:textId="1AD7D7A1" w:rsidR="007B1066" w:rsidRPr="00DD7F53" w:rsidRDefault="007B1066" w:rsidP="00DD7F53">
      <w:pPr>
        <w:ind w:firstLine="0"/>
        <w:rPr>
          <w:rFonts w:cs="Arial"/>
          <w:sz w:val="16"/>
          <w:szCs w:val="16"/>
        </w:rPr>
      </w:pPr>
      <w:r w:rsidRPr="00DD7F53">
        <w:rPr>
          <w:rStyle w:val="Odwoanieprzypisudolnego"/>
          <w:rFonts w:cs="Arial"/>
          <w:sz w:val="16"/>
          <w:szCs w:val="16"/>
        </w:rPr>
        <w:footnoteRef/>
      </w:r>
      <w:r w:rsidRPr="00DD7F53">
        <w:rPr>
          <w:rFonts w:cs="Arial"/>
          <w:sz w:val="16"/>
          <w:szCs w:val="16"/>
        </w:rPr>
        <w:t xml:space="preserve"> https://www.kohtikiertotaloutta.fi/english/, dostęp 19.05.2021 r.</w:t>
      </w:r>
    </w:p>
  </w:footnote>
  <w:footnote w:id="8">
    <w:p w14:paraId="07A03F0D" w14:textId="3D6259CD" w:rsidR="007B1066" w:rsidRPr="00DD7F53" w:rsidRDefault="007B1066" w:rsidP="00F41836">
      <w:pPr>
        <w:pStyle w:val="AZRODLO"/>
        <w:jc w:val="both"/>
      </w:pPr>
      <w:r w:rsidRPr="00DD7F53">
        <w:rPr>
          <w:rStyle w:val="Odwoanieprzypisudolnego"/>
        </w:rPr>
        <w:footnoteRef/>
      </w:r>
      <w:r w:rsidRPr="00DD7F53">
        <w:t xml:space="preserve"> Rocznik Statystyczny Województwa Wielkopolskiego, Urząd Statystyczny w Poznaniu, Poznań 2020</w:t>
      </w:r>
    </w:p>
  </w:footnote>
  <w:footnote w:id="9">
    <w:p w14:paraId="299F7A70" w14:textId="45DAC29C" w:rsidR="007B1066" w:rsidRPr="00DD7F53" w:rsidRDefault="007B1066" w:rsidP="00F41836">
      <w:pPr>
        <w:pStyle w:val="AZRODLO"/>
        <w:jc w:val="both"/>
      </w:pPr>
      <w:r w:rsidRPr="00DD7F53">
        <w:rPr>
          <w:rStyle w:val="Odwoanieprzypisudolnego"/>
        </w:rPr>
        <w:footnoteRef/>
      </w:r>
      <w:r w:rsidRPr="00DD7F53">
        <w:t xml:space="preserve"> Bank Danych Lokalnych, Główny Urząd Statystyczny 2021 r., https://bdl.stat.gov.pl/BDL/dane/podgrup/tablica</w:t>
      </w:r>
    </w:p>
  </w:footnote>
  <w:footnote w:id="10">
    <w:p w14:paraId="6628F4AD" w14:textId="6E102C36" w:rsidR="007B1066" w:rsidRPr="00DD7F53" w:rsidRDefault="007B1066" w:rsidP="00DD7F53">
      <w:pPr>
        <w:ind w:firstLine="0"/>
        <w:jc w:val="left"/>
        <w:rPr>
          <w:rFonts w:cs="Arial"/>
          <w:sz w:val="16"/>
          <w:szCs w:val="16"/>
        </w:rPr>
      </w:pPr>
      <w:r w:rsidRPr="00DD7F53">
        <w:rPr>
          <w:rStyle w:val="Odwoanieprzypisudolnego"/>
          <w:rFonts w:cs="Arial"/>
          <w:sz w:val="16"/>
          <w:szCs w:val="16"/>
        </w:rPr>
        <w:footnoteRef/>
      </w:r>
      <w:r w:rsidRPr="00DD7F53">
        <w:rPr>
          <w:rFonts w:cs="Arial"/>
          <w:sz w:val="16"/>
          <w:szCs w:val="16"/>
        </w:rPr>
        <w:t xml:space="preserve"> https://www.arimr.gov.pl/o-arimr/oddzialy-regionalne/wielkopolski-or15/ciekawe-projekty-zrealizowane-na-terenie-wojewodztwa.html; dostęp 20.05.2021 r.</w:t>
      </w:r>
    </w:p>
  </w:footnote>
  <w:footnote w:id="11">
    <w:p w14:paraId="4C3F7075" w14:textId="754866B6" w:rsidR="007B1066" w:rsidRPr="00DD7F53" w:rsidRDefault="007B1066" w:rsidP="00DD7F53">
      <w:pPr>
        <w:ind w:firstLine="0"/>
        <w:rPr>
          <w:rFonts w:cs="Arial"/>
          <w:sz w:val="16"/>
          <w:szCs w:val="16"/>
        </w:rPr>
      </w:pPr>
      <w:r w:rsidRPr="00DD7F53">
        <w:rPr>
          <w:rStyle w:val="Odwoanieprzypisudolnego"/>
          <w:rFonts w:cs="Arial"/>
          <w:sz w:val="16"/>
          <w:szCs w:val="16"/>
        </w:rPr>
        <w:footnoteRef/>
      </w:r>
      <w:r w:rsidRPr="00DD7F53">
        <w:rPr>
          <w:rFonts w:cs="Arial"/>
          <w:sz w:val="16"/>
          <w:szCs w:val="16"/>
        </w:rPr>
        <w:t xml:space="preserve"> A – Rolnictwo, leśnictwo, łowiectwo i rybactwo; B – Górnictwo i wydobywanie; C – Przetwórstwo przemysłowe; </w:t>
      </w:r>
      <w:r w:rsidRPr="00DD7F53">
        <w:rPr>
          <w:rFonts w:cs="Arial"/>
          <w:sz w:val="16"/>
          <w:szCs w:val="16"/>
        </w:rPr>
        <w:br/>
        <w:t xml:space="preserve">D – Wytwarzanie i zaopatrywanie w energię elektryczną, gaz, parę wodną, gorącą wodę i powietrze do układów klimatyzacyjnych; E – Dostawa wody; gospodarowanie ściekami i odpadami oraz działalność związana z rekultywacją; F – Budownictwo; G – Handel hurtowy i detaliczny; naprawa pojazdów samochodowych, włączając motocykle; </w:t>
      </w:r>
      <w:r w:rsidRPr="00DD7F53">
        <w:rPr>
          <w:rFonts w:cs="Arial"/>
          <w:sz w:val="16"/>
          <w:szCs w:val="16"/>
        </w:rPr>
        <w:br/>
        <w:t xml:space="preserve">H – Transport i gospodarka magazynowa; I – Działalność związana z zakwaterowaniem i usługami gastronomicznymi; J – Informacja i komunikacja; K – Działalność finansowa i ubezpieczeniowa; L – Działalność związana z obsługą rynku nieruchomości; M – Działalność profesjonalna, naukowa i techniczna; N – Działalność w zakresie usług administrowania i działalność wspierająca; O – Administracja publiczna i obrona narodowa; obowiązkowe zabezpieczenia społeczne; P – Edukacja; Q – Opieka zdrowotna i pomoc społeczna; R – Działalność związana </w:t>
      </w:r>
      <w:r w:rsidRPr="00DD7F53">
        <w:rPr>
          <w:rFonts w:cs="Arial"/>
          <w:sz w:val="16"/>
          <w:szCs w:val="16"/>
        </w:rPr>
        <w:br/>
        <w:t>z kulturą, rozrywką i rekreacją; S – Pozostała działalność usługowa; T – Gospodarstwa domowe zatrudniające pracowników; gospodarstwa domowe produkujące wyroby i świadczące usługi na własne potrzeby</w:t>
      </w:r>
    </w:p>
  </w:footnote>
  <w:footnote w:id="12">
    <w:p w14:paraId="2F8FC5E5" w14:textId="77777777" w:rsidR="007B1066" w:rsidRPr="00DD7F53" w:rsidRDefault="007B1066" w:rsidP="007D50F3">
      <w:pPr>
        <w:ind w:firstLine="0"/>
        <w:rPr>
          <w:rFonts w:cs="Arial"/>
          <w:sz w:val="16"/>
          <w:szCs w:val="16"/>
        </w:rPr>
      </w:pPr>
      <w:r w:rsidRPr="00DD7F53">
        <w:rPr>
          <w:rStyle w:val="Odwoanieprzypisudolnego"/>
          <w:rFonts w:cs="Arial"/>
          <w:sz w:val="16"/>
          <w:szCs w:val="16"/>
        </w:rPr>
        <w:footnoteRef/>
      </w:r>
      <w:r w:rsidRPr="00DD7F53">
        <w:rPr>
          <w:rFonts w:cs="Arial"/>
          <w:sz w:val="16"/>
          <w:szCs w:val="16"/>
        </w:rPr>
        <w:t xml:space="preserve"> https://globenergia.pl/ze-pak-przechodzi-na-oze-koniec-wegla-w-2030-roku/; dostęp 20.05.2021</w:t>
      </w:r>
    </w:p>
  </w:footnote>
  <w:footnote w:id="13">
    <w:p w14:paraId="39E11AA5" w14:textId="3EED5963" w:rsidR="007B1066" w:rsidRPr="00DD7F53" w:rsidRDefault="007B1066" w:rsidP="00DD7F53">
      <w:pPr>
        <w:ind w:firstLine="0"/>
        <w:rPr>
          <w:rFonts w:cs="Arial"/>
          <w:sz w:val="16"/>
          <w:szCs w:val="16"/>
        </w:rPr>
      </w:pPr>
      <w:r w:rsidRPr="00DD7F53">
        <w:rPr>
          <w:rStyle w:val="Odwoanieprzypisudolnego"/>
          <w:rFonts w:cs="Arial"/>
          <w:sz w:val="16"/>
          <w:szCs w:val="16"/>
        </w:rPr>
        <w:footnoteRef/>
      </w:r>
      <w:r w:rsidRPr="00DD7F53">
        <w:rPr>
          <w:rFonts w:cs="Arial"/>
          <w:sz w:val="16"/>
          <w:szCs w:val="16"/>
        </w:rPr>
        <w:t xml:space="preserve"> Bilans Zasobów Złóż Kopalin w Polsce wg stanu na 31 XII 2019 r. Państwowy Instytut Geologiczny Państwowy Instytut Badawczy, Warszawa 2020</w:t>
      </w:r>
    </w:p>
  </w:footnote>
  <w:footnote w:id="14">
    <w:p w14:paraId="0BC7F0A7" w14:textId="30C7BB23" w:rsidR="007B1066" w:rsidRPr="00DD7F53" w:rsidRDefault="007B1066" w:rsidP="00DD7F53">
      <w:pPr>
        <w:ind w:firstLine="0"/>
        <w:rPr>
          <w:rFonts w:cs="Arial"/>
          <w:sz w:val="16"/>
          <w:szCs w:val="16"/>
        </w:rPr>
      </w:pPr>
      <w:r w:rsidRPr="00DD7F53">
        <w:rPr>
          <w:rStyle w:val="Odwoanieprzypisudolnego"/>
          <w:rFonts w:cs="Arial"/>
          <w:sz w:val="16"/>
          <w:szCs w:val="16"/>
        </w:rPr>
        <w:footnoteRef/>
      </w:r>
      <w:r w:rsidRPr="00DD7F53">
        <w:rPr>
          <w:rFonts w:cs="Arial"/>
          <w:sz w:val="16"/>
          <w:szCs w:val="16"/>
        </w:rPr>
        <w:t xml:space="preserve"> Strategia rozwoju województwa wielkopolskiego do 2030 roku. Zarząd Województwa Wielkopolskiego. Poznań 2020</w:t>
      </w:r>
    </w:p>
  </w:footnote>
  <w:footnote w:id="15">
    <w:p w14:paraId="68B9E354" w14:textId="6C73DA12" w:rsidR="007B1066" w:rsidRPr="00DD7F53" w:rsidRDefault="007B1066" w:rsidP="00DD7F53">
      <w:pPr>
        <w:ind w:firstLine="0"/>
        <w:rPr>
          <w:rFonts w:cs="Arial"/>
          <w:sz w:val="16"/>
          <w:szCs w:val="16"/>
          <w:lang w:val="en-AU"/>
        </w:rPr>
      </w:pPr>
      <w:r w:rsidRPr="00DD7F53">
        <w:rPr>
          <w:rStyle w:val="Odwoanieprzypisudolnego"/>
          <w:rFonts w:cs="Arial"/>
          <w:sz w:val="16"/>
          <w:szCs w:val="16"/>
        </w:rPr>
        <w:footnoteRef/>
      </w:r>
      <w:r w:rsidRPr="00DD7F53">
        <w:rPr>
          <w:rFonts w:cs="Arial"/>
          <w:sz w:val="16"/>
          <w:szCs w:val="16"/>
          <w:lang w:val="en-GB"/>
        </w:rPr>
        <w:t xml:space="preserve"> </w:t>
      </w:r>
      <w:r w:rsidRPr="00DD7F53">
        <w:rPr>
          <w:rFonts w:eastAsia="Times New Roman" w:cs="Arial"/>
          <w:color w:val="000000"/>
          <w:sz w:val="16"/>
          <w:szCs w:val="16"/>
          <w:lang w:val="en-GB" w:eastAsia="pl-PL"/>
        </w:rPr>
        <w:t>P. Ghisellinia, M. Ripa, (2018), Ulgiatide, S. Exploring environmental and economic costs and benefits of a circular economy approach to the construction and demolition sector. A literature review. J. Clean. Prod., 178, 618-643</w:t>
      </w:r>
    </w:p>
  </w:footnote>
  <w:footnote w:id="16">
    <w:p w14:paraId="3E530CBF" w14:textId="5DD2ACE5" w:rsidR="007B1066" w:rsidRPr="00DD7F53" w:rsidRDefault="007B1066" w:rsidP="00DD7F53">
      <w:pPr>
        <w:ind w:firstLine="0"/>
        <w:rPr>
          <w:rFonts w:cs="Arial"/>
          <w:sz w:val="16"/>
          <w:szCs w:val="16"/>
          <w:lang w:val="en-AU"/>
        </w:rPr>
      </w:pPr>
      <w:r w:rsidRPr="00DD7F53">
        <w:rPr>
          <w:rStyle w:val="Odwoanieprzypisudolnego"/>
          <w:rFonts w:cs="Arial"/>
          <w:sz w:val="16"/>
          <w:szCs w:val="16"/>
        </w:rPr>
        <w:footnoteRef/>
      </w:r>
      <w:r w:rsidRPr="00DD7F53">
        <w:rPr>
          <w:rFonts w:cs="Arial"/>
          <w:sz w:val="16"/>
          <w:szCs w:val="16"/>
          <w:lang w:val="en-AU"/>
        </w:rPr>
        <w:t xml:space="preserve"> Growth Within: A Circular Economy Vision for a Competitive Europe: Ellen MacArthur Foundation, Stiftungsfonds </w:t>
      </w:r>
      <w:r w:rsidRPr="00DD7F53">
        <w:rPr>
          <w:rFonts w:cs="Arial"/>
          <w:sz w:val="16"/>
          <w:szCs w:val="16"/>
          <w:lang w:val="en-AU"/>
        </w:rPr>
        <w:br/>
        <w:t>für Umweltökonomie und Nachhaltigkeit (SUN) i McKinsey Center for Business and Environmen, 2015</w:t>
      </w:r>
    </w:p>
  </w:footnote>
  <w:footnote w:id="17">
    <w:p w14:paraId="131CBF33" w14:textId="56B147BB" w:rsidR="007B1066" w:rsidRPr="00DD7F53" w:rsidRDefault="007B1066" w:rsidP="00DD7F53">
      <w:pPr>
        <w:ind w:firstLine="0"/>
        <w:rPr>
          <w:rFonts w:cs="Arial"/>
          <w:sz w:val="16"/>
          <w:szCs w:val="16"/>
        </w:rPr>
      </w:pPr>
      <w:r w:rsidRPr="00DD7F53">
        <w:rPr>
          <w:rStyle w:val="Odwoanieprzypisudolnego"/>
          <w:rFonts w:cs="Arial"/>
          <w:sz w:val="16"/>
          <w:szCs w:val="16"/>
        </w:rPr>
        <w:footnoteRef/>
      </w:r>
      <w:r w:rsidRPr="00DD7F53">
        <w:rPr>
          <w:rFonts w:cs="Arial"/>
          <w:sz w:val="16"/>
          <w:szCs w:val="16"/>
        </w:rPr>
        <w:t xml:space="preserve"> Komunikat Komisji do Parlamentu Europejskiego, Rady, Europejskiego Komitetu Ekonomiczno-Społecznego </w:t>
      </w:r>
      <w:r w:rsidRPr="00DD7F53">
        <w:rPr>
          <w:rFonts w:cs="Arial"/>
          <w:sz w:val="16"/>
          <w:szCs w:val="16"/>
        </w:rPr>
        <w:br/>
        <w:t>i Komitetu Regionów Zamknięcie obiegu - plan działania UE dotyczący gospodarki o obiegu zamkniętym, COM(2015) 614 final</w:t>
      </w:r>
    </w:p>
  </w:footnote>
  <w:footnote w:id="18">
    <w:p w14:paraId="344C2D8F" w14:textId="18783934" w:rsidR="007B1066" w:rsidRPr="00DD7F53" w:rsidRDefault="007B1066" w:rsidP="00DD7F53">
      <w:pPr>
        <w:ind w:firstLine="0"/>
        <w:rPr>
          <w:rFonts w:cs="Arial"/>
          <w:sz w:val="16"/>
          <w:szCs w:val="16"/>
          <w:lang w:val="en-AU"/>
        </w:rPr>
      </w:pPr>
      <w:r w:rsidRPr="00DD7F53">
        <w:rPr>
          <w:rStyle w:val="Odwoanieprzypisudolnego"/>
          <w:rFonts w:cs="Arial"/>
          <w:sz w:val="16"/>
          <w:szCs w:val="16"/>
        </w:rPr>
        <w:footnoteRef/>
      </w:r>
      <w:r w:rsidRPr="00DD7F53">
        <w:rPr>
          <w:rFonts w:cs="Arial"/>
          <w:sz w:val="16"/>
          <w:szCs w:val="16"/>
          <w:lang w:val="en-AU"/>
        </w:rPr>
        <w:t xml:space="preserve"> J. Kirchherra, L. Piscicellia , r. Boura, E. Kostense-Smitb , J. Mullerb , A. Huibrechtse-Truijensb , M. Hekkert, Barriers to the Circular Economy: Evidence From the European Union (EU), </w:t>
      </w:r>
      <w:hyperlink r:id="rId1" w:tooltip="Go to Ecological Economics on ScienceDirect" w:history="1">
        <w:r w:rsidRPr="00DD7F53">
          <w:rPr>
            <w:rStyle w:val="Hipercze"/>
            <w:rFonts w:cs="Arial"/>
            <w:color w:val="auto"/>
            <w:sz w:val="16"/>
            <w:szCs w:val="16"/>
            <w:u w:val="none"/>
            <w:lang w:val="en-AU"/>
          </w:rPr>
          <w:t>Ecological Economics</w:t>
        </w:r>
      </w:hyperlink>
      <w:r w:rsidRPr="00DD7F53">
        <w:rPr>
          <w:rFonts w:cs="Arial"/>
          <w:sz w:val="16"/>
          <w:szCs w:val="16"/>
          <w:lang w:val="en-AU"/>
        </w:rPr>
        <w:t xml:space="preserve"> </w:t>
      </w:r>
      <w:hyperlink r:id="rId2" w:tooltip="Go to table of contents for this volume/issue" w:history="1">
        <w:r w:rsidRPr="00DD7F53">
          <w:rPr>
            <w:rStyle w:val="Hipercze"/>
            <w:rFonts w:cs="Arial"/>
            <w:color w:val="auto"/>
            <w:sz w:val="16"/>
            <w:szCs w:val="16"/>
            <w:u w:val="none"/>
            <w:lang w:val="en-AU"/>
          </w:rPr>
          <w:t>Volume 150</w:t>
        </w:r>
      </w:hyperlink>
      <w:r w:rsidRPr="00DD7F53">
        <w:rPr>
          <w:rFonts w:cs="Arial"/>
          <w:sz w:val="16"/>
          <w:szCs w:val="16"/>
          <w:lang w:val="en-AU"/>
        </w:rPr>
        <w:t>, August 2018, Pages 264-272</w:t>
      </w:r>
    </w:p>
  </w:footnote>
  <w:footnote w:id="19">
    <w:p w14:paraId="697C9A1E" w14:textId="793A28CD" w:rsidR="007B1066" w:rsidRPr="00DD7F53" w:rsidRDefault="007B1066" w:rsidP="00DD7F53">
      <w:pPr>
        <w:ind w:firstLine="0"/>
        <w:rPr>
          <w:rFonts w:cs="Arial"/>
          <w:sz w:val="16"/>
          <w:szCs w:val="16"/>
        </w:rPr>
      </w:pPr>
      <w:r w:rsidRPr="00DD7F53">
        <w:rPr>
          <w:rStyle w:val="Odwoanieprzypisudolnego"/>
          <w:rFonts w:cs="Arial"/>
          <w:sz w:val="16"/>
          <w:szCs w:val="16"/>
        </w:rPr>
        <w:footnoteRef/>
      </w:r>
      <w:r w:rsidRPr="00DD7F53">
        <w:rPr>
          <w:rFonts w:cs="Arial"/>
          <w:sz w:val="16"/>
          <w:szCs w:val="16"/>
        </w:rPr>
        <w:t xml:space="preserve"> Komunikat Komisji do Parlamentu Europejskiego, Rady, Europejskiego Komitetu Ekonomiczno-Społecznego </w:t>
      </w:r>
      <w:r w:rsidRPr="00DD7F53">
        <w:rPr>
          <w:rFonts w:cs="Arial"/>
          <w:sz w:val="16"/>
          <w:szCs w:val="16"/>
        </w:rPr>
        <w:br/>
        <w:t>i Komitetu Regionów Zamknięcie obiegu - plan działania UE dotyczący gospodarki o obiegu zamkniętym, COM(2015) 614 final</w:t>
      </w:r>
    </w:p>
  </w:footnote>
  <w:footnote w:id="20">
    <w:p w14:paraId="36CF10C0" w14:textId="3CD91716" w:rsidR="007B1066" w:rsidRPr="00DD7F53" w:rsidRDefault="007B1066" w:rsidP="00DD7F53">
      <w:pPr>
        <w:ind w:firstLine="0"/>
        <w:rPr>
          <w:rFonts w:cs="Arial"/>
          <w:sz w:val="16"/>
          <w:szCs w:val="16"/>
        </w:rPr>
      </w:pPr>
      <w:r w:rsidRPr="00DD7F53">
        <w:rPr>
          <w:rStyle w:val="Odwoanieprzypisudolnego"/>
          <w:rFonts w:cs="Arial"/>
          <w:sz w:val="16"/>
          <w:szCs w:val="16"/>
        </w:rPr>
        <w:footnoteRef/>
      </w:r>
      <w:r w:rsidRPr="00DD7F53">
        <w:rPr>
          <w:rFonts w:cs="Arial"/>
          <w:sz w:val="16"/>
          <w:szCs w:val="16"/>
          <w:lang w:val="en-AU"/>
        </w:rPr>
        <w:t xml:space="preserve"> </w:t>
      </w:r>
      <w:r w:rsidRPr="00DD7F53">
        <w:rPr>
          <w:rFonts w:cs="Arial"/>
          <w:sz w:val="16"/>
          <w:szCs w:val="16"/>
        </w:rPr>
        <w:t>W. Stahel (2016),The circular economy he circular economy. A new relationship with our goods and materials would save resources and energy and create local jobs</w:t>
      </w:r>
    </w:p>
  </w:footnote>
  <w:footnote w:id="21">
    <w:p w14:paraId="3D9F1D35" w14:textId="4C0A9D67" w:rsidR="007B1066" w:rsidRPr="00DD7F53" w:rsidRDefault="007B1066" w:rsidP="00DD7F53">
      <w:pPr>
        <w:ind w:firstLine="0"/>
        <w:rPr>
          <w:rFonts w:cs="Arial"/>
          <w:sz w:val="16"/>
          <w:szCs w:val="16"/>
          <w:lang w:val="en-AU"/>
        </w:rPr>
      </w:pPr>
      <w:r w:rsidRPr="00DD7F53">
        <w:rPr>
          <w:rStyle w:val="Odwoanieprzypisudolnego"/>
          <w:rFonts w:cs="Arial"/>
          <w:sz w:val="16"/>
          <w:szCs w:val="16"/>
        </w:rPr>
        <w:footnoteRef/>
      </w:r>
      <w:r w:rsidRPr="00DD7F53">
        <w:rPr>
          <w:rFonts w:cs="Arial"/>
          <w:sz w:val="16"/>
          <w:szCs w:val="16"/>
          <w:lang w:val="en-AU"/>
        </w:rPr>
        <w:t xml:space="preserve"> </w:t>
      </w:r>
      <w:r w:rsidRPr="00DD7F53">
        <w:rPr>
          <w:rFonts w:eastAsia="Times New Roman" w:cs="Arial"/>
          <w:color w:val="000000"/>
          <w:sz w:val="16"/>
          <w:szCs w:val="16"/>
          <w:lang w:val="en-GB" w:eastAsia="pl-PL"/>
        </w:rPr>
        <w:t>Q. Wang, P. Deutz, Y. Chen (2017), Building institutional capacity for industrial symbiosis development: A case study of an industrial symbiosis coordination network in China. J. Clean. Prod. 2017, 142, 1571-1582</w:t>
      </w:r>
    </w:p>
  </w:footnote>
  <w:footnote w:id="22">
    <w:p w14:paraId="1C304D80" w14:textId="66F2C383" w:rsidR="007B1066" w:rsidRPr="00DD7F53" w:rsidRDefault="007B1066" w:rsidP="00DD7F53">
      <w:pPr>
        <w:ind w:firstLine="0"/>
        <w:rPr>
          <w:rFonts w:cs="Arial"/>
          <w:sz w:val="16"/>
          <w:szCs w:val="16"/>
        </w:rPr>
      </w:pPr>
      <w:r w:rsidRPr="00DD7F53">
        <w:rPr>
          <w:rStyle w:val="Odwoanieprzypisudolnego"/>
          <w:rFonts w:cs="Arial"/>
          <w:sz w:val="16"/>
          <w:szCs w:val="16"/>
        </w:rPr>
        <w:footnoteRef/>
      </w:r>
      <w:r w:rsidRPr="00DD7F53">
        <w:rPr>
          <w:rFonts w:cs="Arial"/>
          <w:sz w:val="16"/>
          <w:szCs w:val="16"/>
          <w:lang w:val="en-AU"/>
        </w:rPr>
        <w:t xml:space="preserve"> </w:t>
      </w:r>
      <w:r w:rsidRPr="00DD7F53">
        <w:rPr>
          <w:rFonts w:eastAsia="Times New Roman" w:cs="Arial"/>
          <w:color w:val="000000"/>
          <w:sz w:val="16"/>
          <w:szCs w:val="16"/>
          <w:lang w:val="en-GB" w:eastAsia="pl-PL"/>
        </w:rPr>
        <w:t>C. Jiang, J. Zhang (2016) Evaluation of Regional Circular Economy Based on Matter Element Analysis. Procedia Environ. Sci., 11, 637-642</w:t>
      </w:r>
    </w:p>
  </w:footnote>
  <w:footnote w:id="23">
    <w:p w14:paraId="606B15E7" w14:textId="5EABE2C0" w:rsidR="007B1066" w:rsidRPr="00DD7F53" w:rsidRDefault="007B1066" w:rsidP="00DD7F53">
      <w:pPr>
        <w:ind w:firstLine="0"/>
        <w:rPr>
          <w:rFonts w:cs="Arial"/>
          <w:sz w:val="16"/>
          <w:szCs w:val="16"/>
        </w:rPr>
      </w:pPr>
      <w:r w:rsidRPr="00DD7F53">
        <w:rPr>
          <w:rStyle w:val="Odwoanieprzypisudolnego"/>
          <w:rFonts w:cs="Arial"/>
          <w:sz w:val="16"/>
          <w:szCs w:val="16"/>
        </w:rPr>
        <w:footnoteRef/>
      </w:r>
      <w:r w:rsidRPr="00DD7F53">
        <w:rPr>
          <w:rFonts w:cs="Arial"/>
          <w:sz w:val="16"/>
          <w:szCs w:val="16"/>
        </w:rPr>
        <w:t xml:space="preserve"> Ł. Sosnowski (2018), ECO design podstawą GOZu, Energia i Recykling: gospodarka obiegu zamkniętego, ABRYS </w:t>
      </w:r>
    </w:p>
    <w:p w14:paraId="128A258C" w14:textId="07343861" w:rsidR="007B1066" w:rsidRPr="00DD7F53" w:rsidRDefault="007B1066" w:rsidP="00DD7F53">
      <w:pPr>
        <w:ind w:firstLine="0"/>
        <w:rPr>
          <w:rFonts w:cs="Arial"/>
          <w:sz w:val="16"/>
          <w:szCs w:val="16"/>
          <w:lang w:val="en-AU"/>
        </w:rPr>
      </w:pPr>
      <w:r w:rsidRPr="00DD7F53">
        <w:rPr>
          <w:rFonts w:cs="Arial"/>
          <w:sz w:val="16"/>
          <w:szCs w:val="16"/>
        </w:rPr>
        <w:t>Sp. z o.o. nr. 4., 2018</w:t>
      </w:r>
    </w:p>
  </w:footnote>
  <w:footnote w:id="24">
    <w:p w14:paraId="0419F9C6" w14:textId="13896166" w:rsidR="007B1066" w:rsidRPr="00DD7F53" w:rsidRDefault="007B1066" w:rsidP="00DD7F53">
      <w:pPr>
        <w:ind w:firstLine="0"/>
        <w:rPr>
          <w:rFonts w:cs="Arial"/>
          <w:sz w:val="16"/>
          <w:szCs w:val="16"/>
          <w:lang w:val="en-AU"/>
        </w:rPr>
      </w:pPr>
      <w:r w:rsidRPr="00DD7F53">
        <w:rPr>
          <w:rStyle w:val="Odwoanieprzypisudolnego"/>
          <w:rFonts w:cs="Arial"/>
          <w:sz w:val="16"/>
          <w:szCs w:val="16"/>
        </w:rPr>
        <w:footnoteRef/>
      </w:r>
      <w:r w:rsidRPr="00DD7F53">
        <w:rPr>
          <w:rFonts w:cs="Arial"/>
          <w:sz w:val="16"/>
          <w:szCs w:val="16"/>
          <w:lang w:val="en-AU"/>
        </w:rPr>
        <w:t xml:space="preserve"> </w:t>
      </w:r>
      <w:r w:rsidRPr="00DD7F53">
        <w:rPr>
          <w:rFonts w:eastAsia="Times New Roman" w:cs="Arial"/>
          <w:color w:val="000000"/>
          <w:sz w:val="16"/>
          <w:szCs w:val="16"/>
          <w:lang w:val="en-GB" w:eastAsia="pl-PL"/>
        </w:rPr>
        <w:t xml:space="preserve">A. De Jesus, P. Antunes, R. Santos, S. Mendonça (2018), Eco-innovation in the transition to a circular economy: </w:t>
      </w:r>
      <w:r w:rsidRPr="00DD7F53">
        <w:rPr>
          <w:rFonts w:eastAsia="Times New Roman" w:cs="Arial"/>
          <w:color w:val="000000"/>
          <w:sz w:val="16"/>
          <w:szCs w:val="16"/>
          <w:lang w:val="en-GB" w:eastAsia="pl-PL"/>
        </w:rPr>
        <w:br/>
        <w:t>An analytical literature review. J. Clean. Prod., 172, 2999-3018</w:t>
      </w:r>
    </w:p>
  </w:footnote>
  <w:footnote w:id="25">
    <w:p w14:paraId="738FE556" w14:textId="1C0E5B44" w:rsidR="007B1066" w:rsidRPr="00DD7F53" w:rsidRDefault="007B1066" w:rsidP="00DD7F53">
      <w:pPr>
        <w:ind w:firstLine="0"/>
        <w:rPr>
          <w:rFonts w:cs="Arial"/>
          <w:sz w:val="16"/>
          <w:szCs w:val="16"/>
          <w:lang w:val="en-AU"/>
        </w:rPr>
      </w:pPr>
      <w:r w:rsidRPr="00DD7F53">
        <w:rPr>
          <w:rStyle w:val="Odwoanieprzypisudolnego"/>
          <w:rFonts w:cs="Arial"/>
          <w:sz w:val="16"/>
          <w:szCs w:val="16"/>
        </w:rPr>
        <w:footnoteRef/>
      </w:r>
      <w:r w:rsidRPr="00DD7F53">
        <w:rPr>
          <w:rFonts w:cs="Arial"/>
          <w:sz w:val="16"/>
          <w:szCs w:val="16"/>
          <w:lang w:val="en-AU"/>
        </w:rPr>
        <w:t xml:space="preserve"> Circularity Gap Report reveals that the world is only 9% circular and the trend is negative, Circle Economy, 2019</w:t>
      </w:r>
    </w:p>
  </w:footnote>
  <w:footnote w:id="26">
    <w:p w14:paraId="725E0E39" w14:textId="0349F83B" w:rsidR="007B1066" w:rsidRPr="00DD7F53" w:rsidRDefault="007B1066" w:rsidP="00DD7F53">
      <w:pPr>
        <w:ind w:firstLine="0"/>
        <w:rPr>
          <w:rFonts w:cs="Arial"/>
          <w:i/>
          <w:iCs/>
          <w:sz w:val="16"/>
          <w:szCs w:val="16"/>
          <w:lang w:val="en-AU"/>
        </w:rPr>
      </w:pPr>
      <w:r w:rsidRPr="00DD7F53">
        <w:rPr>
          <w:rStyle w:val="Odwoanieprzypisudolnego"/>
          <w:rFonts w:cs="Arial"/>
          <w:sz w:val="16"/>
          <w:szCs w:val="16"/>
        </w:rPr>
        <w:footnoteRef/>
      </w:r>
      <w:r w:rsidRPr="00DD7F53">
        <w:rPr>
          <w:rFonts w:cs="Arial"/>
          <w:sz w:val="16"/>
          <w:szCs w:val="16"/>
          <w:lang w:val="en-AU"/>
        </w:rPr>
        <w:t xml:space="preserve"> Growth Within: A Circular Economy Vision for a Competitive Europe: Ellen MacArthur Foundation, Stiftungsfonds für Umweltökonomie und Nachhaltigkeit (SUN), McKinsey Center for Business and Environment, 2015</w:t>
      </w:r>
    </w:p>
  </w:footnote>
  <w:footnote w:id="27">
    <w:p w14:paraId="1D5495D3" w14:textId="4478D7B4" w:rsidR="007B1066" w:rsidRPr="00DD7F53" w:rsidRDefault="007B1066" w:rsidP="00DD7F53">
      <w:pPr>
        <w:ind w:firstLine="0"/>
        <w:rPr>
          <w:rFonts w:cs="Arial"/>
          <w:color w:val="4F4C4D"/>
          <w:sz w:val="16"/>
          <w:szCs w:val="16"/>
          <w:lang w:val="en-AU" w:eastAsia="pl-PL"/>
        </w:rPr>
      </w:pPr>
      <w:bookmarkStart w:id="23" w:name="_Hlk73461942"/>
      <w:r w:rsidRPr="00DD7F53">
        <w:rPr>
          <w:rStyle w:val="Odwoanieprzypisudolnego"/>
          <w:rFonts w:cs="Arial"/>
          <w:sz w:val="16"/>
          <w:szCs w:val="16"/>
        </w:rPr>
        <w:footnoteRef/>
      </w:r>
      <w:r w:rsidRPr="00DD7F53">
        <w:rPr>
          <w:rFonts w:cs="Arial"/>
          <w:sz w:val="16"/>
          <w:szCs w:val="16"/>
          <w:lang w:val="en-AU"/>
        </w:rPr>
        <w:t xml:space="preserve"> T</w:t>
      </w:r>
      <w:r w:rsidRPr="00DD7F53">
        <w:rPr>
          <w:rFonts w:cs="Arial"/>
          <w:sz w:val="16"/>
          <w:szCs w:val="16"/>
          <w:lang w:val="en-AU" w:eastAsia="pl-PL"/>
        </w:rPr>
        <w:t>owards the Circular Economy: Accelerating the scale-up across global supply chains, Prepared in collaboration with the Ellen MacArthur Foundation and McKinsey &amp; Company, WFE, 2014</w:t>
      </w:r>
      <w:bookmarkEnd w:id="23"/>
    </w:p>
  </w:footnote>
  <w:footnote w:id="28">
    <w:p w14:paraId="51046F88" w14:textId="52D54D83" w:rsidR="007B1066" w:rsidRPr="00DD7F53" w:rsidRDefault="007B1066" w:rsidP="00DD7F53">
      <w:pPr>
        <w:ind w:firstLine="0"/>
        <w:rPr>
          <w:rFonts w:cs="Arial"/>
          <w:sz w:val="16"/>
          <w:szCs w:val="16"/>
        </w:rPr>
      </w:pPr>
      <w:r w:rsidRPr="00DD7F53">
        <w:rPr>
          <w:rStyle w:val="Odwoanieprzypisudolnego"/>
          <w:rFonts w:cs="Arial"/>
          <w:sz w:val="16"/>
          <w:szCs w:val="16"/>
        </w:rPr>
        <w:footnoteRef/>
      </w:r>
      <w:r w:rsidRPr="00DD7F53">
        <w:rPr>
          <w:rFonts w:cs="Arial"/>
          <w:sz w:val="16"/>
          <w:szCs w:val="16"/>
        </w:rPr>
        <w:t xml:space="preserve"> Regionalna Strategia Innowacji dla Wielkopolski 2030 (RIS). Urząd Marszałkowski Województwa Wielkopolskiego w Poznaniu, Poznań 2020</w:t>
      </w:r>
    </w:p>
  </w:footnote>
  <w:footnote w:id="29">
    <w:p w14:paraId="323790DE" w14:textId="6B9DBF76" w:rsidR="007B1066" w:rsidRPr="00DD7F53" w:rsidRDefault="007B1066" w:rsidP="00DD7F53">
      <w:pPr>
        <w:ind w:firstLine="0"/>
        <w:rPr>
          <w:rFonts w:cs="Arial"/>
          <w:sz w:val="16"/>
          <w:szCs w:val="16"/>
        </w:rPr>
      </w:pPr>
      <w:r w:rsidRPr="00DD7F53">
        <w:rPr>
          <w:rStyle w:val="Odwoanieprzypisudolnego"/>
          <w:rFonts w:cs="Arial"/>
          <w:sz w:val="16"/>
          <w:szCs w:val="16"/>
        </w:rPr>
        <w:footnoteRef/>
      </w:r>
      <w:r w:rsidRPr="00DD7F53">
        <w:rPr>
          <w:rFonts w:cs="Arial"/>
          <w:sz w:val="16"/>
          <w:szCs w:val="16"/>
        </w:rPr>
        <w:t xml:space="preserve"> Przemysł spożywczy w Wielkopolsce. Znaczenie dla rynku pracy. Wojewódzki Urząd Pracy w Poznaniu, Poznań 2018</w:t>
      </w:r>
    </w:p>
  </w:footnote>
  <w:footnote w:id="30">
    <w:p w14:paraId="18BD7409" w14:textId="392FFB0D" w:rsidR="007B1066" w:rsidRPr="00DD7F53" w:rsidRDefault="007B1066" w:rsidP="00DD7F53">
      <w:pPr>
        <w:ind w:firstLine="0"/>
        <w:rPr>
          <w:rFonts w:cs="Arial"/>
          <w:sz w:val="16"/>
          <w:szCs w:val="16"/>
        </w:rPr>
      </w:pPr>
      <w:r w:rsidRPr="00DD7F53">
        <w:rPr>
          <w:rStyle w:val="Odwoanieprzypisudolnego"/>
          <w:rFonts w:cs="Arial"/>
          <w:sz w:val="16"/>
          <w:szCs w:val="16"/>
        </w:rPr>
        <w:footnoteRef/>
      </w:r>
      <w:r w:rsidRPr="00DD7F53">
        <w:rPr>
          <w:rFonts w:cs="Arial"/>
          <w:sz w:val="16"/>
          <w:szCs w:val="16"/>
        </w:rPr>
        <w:t xml:space="preserve"> Ibidem</w:t>
      </w:r>
    </w:p>
  </w:footnote>
  <w:footnote w:id="31">
    <w:p w14:paraId="7015037E" w14:textId="11B0DEC3" w:rsidR="007B1066" w:rsidRPr="00DD7F53" w:rsidRDefault="007B1066" w:rsidP="00DD7F53">
      <w:pPr>
        <w:ind w:firstLine="0"/>
        <w:rPr>
          <w:rFonts w:cs="Arial"/>
          <w:sz w:val="16"/>
          <w:szCs w:val="16"/>
        </w:rPr>
      </w:pPr>
      <w:r w:rsidRPr="00DD7F53">
        <w:rPr>
          <w:rStyle w:val="Odwoanieprzypisudolnego"/>
          <w:rFonts w:cs="Arial"/>
          <w:sz w:val="16"/>
          <w:szCs w:val="16"/>
        </w:rPr>
        <w:footnoteRef/>
      </w:r>
      <w:r w:rsidRPr="00DD7F53">
        <w:rPr>
          <w:rFonts w:cs="Arial"/>
          <w:sz w:val="16"/>
          <w:szCs w:val="16"/>
        </w:rPr>
        <w:t xml:space="preserve"> Komunikat Komisji do Parlamentu Europejskiego, Rady, Europejskiego Komitetu Ekonomiczno-Społecznego </w:t>
      </w:r>
      <w:r w:rsidRPr="00DD7F53">
        <w:rPr>
          <w:rFonts w:cs="Arial"/>
          <w:sz w:val="16"/>
          <w:szCs w:val="16"/>
        </w:rPr>
        <w:br/>
        <w:t>i Komitetu Regionów. Ku gospodarce o obiegu zamkniętym: program „zero odpadów dla Europy”. Bruksela, dnia 25.9.2014 r. COM(2014) 398 final/2</w:t>
      </w:r>
    </w:p>
  </w:footnote>
  <w:footnote w:id="32">
    <w:p w14:paraId="4578A13B" w14:textId="4F505A5E" w:rsidR="007B1066" w:rsidRPr="00DD7F53" w:rsidRDefault="007B1066" w:rsidP="00DD7F53">
      <w:pPr>
        <w:ind w:firstLine="0"/>
        <w:rPr>
          <w:rFonts w:cs="Arial"/>
          <w:sz w:val="16"/>
          <w:szCs w:val="16"/>
        </w:rPr>
      </w:pPr>
      <w:r w:rsidRPr="00DD7F53">
        <w:rPr>
          <w:rStyle w:val="Odwoanieprzypisudolnego"/>
          <w:rFonts w:cs="Arial"/>
          <w:sz w:val="16"/>
          <w:szCs w:val="16"/>
        </w:rPr>
        <w:footnoteRef/>
      </w:r>
      <w:r w:rsidRPr="00DD7F53">
        <w:rPr>
          <w:rFonts w:cs="Arial"/>
          <w:sz w:val="16"/>
          <w:szCs w:val="16"/>
        </w:rPr>
        <w:t xml:space="preserve"> Komunikat Komisji do Parlamentu Europejskiego, Rady, Europejskiego Komitetu Ekonomiczno-Społecznego </w:t>
      </w:r>
      <w:r w:rsidRPr="00DD7F53">
        <w:rPr>
          <w:rFonts w:cs="Arial"/>
          <w:sz w:val="16"/>
          <w:szCs w:val="16"/>
        </w:rPr>
        <w:br/>
        <w:t>i Komitetu Regionów. Zamknięcie obiegu - plan działania UE dotyczący gospodarki o obiegu zamkniętym. Bruksela, dnia 2.12.2015 r.COM(2015) 614 final</w:t>
      </w:r>
    </w:p>
  </w:footnote>
  <w:footnote w:id="33">
    <w:p w14:paraId="38A4D8EC" w14:textId="0BCA328E" w:rsidR="007B1066" w:rsidRPr="00DD7F53" w:rsidRDefault="007B1066" w:rsidP="00DD7F53">
      <w:pPr>
        <w:ind w:firstLine="0"/>
        <w:rPr>
          <w:rFonts w:cs="Arial"/>
          <w:sz w:val="16"/>
          <w:szCs w:val="16"/>
        </w:rPr>
      </w:pPr>
      <w:r w:rsidRPr="00DD7F53">
        <w:rPr>
          <w:rStyle w:val="Odwoanieprzypisudolnego"/>
          <w:rFonts w:cs="Arial"/>
          <w:sz w:val="16"/>
          <w:szCs w:val="16"/>
        </w:rPr>
        <w:footnoteRef/>
      </w:r>
      <w:r w:rsidRPr="00DD7F53">
        <w:rPr>
          <w:rFonts w:cs="Arial"/>
          <w:sz w:val="16"/>
          <w:szCs w:val="16"/>
        </w:rPr>
        <w:t xml:space="preserve"> Przekształcamy nasz świat: Agenda na rzecz zrównoważonego rozwoju 2030. Rezolucja przyjęta przez Zgromadzenie Ogólne w dniu 25 września 2015 r. Organizacja Narodów Zjednoczonych A/RES/70/1; Cel 7 – Zapewnić wszystkim dostęp do stabilnej, zrównoważonej i nowoczesnej energii po przystępnej cenie, Cel 11 – Uczynić miasta i osiedla ludzkie bezpiecznymi, stabilnymi, zrównoważonymi oraz sprzyjającymi włączeniu społecznemu, Cel 12 – Zapewnić wzorce zrównoważonej konsumpcji i produkcji, Cel 13 – Podjąć pilne działania w celu przeciwdziałania zmianom klimatu i ich skutkom, Cel 14 – Chronić oceany, morza i zasoby morskie oraz wykorzystywać je w sposób zrównoważony, Cel 15 – Chronić, przywrócić oraz promować zrównoważone użytkowanie ekosystemów lądowych, zrównoważone gospodarowanie lasami, zwalczać pustynnienie, powstrzymywać i odwracać proces degradacji gleby oraz powstrzymać utratę różnorodności biologicznej</w:t>
      </w:r>
    </w:p>
  </w:footnote>
  <w:footnote w:id="34">
    <w:p w14:paraId="16F7EE87" w14:textId="12DD1F6D" w:rsidR="007B1066" w:rsidRPr="00DD7F53" w:rsidRDefault="007B1066" w:rsidP="00DD7F53">
      <w:pPr>
        <w:ind w:firstLine="0"/>
        <w:rPr>
          <w:rFonts w:cs="Arial"/>
          <w:sz w:val="16"/>
          <w:szCs w:val="16"/>
        </w:rPr>
      </w:pPr>
      <w:r w:rsidRPr="00DD7F53">
        <w:rPr>
          <w:rStyle w:val="Odwoanieprzypisudolnego"/>
          <w:rFonts w:cs="Arial"/>
          <w:sz w:val="16"/>
          <w:szCs w:val="16"/>
        </w:rPr>
        <w:footnoteRef/>
      </w:r>
      <w:r w:rsidRPr="00DD7F53">
        <w:rPr>
          <w:rFonts w:cs="Arial"/>
          <w:sz w:val="16"/>
          <w:szCs w:val="16"/>
        </w:rPr>
        <w:t xml:space="preserve"> Komunikat Komisji do Parlamentu Europejskiego, Rady Europejskiej, Rady, Komitetu Ekonomiczno-Społecznego </w:t>
      </w:r>
      <w:r w:rsidRPr="00DD7F53">
        <w:rPr>
          <w:rFonts w:cs="Arial"/>
          <w:sz w:val="16"/>
          <w:szCs w:val="16"/>
        </w:rPr>
        <w:br/>
        <w:t>i Komitetu Regionów. Czysta planeta dla wszystkich. Europejska długoterminowa wizja strategiczna dobrze prosperującej, nowoczesnej, konkurencyjnej i neutralnej dla klimatu gospodarki. Bruksela, 28.11.2018 r. COM(2018) 773 final</w:t>
      </w:r>
    </w:p>
  </w:footnote>
  <w:footnote w:id="35">
    <w:p w14:paraId="0B50E31A" w14:textId="74C2C2F3" w:rsidR="007B1066" w:rsidRPr="00DD7F53" w:rsidRDefault="007B1066" w:rsidP="00DD7F53">
      <w:pPr>
        <w:ind w:firstLine="0"/>
        <w:rPr>
          <w:rFonts w:cs="Arial"/>
          <w:sz w:val="16"/>
          <w:szCs w:val="16"/>
        </w:rPr>
      </w:pPr>
      <w:r w:rsidRPr="00DD7F53">
        <w:rPr>
          <w:rStyle w:val="Odwoanieprzypisudolnego"/>
          <w:rFonts w:cs="Arial"/>
          <w:sz w:val="16"/>
          <w:szCs w:val="16"/>
        </w:rPr>
        <w:footnoteRef/>
      </w:r>
      <w:r w:rsidRPr="00DD7F53">
        <w:rPr>
          <w:rFonts w:cs="Arial"/>
          <w:sz w:val="16"/>
          <w:szCs w:val="16"/>
        </w:rPr>
        <w:t xml:space="preserve"> </w:t>
      </w:r>
      <w:bookmarkStart w:id="27" w:name="_Hlk72607165"/>
      <w:r w:rsidRPr="00DD7F53">
        <w:rPr>
          <w:rFonts w:cs="Arial"/>
          <w:sz w:val="16"/>
          <w:szCs w:val="16"/>
        </w:rPr>
        <w:t xml:space="preserve">Komunikat Komisji do Parlamentu Europejskiego, Rady Europejskiej, Rady, Komitetu Ekonomiczno-Społecznego </w:t>
      </w:r>
      <w:r w:rsidRPr="00DD7F53">
        <w:rPr>
          <w:rFonts w:cs="Arial"/>
          <w:sz w:val="16"/>
          <w:szCs w:val="16"/>
        </w:rPr>
        <w:br/>
        <w:t>i Komitetu Regionów</w:t>
      </w:r>
      <w:bookmarkEnd w:id="27"/>
      <w:r w:rsidRPr="00DD7F53">
        <w:rPr>
          <w:rFonts w:cs="Arial"/>
          <w:sz w:val="16"/>
          <w:szCs w:val="16"/>
        </w:rPr>
        <w:t>. Europejski Zielony Ład. Bruksela, dnia 11.12.2019 r.COM(2019) 640 final</w:t>
      </w:r>
    </w:p>
  </w:footnote>
  <w:footnote w:id="36">
    <w:p w14:paraId="2F52E3F1" w14:textId="05D655BA" w:rsidR="007B1066" w:rsidRPr="00DD7F53" w:rsidRDefault="007B1066" w:rsidP="00DD7F53">
      <w:pPr>
        <w:ind w:firstLine="0"/>
        <w:rPr>
          <w:rFonts w:cs="Arial"/>
          <w:sz w:val="16"/>
          <w:szCs w:val="16"/>
        </w:rPr>
      </w:pPr>
      <w:r w:rsidRPr="00DD7F53">
        <w:rPr>
          <w:rStyle w:val="Odwoanieprzypisudolnego"/>
          <w:rFonts w:cs="Arial"/>
          <w:sz w:val="16"/>
          <w:szCs w:val="16"/>
        </w:rPr>
        <w:footnoteRef/>
      </w:r>
      <w:r w:rsidRPr="00DD7F53">
        <w:rPr>
          <w:rFonts w:cs="Arial"/>
          <w:sz w:val="16"/>
          <w:szCs w:val="16"/>
        </w:rPr>
        <w:t xml:space="preserve"> Komunikat Komisji do Parlamentu Europejskiego, Rady Europejskiej, Rady, Komitetu Ekonomiczno-Społecznego </w:t>
      </w:r>
      <w:r w:rsidRPr="00DD7F53">
        <w:rPr>
          <w:rFonts w:cs="Arial"/>
          <w:sz w:val="16"/>
          <w:szCs w:val="16"/>
        </w:rPr>
        <w:br/>
        <w:t>i Komitetu Regionów. Nowy plan działania UE dotyczący gospodarki o obiegu zamkniętym na rzecz czystszej i bardziej konkurencyjnej Europy. Bruksela, dnia 11.3.2020 r. COM(2020) 98 final</w:t>
      </w:r>
    </w:p>
  </w:footnote>
  <w:footnote w:id="37">
    <w:p w14:paraId="31929DE6" w14:textId="3D11F1BD" w:rsidR="007B1066" w:rsidRPr="00DD7F53" w:rsidRDefault="007B1066" w:rsidP="00DD7F53">
      <w:pPr>
        <w:ind w:firstLine="0"/>
        <w:rPr>
          <w:rFonts w:cs="Arial"/>
          <w:sz w:val="16"/>
          <w:szCs w:val="16"/>
        </w:rPr>
      </w:pPr>
      <w:r w:rsidRPr="00DD7F53">
        <w:rPr>
          <w:rStyle w:val="Odwoanieprzypisudolnego"/>
          <w:rFonts w:cs="Arial"/>
          <w:sz w:val="16"/>
          <w:szCs w:val="16"/>
        </w:rPr>
        <w:footnoteRef/>
      </w:r>
      <w:r w:rsidRPr="00DD7F53">
        <w:rPr>
          <w:rFonts w:cs="Arial"/>
          <w:sz w:val="16"/>
          <w:szCs w:val="16"/>
        </w:rPr>
        <w:t xml:space="preserve"> Komunikat Komisji Do Parlamentu Europejskiego, Rady, Europejskiego Komitetu Ekonomiczno-Społecznego i Komitetu Regionów, Strategia „od pola do stołu” na rzecz sprawiedliwego, zdrowego i przyjaznego dla środowiska systemu żywnościowego, Bruksela, dnia 20.05.2020 r. COM (2020) 381 final</w:t>
      </w:r>
    </w:p>
  </w:footnote>
  <w:footnote w:id="38">
    <w:p w14:paraId="1523EDFD" w14:textId="137B5963" w:rsidR="007B1066" w:rsidRPr="00DD7F53" w:rsidRDefault="007B1066" w:rsidP="00DD7F53">
      <w:pPr>
        <w:ind w:firstLine="0"/>
        <w:rPr>
          <w:rFonts w:cs="Arial"/>
          <w:sz w:val="16"/>
          <w:szCs w:val="16"/>
        </w:rPr>
      </w:pPr>
      <w:r w:rsidRPr="00DD7F53">
        <w:rPr>
          <w:rStyle w:val="Odwoanieprzypisudolnego"/>
          <w:rFonts w:cs="Arial"/>
          <w:sz w:val="16"/>
          <w:szCs w:val="16"/>
        </w:rPr>
        <w:footnoteRef/>
      </w:r>
      <w:r w:rsidRPr="00DD7F53">
        <w:rPr>
          <w:rFonts w:cs="Arial"/>
          <w:sz w:val="16"/>
          <w:szCs w:val="16"/>
        </w:rPr>
        <w:t xml:space="preserve"> Komunikat Komisji z dnia 20 maja 2020 r. pt. „Unijna strategia na rzecz bioróżnorodności 2030: Przywracanie przyrody do naszego życia”, </w:t>
      </w:r>
      <w:hyperlink r:id="rId3" w:history="1">
        <w:r w:rsidRPr="00DD7F53">
          <w:rPr>
            <w:rStyle w:val="Hipercze"/>
            <w:rFonts w:cs="Arial"/>
            <w:color w:val="auto"/>
            <w:sz w:val="16"/>
            <w:szCs w:val="16"/>
            <w:u w:val="none"/>
          </w:rPr>
          <w:t>COM (2020)0380</w:t>
        </w:r>
      </w:hyperlink>
    </w:p>
  </w:footnote>
  <w:footnote w:id="39">
    <w:p w14:paraId="3FB8EC9B" w14:textId="6748F457" w:rsidR="007B1066" w:rsidRPr="00DD7F53" w:rsidRDefault="007B1066" w:rsidP="00DD7F53">
      <w:pPr>
        <w:ind w:firstLine="0"/>
        <w:rPr>
          <w:rFonts w:cs="Arial"/>
          <w:sz w:val="16"/>
          <w:szCs w:val="16"/>
        </w:rPr>
      </w:pPr>
      <w:r w:rsidRPr="00DD7F53">
        <w:rPr>
          <w:rStyle w:val="Odwoanieprzypisudolnego"/>
          <w:rFonts w:cs="Arial"/>
          <w:sz w:val="16"/>
          <w:szCs w:val="16"/>
        </w:rPr>
        <w:footnoteRef/>
      </w:r>
      <w:r w:rsidRPr="00DD7F53">
        <w:rPr>
          <w:rFonts w:cs="Arial"/>
          <w:sz w:val="16"/>
          <w:szCs w:val="16"/>
        </w:rPr>
        <w:t xml:space="preserve"> Komunikat Komisji do Parlamentu Europejskiego, Rady Europejskiej, Rady, Komitetu Ekonomiczno-Społecznego </w:t>
      </w:r>
      <w:r w:rsidRPr="00DD7F53">
        <w:rPr>
          <w:rFonts w:cs="Arial"/>
          <w:sz w:val="16"/>
          <w:szCs w:val="16"/>
        </w:rPr>
        <w:br/>
        <w:t>i Komitetu Regionów.</w:t>
      </w:r>
      <w:r w:rsidRPr="00DD7F53">
        <w:rPr>
          <w:rFonts w:eastAsia="MinionPro-Regular" w:cs="Arial"/>
          <w:b/>
          <w:bCs/>
          <w:sz w:val="16"/>
          <w:szCs w:val="16"/>
        </w:rPr>
        <w:t xml:space="preserve"> </w:t>
      </w:r>
      <w:r w:rsidRPr="00DD7F53">
        <w:rPr>
          <w:rFonts w:eastAsia="MinionPro-Regular" w:cs="Arial"/>
          <w:sz w:val="16"/>
          <w:szCs w:val="16"/>
        </w:rPr>
        <w:t>Plan działania na rzecz rozwoju produkcji ekologicznej</w:t>
      </w:r>
      <w:r w:rsidRPr="00DD7F53">
        <w:rPr>
          <w:rFonts w:eastAsia="MinionPro-Regular" w:cs="Arial"/>
          <w:b/>
          <w:bCs/>
          <w:sz w:val="16"/>
          <w:szCs w:val="16"/>
        </w:rPr>
        <w:t>,</w:t>
      </w:r>
      <w:r w:rsidRPr="00DD7F53">
        <w:rPr>
          <w:rFonts w:cs="Arial"/>
          <w:sz w:val="16"/>
          <w:szCs w:val="16"/>
        </w:rPr>
        <w:t xml:space="preserve"> COM (2021) 141 final</w:t>
      </w:r>
    </w:p>
  </w:footnote>
  <w:footnote w:id="40">
    <w:p w14:paraId="5564B45D" w14:textId="74D29441" w:rsidR="007B1066" w:rsidRPr="00DD7F53" w:rsidRDefault="007B1066" w:rsidP="00DD7F53">
      <w:pPr>
        <w:ind w:firstLine="0"/>
        <w:rPr>
          <w:rFonts w:cs="Arial"/>
          <w:sz w:val="16"/>
          <w:szCs w:val="16"/>
        </w:rPr>
      </w:pPr>
      <w:r w:rsidRPr="00DD7F53">
        <w:rPr>
          <w:rStyle w:val="Odwoanieprzypisudolnego"/>
          <w:rFonts w:cs="Arial"/>
          <w:sz w:val="16"/>
          <w:szCs w:val="16"/>
        </w:rPr>
        <w:footnoteRef/>
      </w:r>
      <w:r w:rsidRPr="00DD7F53">
        <w:rPr>
          <w:rFonts w:cs="Arial"/>
          <w:sz w:val="16"/>
          <w:szCs w:val="16"/>
        </w:rPr>
        <w:t xml:space="preserve"> Komunikat Komisji do Parlamentu Europejskiego, Rady Europejskiej, Rady, Komitetu Ekonomiczno-Społecznego </w:t>
      </w:r>
      <w:r w:rsidRPr="00DD7F53">
        <w:rPr>
          <w:rFonts w:cs="Arial"/>
          <w:sz w:val="16"/>
          <w:szCs w:val="16"/>
        </w:rPr>
        <w:br/>
        <w:t>i Komitetu Regionów.</w:t>
      </w:r>
      <w:r w:rsidRPr="00DD7F53">
        <w:rPr>
          <w:rFonts w:eastAsia="MinionPro-Regular" w:cs="Arial"/>
          <w:b/>
          <w:bCs/>
          <w:sz w:val="16"/>
          <w:szCs w:val="16"/>
        </w:rPr>
        <w:t xml:space="preserve"> </w:t>
      </w:r>
      <w:r w:rsidRPr="00DD7F53">
        <w:rPr>
          <w:rFonts w:eastAsia="MinionPro-Regular" w:cs="Arial"/>
          <w:sz w:val="16"/>
          <w:szCs w:val="16"/>
        </w:rPr>
        <w:t xml:space="preserve">Strategia UE na rzecz ograniczenia emisji metanu, </w:t>
      </w:r>
      <w:r w:rsidRPr="00DD7F53">
        <w:rPr>
          <w:rFonts w:cs="Arial"/>
          <w:sz w:val="16"/>
          <w:szCs w:val="16"/>
        </w:rPr>
        <w:t>COM (2020) 663 final</w:t>
      </w:r>
    </w:p>
  </w:footnote>
  <w:footnote w:id="41">
    <w:p w14:paraId="2E82476A" w14:textId="3BC6C6BE" w:rsidR="007B1066" w:rsidRPr="00DD7F53" w:rsidRDefault="007B1066" w:rsidP="00DD7F53">
      <w:pPr>
        <w:ind w:firstLine="0"/>
        <w:rPr>
          <w:rFonts w:cs="Arial"/>
          <w:sz w:val="16"/>
          <w:szCs w:val="16"/>
        </w:rPr>
      </w:pPr>
      <w:r w:rsidRPr="00DD7F53">
        <w:rPr>
          <w:rStyle w:val="Odwoanieprzypisudolnego"/>
          <w:rFonts w:cs="Arial"/>
          <w:sz w:val="16"/>
          <w:szCs w:val="16"/>
        </w:rPr>
        <w:footnoteRef/>
      </w:r>
      <w:r w:rsidRPr="00DD7F53">
        <w:rPr>
          <w:rFonts w:cs="Arial"/>
          <w:sz w:val="16"/>
          <w:szCs w:val="16"/>
        </w:rPr>
        <w:t xml:space="preserve"> Komunikat Komisji Do Parlamentu Europejskiego, Rady, Europejskiego Komitetu Ekonomiczno-Społecznego I Komitetu Regionów. Strategia w zakresie wodoru na rzecz Europy neutralnej dla klimatu, COM (2020) 301 final</w:t>
      </w:r>
    </w:p>
  </w:footnote>
  <w:footnote w:id="42">
    <w:p w14:paraId="2852F92A" w14:textId="4E69E211" w:rsidR="007B1066" w:rsidRPr="00DD7F53" w:rsidRDefault="007B1066" w:rsidP="00DD7F53">
      <w:pPr>
        <w:ind w:firstLine="0"/>
        <w:rPr>
          <w:rFonts w:cs="Arial"/>
          <w:sz w:val="16"/>
          <w:szCs w:val="16"/>
        </w:rPr>
      </w:pPr>
      <w:r w:rsidRPr="00DD7F53">
        <w:rPr>
          <w:rStyle w:val="Odwoanieprzypisudolnego"/>
          <w:rFonts w:cs="Arial"/>
          <w:sz w:val="16"/>
          <w:szCs w:val="16"/>
        </w:rPr>
        <w:footnoteRef/>
      </w:r>
      <w:r w:rsidRPr="00DD7F53">
        <w:rPr>
          <w:rFonts w:cs="Arial"/>
          <w:sz w:val="16"/>
          <w:szCs w:val="16"/>
        </w:rPr>
        <w:t xml:space="preserve"> Strategia na rzecz Odpowiedzialnego Rozwoju do roku 2020 (z perspektywą do 2030 r.), Warszawa 2017</w:t>
      </w:r>
    </w:p>
  </w:footnote>
  <w:footnote w:id="43">
    <w:p w14:paraId="1EC59EDC" w14:textId="147DE2DA" w:rsidR="007B1066" w:rsidRPr="00DD7F53" w:rsidRDefault="007B1066" w:rsidP="00DD7F53">
      <w:pPr>
        <w:ind w:firstLine="0"/>
        <w:rPr>
          <w:rFonts w:cs="Arial"/>
          <w:sz w:val="16"/>
          <w:szCs w:val="16"/>
        </w:rPr>
      </w:pPr>
      <w:r w:rsidRPr="00DD7F53">
        <w:rPr>
          <w:rStyle w:val="Odwoanieprzypisudolnego"/>
          <w:rFonts w:cs="Arial"/>
          <w:sz w:val="16"/>
          <w:szCs w:val="16"/>
        </w:rPr>
        <w:footnoteRef/>
      </w:r>
      <w:r w:rsidRPr="00DD7F53">
        <w:rPr>
          <w:rFonts w:cs="Arial"/>
          <w:sz w:val="16"/>
          <w:szCs w:val="16"/>
        </w:rPr>
        <w:t xml:space="preserve"> Uchwała nr 102 Rady Ministrów z dnia 17 września 2019 r. w sprawie przyjęcia "Krajowej Strategii Rozwoju Regionalnego 2030" [M.P. 2019 poz. 1060]</w:t>
      </w:r>
    </w:p>
  </w:footnote>
  <w:footnote w:id="44">
    <w:p w14:paraId="1F747BFC" w14:textId="1E49E4C6" w:rsidR="007B1066" w:rsidRPr="00DD7F53" w:rsidRDefault="007B1066" w:rsidP="00DD7F53">
      <w:pPr>
        <w:ind w:firstLine="0"/>
        <w:rPr>
          <w:rFonts w:cs="Arial"/>
          <w:sz w:val="16"/>
          <w:szCs w:val="16"/>
        </w:rPr>
      </w:pPr>
      <w:r w:rsidRPr="00DD7F53">
        <w:rPr>
          <w:rStyle w:val="Odwoanieprzypisudolnego"/>
          <w:rFonts w:cs="Arial"/>
          <w:sz w:val="16"/>
          <w:szCs w:val="16"/>
        </w:rPr>
        <w:footnoteRef/>
      </w:r>
      <w:r w:rsidRPr="00DD7F53">
        <w:rPr>
          <w:rFonts w:cs="Arial"/>
          <w:sz w:val="16"/>
          <w:szCs w:val="16"/>
        </w:rPr>
        <w:t xml:space="preserve"> Mapa Drogowa transformacji w kierunku gospodarki o obiegu zamkniętym. Załącznik do uchwały nr Rady Ministrów z dnia 3 września 2019 r.</w:t>
      </w:r>
    </w:p>
  </w:footnote>
  <w:footnote w:id="45">
    <w:p w14:paraId="219430B3" w14:textId="2973C906" w:rsidR="007B1066" w:rsidRPr="00DD7F53" w:rsidRDefault="007B1066" w:rsidP="00DD7F53">
      <w:pPr>
        <w:ind w:firstLine="0"/>
        <w:rPr>
          <w:rFonts w:cs="Arial"/>
          <w:sz w:val="16"/>
          <w:szCs w:val="16"/>
        </w:rPr>
      </w:pPr>
      <w:r w:rsidRPr="00DD7F53">
        <w:rPr>
          <w:rStyle w:val="Odwoanieprzypisudolnego"/>
          <w:rFonts w:cs="Arial"/>
          <w:sz w:val="16"/>
          <w:szCs w:val="16"/>
        </w:rPr>
        <w:footnoteRef/>
      </w:r>
      <w:r w:rsidRPr="00DD7F53">
        <w:rPr>
          <w:rFonts w:cs="Arial"/>
          <w:sz w:val="16"/>
          <w:szCs w:val="16"/>
        </w:rPr>
        <w:t xml:space="preserve"> Krajowa Inteligentna Specjalizacja (KIS)- aktualizacja 2020 r. Ministerstwo Rozwoju. Projekt z dnia 29.09.2020 r. Załącznik nr 2 do Strategii produktywności 2030</w:t>
      </w:r>
    </w:p>
  </w:footnote>
  <w:footnote w:id="46">
    <w:p w14:paraId="10670249" w14:textId="7672D2A7" w:rsidR="007B1066" w:rsidRPr="00DD7F53" w:rsidRDefault="007B1066" w:rsidP="00DD7F53">
      <w:pPr>
        <w:ind w:firstLine="0"/>
        <w:jc w:val="left"/>
        <w:rPr>
          <w:rFonts w:cs="Arial"/>
          <w:sz w:val="16"/>
          <w:szCs w:val="16"/>
        </w:rPr>
      </w:pPr>
      <w:r w:rsidRPr="00DD7F53">
        <w:rPr>
          <w:rStyle w:val="Odwoanieprzypisudolnego"/>
          <w:rFonts w:cs="Arial"/>
          <w:sz w:val="16"/>
          <w:szCs w:val="16"/>
        </w:rPr>
        <w:footnoteRef/>
      </w:r>
      <w:r w:rsidRPr="00DD7F53">
        <w:rPr>
          <w:rFonts w:cs="Arial"/>
          <w:sz w:val="16"/>
          <w:szCs w:val="16"/>
        </w:rPr>
        <w:t xml:space="preserve"> https://archiwum.bip.kprm.gov.pl/kpr/form/r3762474,Projekt-uchwaly-Rady-Ministrow-w-sprawie-Strategii-produktywnosci-2030.html; dostęp 20.05.2021 r.</w:t>
      </w:r>
    </w:p>
  </w:footnote>
  <w:footnote w:id="47">
    <w:p w14:paraId="7E85CD36" w14:textId="4B9A9448" w:rsidR="007B1066" w:rsidRPr="00DD7F53" w:rsidRDefault="007B1066" w:rsidP="00DD7F53">
      <w:pPr>
        <w:ind w:firstLine="0"/>
        <w:rPr>
          <w:rFonts w:cs="Arial"/>
          <w:sz w:val="16"/>
          <w:szCs w:val="16"/>
        </w:rPr>
      </w:pPr>
      <w:r w:rsidRPr="00DD7F53">
        <w:rPr>
          <w:rStyle w:val="Odwoanieprzypisudolnego"/>
          <w:rFonts w:cs="Arial"/>
          <w:sz w:val="16"/>
          <w:szCs w:val="16"/>
        </w:rPr>
        <w:footnoteRef/>
      </w:r>
      <w:r w:rsidRPr="00DD7F53">
        <w:rPr>
          <w:rFonts w:cs="Arial"/>
          <w:sz w:val="16"/>
          <w:szCs w:val="16"/>
        </w:rPr>
        <w:t xml:space="preserve"> Uchwała nr 88 Rady Ministrów z dnia 1 lipca 2016 r. w sprawie Krajowego planu gospodarki odpadami 2022 </w:t>
      </w:r>
      <w:r w:rsidRPr="00DD7F53">
        <w:rPr>
          <w:rFonts w:cs="Arial"/>
          <w:sz w:val="16"/>
          <w:szCs w:val="16"/>
        </w:rPr>
        <w:br/>
        <w:t>[M.P. 2016 poz. 784]</w:t>
      </w:r>
    </w:p>
  </w:footnote>
  <w:footnote w:id="48">
    <w:p w14:paraId="2F50265A" w14:textId="62A839D5" w:rsidR="007B1066" w:rsidRPr="00DD7F53" w:rsidRDefault="007B1066" w:rsidP="00DD7F53">
      <w:pPr>
        <w:ind w:firstLine="0"/>
        <w:rPr>
          <w:rFonts w:cs="Arial"/>
          <w:sz w:val="16"/>
          <w:szCs w:val="16"/>
        </w:rPr>
      </w:pPr>
      <w:r w:rsidRPr="00DD7F53">
        <w:rPr>
          <w:rStyle w:val="Odwoanieprzypisudolnego"/>
          <w:rFonts w:cs="Arial"/>
          <w:sz w:val="16"/>
          <w:szCs w:val="16"/>
        </w:rPr>
        <w:footnoteRef/>
      </w:r>
      <w:r w:rsidRPr="00DD7F53">
        <w:rPr>
          <w:rFonts w:cs="Arial"/>
          <w:sz w:val="16"/>
          <w:szCs w:val="16"/>
        </w:rPr>
        <w:t xml:space="preserve"> Polityka Ekologiczna Państwa 2030. Ministerstwo Środowiska, Warszawa 2019</w:t>
      </w:r>
    </w:p>
  </w:footnote>
  <w:footnote w:id="49">
    <w:p w14:paraId="31CA6DFB" w14:textId="63EFE121" w:rsidR="007B1066" w:rsidRPr="00DD7F53" w:rsidRDefault="007B1066" w:rsidP="00DD7F53">
      <w:pPr>
        <w:ind w:firstLine="0"/>
        <w:rPr>
          <w:rFonts w:cs="Arial"/>
          <w:sz w:val="16"/>
          <w:szCs w:val="16"/>
        </w:rPr>
      </w:pPr>
      <w:r w:rsidRPr="00DD7F53">
        <w:rPr>
          <w:rStyle w:val="Odwoanieprzypisudolnego"/>
          <w:rFonts w:cs="Arial"/>
          <w:sz w:val="16"/>
          <w:szCs w:val="16"/>
        </w:rPr>
        <w:footnoteRef/>
      </w:r>
      <w:r w:rsidRPr="00DD7F53">
        <w:rPr>
          <w:rFonts w:cs="Arial"/>
          <w:sz w:val="16"/>
          <w:szCs w:val="16"/>
        </w:rPr>
        <w:t xml:space="preserve"> Polityka Surowcowa Państwa Projekt. Ministerstwo Klimatu i Środowiska, Warszawa 2021</w:t>
      </w:r>
    </w:p>
  </w:footnote>
  <w:footnote w:id="50">
    <w:p w14:paraId="09E6ABF8" w14:textId="42CE9544" w:rsidR="007B1066" w:rsidRPr="00DD7F53" w:rsidRDefault="007B1066" w:rsidP="00DD7F53">
      <w:pPr>
        <w:ind w:firstLine="0"/>
        <w:rPr>
          <w:rFonts w:cs="Arial"/>
          <w:sz w:val="16"/>
          <w:szCs w:val="16"/>
        </w:rPr>
      </w:pPr>
      <w:r w:rsidRPr="00DD7F53">
        <w:rPr>
          <w:rStyle w:val="Odwoanieprzypisudolnego"/>
          <w:rFonts w:cs="Arial"/>
          <w:sz w:val="16"/>
          <w:szCs w:val="16"/>
        </w:rPr>
        <w:footnoteRef/>
      </w:r>
      <w:r w:rsidRPr="00DD7F53">
        <w:rPr>
          <w:rFonts w:cs="Arial"/>
          <w:sz w:val="16"/>
          <w:szCs w:val="16"/>
        </w:rPr>
        <w:t xml:space="preserve"> Polityka energetyczna Polski do 2040 r., Ministerstwo Klimatu i Środowiska. Załącznik do uchwały nr 22/2021 Rady Ministrów z dnia 2 lutego 2021 r., Warszawa</w:t>
      </w:r>
    </w:p>
  </w:footnote>
  <w:footnote w:id="51">
    <w:p w14:paraId="25647F06" w14:textId="597C0F04" w:rsidR="007B1066" w:rsidRPr="00DD7F53" w:rsidRDefault="007B1066" w:rsidP="00DD7F53">
      <w:pPr>
        <w:ind w:firstLine="0"/>
        <w:rPr>
          <w:rFonts w:cs="Arial"/>
          <w:sz w:val="16"/>
          <w:szCs w:val="16"/>
        </w:rPr>
      </w:pPr>
      <w:r w:rsidRPr="00DD7F53">
        <w:rPr>
          <w:rStyle w:val="Odwoanieprzypisudolnego"/>
          <w:rFonts w:cs="Arial"/>
          <w:sz w:val="16"/>
          <w:szCs w:val="16"/>
        </w:rPr>
        <w:footnoteRef/>
      </w:r>
      <w:r w:rsidRPr="00DD7F53">
        <w:rPr>
          <w:rFonts w:cs="Arial"/>
          <w:sz w:val="16"/>
          <w:szCs w:val="16"/>
        </w:rPr>
        <w:t xml:space="preserve"> Krajowy plan na rzecz energii i klimatu na lata 2021-2030. Założenia i cele oraz polityki i działania. Wersja 4.1 z dnia 18.12.2019 r. Ministerstwo Aktywów Państwowych</w:t>
      </w:r>
    </w:p>
  </w:footnote>
  <w:footnote w:id="52">
    <w:p w14:paraId="015CC794" w14:textId="6DABCC82" w:rsidR="007B1066" w:rsidRPr="00DD7F53" w:rsidRDefault="007B1066" w:rsidP="00DD7F53">
      <w:pPr>
        <w:ind w:firstLine="0"/>
        <w:rPr>
          <w:rFonts w:cs="Arial"/>
          <w:sz w:val="16"/>
          <w:szCs w:val="16"/>
        </w:rPr>
      </w:pPr>
      <w:r w:rsidRPr="00DD7F53">
        <w:rPr>
          <w:rStyle w:val="Odwoanieprzypisudolnego"/>
          <w:rFonts w:cs="Arial"/>
          <w:sz w:val="16"/>
          <w:szCs w:val="16"/>
        </w:rPr>
        <w:footnoteRef/>
      </w:r>
      <w:r w:rsidRPr="00DD7F53">
        <w:rPr>
          <w:rFonts w:cs="Arial"/>
          <w:sz w:val="16"/>
          <w:szCs w:val="16"/>
        </w:rPr>
        <w:t xml:space="preserve"> </w:t>
      </w:r>
      <w:r w:rsidRPr="00DD7F53">
        <w:rPr>
          <w:rFonts w:cs="Arial"/>
          <w:sz w:val="16"/>
          <w:szCs w:val="16"/>
          <w:lang w:eastAsia="pl-PL"/>
        </w:rPr>
        <w:t>Projekt polskiej strategii wodorowej do roku 2030 z perspektywą do 2040 roku, Ministerstwo Klimatu i Środowiska, Warszaw, 2021</w:t>
      </w:r>
    </w:p>
  </w:footnote>
  <w:footnote w:id="53">
    <w:p w14:paraId="18732D84" w14:textId="744F5D5C" w:rsidR="007B1066" w:rsidRPr="00DD7F53" w:rsidRDefault="007B1066" w:rsidP="00DD7F53">
      <w:pPr>
        <w:ind w:firstLine="0"/>
        <w:rPr>
          <w:rFonts w:cs="Arial"/>
          <w:sz w:val="16"/>
          <w:szCs w:val="16"/>
        </w:rPr>
      </w:pPr>
      <w:r w:rsidRPr="00DD7F53">
        <w:rPr>
          <w:rStyle w:val="Odwoanieprzypisudolnego"/>
          <w:rFonts w:cs="Arial"/>
          <w:sz w:val="16"/>
          <w:szCs w:val="16"/>
        </w:rPr>
        <w:footnoteRef/>
      </w:r>
      <w:r w:rsidRPr="00DD7F53">
        <w:rPr>
          <w:rFonts w:cs="Arial"/>
          <w:sz w:val="16"/>
          <w:szCs w:val="16"/>
        </w:rPr>
        <w:t xml:space="preserve"> Strategia rozwoju województwa wielkopolskiego do 2030 roku. Zarząd Województwa Wielkopolskiego. Poznań 2020</w:t>
      </w:r>
    </w:p>
  </w:footnote>
  <w:footnote w:id="54">
    <w:p w14:paraId="6AED86DE" w14:textId="5D5D9E4E" w:rsidR="007B1066" w:rsidRPr="00DD7F53" w:rsidRDefault="007B1066" w:rsidP="00DD7F53">
      <w:pPr>
        <w:ind w:firstLine="0"/>
        <w:rPr>
          <w:rFonts w:cs="Arial"/>
          <w:sz w:val="16"/>
          <w:szCs w:val="16"/>
        </w:rPr>
      </w:pPr>
      <w:r w:rsidRPr="00DD7F53">
        <w:rPr>
          <w:rStyle w:val="Odwoanieprzypisudolnego"/>
          <w:rFonts w:cs="Arial"/>
          <w:sz w:val="16"/>
          <w:szCs w:val="16"/>
        </w:rPr>
        <w:footnoteRef/>
      </w:r>
      <w:r w:rsidRPr="00DD7F53">
        <w:rPr>
          <w:rFonts w:cs="Arial"/>
          <w:sz w:val="16"/>
          <w:szCs w:val="16"/>
        </w:rPr>
        <w:t xml:space="preserve"> Aktualizacja Programu usuwania azbestu i wyrobów zawierających azbest dla województwa wielkopolskiego. Załącznik do uchwały Nr XXXVII/889/17 Sejmiku Województwa Wielkopolskiego z dnia 23 października 2017 roku, Poznań 2017</w:t>
      </w:r>
    </w:p>
  </w:footnote>
  <w:footnote w:id="55">
    <w:p w14:paraId="60554669" w14:textId="77D28510" w:rsidR="007B1066" w:rsidRPr="00DD7F53" w:rsidRDefault="007B1066" w:rsidP="00DD7F53">
      <w:pPr>
        <w:ind w:firstLine="0"/>
        <w:rPr>
          <w:rFonts w:cs="Arial"/>
          <w:sz w:val="16"/>
          <w:szCs w:val="16"/>
        </w:rPr>
      </w:pPr>
      <w:r w:rsidRPr="00DD7F53">
        <w:rPr>
          <w:rStyle w:val="Odwoanieprzypisudolnego"/>
          <w:rFonts w:cs="Arial"/>
          <w:sz w:val="16"/>
          <w:szCs w:val="16"/>
        </w:rPr>
        <w:footnoteRef/>
      </w:r>
      <w:r w:rsidRPr="00DD7F53">
        <w:rPr>
          <w:rFonts w:cs="Arial"/>
          <w:sz w:val="16"/>
          <w:szCs w:val="16"/>
        </w:rPr>
        <w:t xml:space="preserve"> Plan zagospodarowania przestrzennego województwa wielkopolskiego. Wielkopolska 2020+. Urząd Marszałkowski Województwa Wielkopolskiego w Poznaniu. Załącznik nr 1.0 do Uchwały nr V/70/19 Sejmiku Województwa Wielkopolskiego z dnia 25 marca 2019 r., oprac. Wielkopolskie Biuro Planowania Przestrzennego w Poznaniu, Poznań 2019</w:t>
      </w:r>
    </w:p>
  </w:footnote>
  <w:footnote w:id="56">
    <w:p w14:paraId="4D021DA2" w14:textId="72DD9670" w:rsidR="007B1066" w:rsidRPr="00DD7F53" w:rsidRDefault="007B1066" w:rsidP="00DD7F53">
      <w:pPr>
        <w:ind w:firstLine="0"/>
        <w:rPr>
          <w:rFonts w:cs="Arial"/>
          <w:sz w:val="16"/>
          <w:szCs w:val="16"/>
        </w:rPr>
      </w:pPr>
      <w:r w:rsidRPr="00DD7F53">
        <w:rPr>
          <w:rStyle w:val="Odwoanieprzypisudolnego"/>
          <w:rFonts w:cs="Arial"/>
          <w:sz w:val="16"/>
          <w:szCs w:val="16"/>
        </w:rPr>
        <w:footnoteRef/>
      </w:r>
      <w:r w:rsidRPr="00DD7F53">
        <w:rPr>
          <w:rFonts w:cs="Arial"/>
          <w:sz w:val="16"/>
          <w:szCs w:val="16"/>
        </w:rPr>
        <w:t xml:space="preserve"> Uchwała nr XXII/405/20 Sejmiku Województwa Wielkopolskiego z dnia 28 września 2020 r. w sprawie uchwalenia Planu gospodarki odpadami dla województwa wielkopolskiego na lata 2019-2025 wraz z planem inwestycyjnym</w:t>
      </w:r>
    </w:p>
  </w:footnote>
  <w:footnote w:id="57">
    <w:p w14:paraId="55EB3D00" w14:textId="5E2AF2C2" w:rsidR="007B1066" w:rsidRPr="00DD7F53" w:rsidRDefault="007B1066" w:rsidP="00DD7F53">
      <w:pPr>
        <w:ind w:firstLine="0"/>
        <w:rPr>
          <w:rFonts w:cs="Arial"/>
          <w:sz w:val="16"/>
          <w:szCs w:val="16"/>
        </w:rPr>
      </w:pPr>
      <w:r w:rsidRPr="00DD7F53">
        <w:rPr>
          <w:rStyle w:val="Odwoanieprzypisudolnego"/>
          <w:rFonts w:cs="Arial"/>
          <w:sz w:val="16"/>
          <w:szCs w:val="16"/>
        </w:rPr>
        <w:footnoteRef/>
      </w:r>
      <w:r w:rsidRPr="00DD7F53">
        <w:rPr>
          <w:rFonts w:cs="Arial"/>
          <w:sz w:val="16"/>
          <w:szCs w:val="16"/>
        </w:rPr>
        <w:t xml:space="preserve"> Regionalna Strategia Innowacji dla Wielkopolski 2030 (RIS). Urząd Marszałkowski Województwa Wielkopolskiego w Poznaniu, Poznań 2020</w:t>
      </w:r>
    </w:p>
  </w:footnote>
  <w:footnote w:id="58">
    <w:p w14:paraId="2DF154E7" w14:textId="7CBF2AEB" w:rsidR="007B1066" w:rsidRPr="00DD7F53" w:rsidRDefault="007B1066" w:rsidP="00DD7F53">
      <w:pPr>
        <w:ind w:firstLine="0"/>
        <w:rPr>
          <w:rFonts w:cs="Arial"/>
          <w:sz w:val="16"/>
          <w:szCs w:val="16"/>
        </w:rPr>
      </w:pPr>
      <w:r w:rsidRPr="00DD7F53">
        <w:rPr>
          <w:rStyle w:val="Odwoanieprzypisudolnego"/>
          <w:rFonts w:cs="Arial"/>
          <w:sz w:val="16"/>
          <w:szCs w:val="16"/>
        </w:rPr>
        <w:footnoteRef/>
      </w:r>
      <w:r w:rsidRPr="00DD7F53">
        <w:rPr>
          <w:rFonts w:cs="Arial"/>
          <w:sz w:val="16"/>
          <w:szCs w:val="16"/>
        </w:rPr>
        <w:t xml:space="preserve"> Krajowa Inteligentna Specjalizacja (KIS) - aktualizacja 2020 r. Ministerstwo Rozwoju. Projekt z dnia 29.09. 2020 r. Załącznik nr 2 do Strategii produktywności 2030</w:t>
      </w:r>
    </w:p>
  </w:footnote>
  <w:footnote w:id="59">
    <w:p w14:paraId="49DE9F9F" w14:textId="57E8D2F6" w:rsidR="007B1066" w:rsidRPr="00DD7F53" w:rsidRDefault="007B1066" w:rsidP="00DD7F53">
      <w:pPr>
        <w:ind w:firstLine="0"/>
        <w:rPr>
          <w:rFonts w:cs="Arial"/>
          <w:sz w:val="16"/>
          <w:szCs w:val="16"/>
        </w:rPr>
      </w:pPr>
      <w:r w:rsidRPr="00DD7F53">
        <w:rPr>
          <w:rStyle w:val="Odwoanieprzypisudolnego"/>
          <w:rFonts w:cs="Arial"/>
          <w:sz w:val="16"/>
          <w:szCs w:val="16"/>
        </w:rPr>
        <w:footnoteRef/>
      </w:r>
      <w:r w:rsidRPr="00DD7F53">
        <w:rPr>
          <w:rFonts w:cs="Arial"/>
          <w:sz w:val="16"/>
          <w:szCs w:val="16"/>
        </w:rPr>
        <w:t xml:space="preserve"> Wielkopolski Regionalny Program Operacyjny na lata 2014 – 2020 WRPO 2014+. Zarząd Województwa Wielkopolskiego, Poznań 2014; Uchwała Nr 3416/2021 Zarządu Województwa Wielkopolskiego z dnia 31 marca 2021 roku w sprawie: przyjęcia zmian Wielkopolskiego Regionalnego Programu Operacyjnego na lata 2014-2020</w:t>
      </w:r>
    </w:p>
  </w:footnote>
  <w:footnote w:id="60">
    <w:p w14:paraId="60515C12" w14:textId="6E3D948E" w:rsidR="007B1066" w:rsidRPr="00DD7F53" w:rsidRDefault="007B1066" w:rsidP="00DD7F53">
      <w:pPr>
        <w:ind w:firstLine="0"/>
        <w:rPr>
          <w:rFonts w:cs="Arial"/>
          <w:sz w:val="16"/>
          <w:szCs w:val="16"/>
        </w:rPr>
      </w:pPr>
      <w:r w:rsidRPr="00DD7F53">
        <w:rPr>
          <w:rStyle w:val="Odwoanieprzypisudolnego"/>
          <w:rFonts w:cs="Arial"/>
          <w:sz w:val="16"/>
          <w:szCs w:val="16"/>
        </w:rPr>
        <w:footnoteRef/>
      </w:r>
      <w:r w:rsidRPr="00DD7F53">
        <w:rPr>
          <w:rFonts w:cs="Arial"/>
          <w:sz w:val="16"/>
          <w:szCs w:val="16"/>
        </w:rPr>
        <w:t xml:space="preserve"> Program Ochrony Środowiska dla Województwa Wielkopolskiego Do Roku 2030. Opracowanie: Ekostandard Pracownia Analiz Środowiskowych, Urząd Marszałkowski Województwa Wielkopolskiego w Poznaniu, 2020</w:t>
      </w:r>
    </w:p>
  </w:footnote>
  <w:footnote w:id="61">
    <w:p w14:paraId="613324E3" w14:textId="0E102C65" w:rsidR="007B1066" w:rsidRPr="00DD7F53" w:rsidRDefault="007B1066" w:rsidP="00DD7F53">
      <w:pPr>
        <w:ind w:firstLine="0"/>
        <w:jc w:val="left"/>
        <w:rPr>
          <w:rFonts w:cs="Arial"/>
          <w:sz w:val="16"/>
          <w:szCs w:val="16"/>
        </w:rPr>
      </w:pPr>
      <w:r w:rsidRPr="00DD7F53">
        <w:rPr>
          <w:rStyle w:val="Odwoanieprzypisudolnego"/>
          <w:rFonts w:cs="Arial"/>
          <w:sz w:val="16"/>
          <w:szCs w:val="16"/>
        </w:rPr>
        <w:footnoteRef/>
      </w:r>
      <w:r w:rsidRPr="00DD7F53">
        <w:rPr>
          <w:rFonts w:cs="Arial"/>
          <w:sz w:val="16"/>
          <w:szCs w:val="16"/>
        </w:rPr>
        <w:t xml:space="preserve"> </w:t>
      </w:r>
      <w:hyperlink r:id="rId4" w:history="1">
        <w:r w:rsidRPr="00DD7F53">
          <w:rPr>
            <w:rStyle w:val="Hipercze"/>
            <w:rFonts w:cs="Arial"/>
            <w:color w:val="auto"/>
            <w:sz w:val="16"/>
            <w:szCs w:val="16"/>
            <w:u w:val="none"/>
          </w:rPr>
          <w:t>https://www.parp.gov.pl/component/content/article/69040:gospodarka-o-obiegu-zamknietym-szansa-na-rozwoj-firm</w:t>
        </w:r>
      </w:hyperlink>
      <w:r w:rsidRPr="00DD7F53">
        <w:rPr>
          <w:rFonts w:cs="Arial"/>
          <w:sz w:val="16"/>
          <w:szCs w:val="16"/>
        </w:rPr>
        <w:t>; dostęp 09.07.2021 r.</w:t>
      </w:r>
    </w:p>
  </w:footnote>
  <w:footnote w:id="62">
    <w:p w14:paraId="7C2B783B" w14:textId="0B1CE47F" w:rsidR="007B1066" w:rsidRPr="00DD7F53" w:rsidRDefault="007B1066" w:rsidP="00DD7F53">
      <w:pPr>
        <w:ind w:firstLine="0"/>
        <w:rPr>
          <w:rFonts w:cs="Arial"/>
          <w:sz w:val="16"/>
          <w:szCs w:val="16"/>
        </w:rPr>
      </w:pPr>
      <w:r w:rsidRPr="00DD7F53">
        <w:rPr>
          <w:rStyle w:val="Odwoanieprzypisudolnego"/>
          <w:rFonts w:cs="Arial"/>
          <w:sz w:val="16"/>
          <w:szCs w:val="16"/>
        </w:rPr>
        <w:footnoteRef/>
      </w:r>
      <w:r w:rsidRPr="00DD7F53">
        <w:rPr>
          <w:rFonts w:cs="Arial"/>
          <w:sz w:val="16"/>
          <w:szCs w:val="16"/>
        </w:rPr>
        <w:t xml:space="preserve"> Patrz: Rozdział 2.2 Analiza podstaw organizacyjno-prawnych rozwoju GOZ</w:t>
      </w:r>
    </w:p>
  </w:footnote>
  <w:footnote w:id="63">
    <w:p w14:paraId="2AB07BC7" w14:textId="6889861B" w:rsidR="007B1066" w:rsidRPr="00DD7F53" w:rsidRDefault="007B1066" w:rsidP="00DD7F53">
      <w:pPr>
        <w:ind w:firstLine="0"/>
        <w:rPr>
          <w:rFonts w:cs="Arial"/>
          <w:sz w:val="16"/>
          <w:szCs w:val="16"/>
        </w:rPr>
      </w:pPr>
      <w:r w:rsidRPr="00DD7F53">
        <w:rPr>
          <w:rStyle w:val="Odwoanieprzypisudolnego"/>
          <w:rFonts w:cs="Arial"/>
          <w:sz w:val="16"/>
          <w:szCs w:val="16"/>
        </w:rPr>
        <w:footnoteRef/>
      </w:r>
      <w:r w:rsidRPr="00DD7F53">
        <w:rPr>
          <w:rFonts w:cs="Arial"/>
          <w:sz w:val="16"/>
          <w:szCs w:val="16"/>
        </w:rPr>
        <w:t xml:space="preserve"> </w:t>
      </w:r>
      <w:hyperlink r:id="rId5" w:history="1">
        <w:r w:rsidRPr="00DD7F53">
          <w:rPr>
            <w:rStyle w:val="Hipercze"/>
            <w:rFonts w:cs="Arial"/>
            <w:color w:val="auto"/>
            <w:sz w:val="16"/>
            <w:szCs w:val="16"/>
            <w:u w:val="none"/>
          </w:rPr>
          <w:t>https://ec.europa.eu/eurostat/web/circular-economy/indicators/monitoring-framework</w:t>
        </w:r>
      </w:hyperlink>
      <w:r w:rsidRPr="00DD7F53">
        <w:rPr>
          <w:rFonts w:cs="Arial"/>
          <w:sz w:val="16"/>
          <w:szCs w:val="16"/>
        </w:rPr>
        <w:t>; dostęp 20.05.2021 r.</w:t>
      </w:r>
    </w:p>
  </w:footnote>
  <w:footnote w:id="64">
    <w:p w14:paraId="492F1F13" w14:textId="4E3DA7DC" w:rsidR="007B1066" w:rsidRPr="00DD7F53" w:rsidRDefault="007B1066" w:rsidP="00DD7F53">
      <w:pPr>
        <w:ind w:firstLine="0"/>
        <w:jc w:val="left"/>
        <w:rPr>
          <w:rFonts w:cs="Arial"/>
          <w:sz w:val="16"/>
          <w:szCs w:val="16"/>
        </w:rPr>
      </w:pPr>
      <w:r w:rsidRPr="00DD7F53">
        <w:rPr>
          <w:rStyle w:val="Odwoanieprzypisudolnego"/>
          <w:rFonts w:cs="Arial"/>
          <w:sz w:val="16"/>
          <w:szCs w:val="16"/>
        </w:rPr>
        <w:footnoteRef/>
      </w:r>
      <w:r w:rsidRPr="00DD7F53">
        <w:rPr>
          <w:rFonts w:cs="Arial"/>
          <w:sz w:val="16"/>
          <w:szCs w:val="16"/>
        </w:rPr>
        <w:t xml:space="preserve"> R. Pawłowski (2019) Czym są innowacje w rolnictwie i na obszarach wiejskich, https://wmodr.pl/files/JLcuTsMsbn5R4cZbPkkZM0dzXDJtwDObJpo2LPY8.pdf</w:t>
      </w:r>
    </w:p>
  </w:footnote>
  <w:footnote w:id="65">
    <w:p w14:paraId="2FC7F571" w14:textId="44465561" w:rsidR="007B1066" w:rsidRPr="00DD7F53" w:rsidRDefault="007B1066" w:rsidP="00DD7F53">
      <w:pPr>
        <w:ind w:firstLine="0"/>
        <w:jc w:val="left"/>
        <w:rPr>
          <w:rFonts w:cs="Arial"/>
          <w:sz w:val="16"/>
          <w:szCs w:val="16"/>
        </w:rPr>
      </w:pPr>
      <w:r w:rsidRPr="00DD7F53">
        <w:rPr>
          <w:rStyle w:val="Odwoanieprzypisudolnego"/>
          <w:rFonts w:cs="Arial"/>
          <w:sz w:val="16"/>
          <w:szCs w:val="16"/>
        </w:rPr>
        <w:footnoteRef/>
      </w:r>
      <w:r w:rsidRPr="00DD7F53">
        <w:rPr>
          <w:rFonts w:cs="Arial"/>
          <w:sz w:val="16"/>
          <w:szCs w:val="16"/>
        </w:rPr>
        <w:t xml:space="preserve"> R. Pawłowski (2019) Czym są innowacje w rolnictwie i na obszarach wiejskich, https://wmodr.pl/files/JLcuTsMsbn5R4cZbPkkZM0dzXDJtwDObJpo2LPY8.pdf</w:t>
      </w:r>
    </w:p>
  </w:footnote>
  <w:footnote w:id="66">
    <w:p w14:paraId="251FCC37" w14:textId="3822C57F" w:rsidR="007B1066" w:rsidRPr="00DD7F53" w:rsidRDefault="007B1066" w:rsidP="00DD7F53">
      <w:pPr>
        <w:ind w:firstLine="0"/>
        <w:rPr>
          <w:rFonts w:cs="Arial"/>
          <w:sz w:val="16"/>
          <w:szCs w:val="16"/>
        </w:rPr>
      </w:pPr>
      <w:r w:rsidRPr="00DD7F53">
        <w:rPr>
          <w:rStyle w:val="Odwoanieprzypisudolnego"/>
          <w:rFonts w:cs="Arial"/>
          <w:sz w:val="16"/>
          <w:szCs w:val="16"/>
        </w:rPr>
        <w:footnoteRef/>
      </w:r>
      <w:r w:rsidRPr="00DD7F53">
        <w:rPr>
          <w:rFonts w:cs="Arial"/>
          <w:sz w:val="16"/>
          <w:szCs w:val="16"/>
        </w:rPr>
        <w:t xml:space="preserve"> F. M. Gil (2009), Natura 2000 i Akwakultura – Wydawnictwo MŚ, Warszawa, s.1-33</w:t>
      </w:r>
    </w:p>
  </w:footnote>
  <w:footnote w:id="67">
    <w:p w14:paraId="4FEA1D7D" w14:textId="5E2A3B5B" w:rsidR="007B1066" w:rsidRPr="00DD7F53" w:rsidRDefault="007B1066" w:rsidP="00DD7F53">
      <w:pPr>
        <w:ind w:firstLine="0"/>
        <w:rPr>
          <w:rFonts w:cs="Arial"/>
          <w:sz w:val="16"/>
          <w:szCs w:val="16"/>
        </w:rPr>
      </w:pPr>
      <w:r w:rsidRPr="00DD7F53">
        <w:rPr>
          <w:rStyle w:val="Odwoanieprzypisudolnego"/>
          <w:rFonts w:cs="Arial"/>
          <w:sz w:val="16"/>
          <w:szCs w:val="16"/>
        </w:rPr>
        <w:footnoteRef/>
      </w:r>
      <w:r w:rsidRPr="00DD7F53">
        <w:rPr>
          <w:rFonts w:cs="Arial"/>
          <w:sz w:val="16"/>
          <w:szCs w:val="16"/>
        </w:rPr>
        <w:t xml:space="preserve"> R. Wojda., G. Zygmunt. 2012 – Wpływ stawów karpiowych na jakość, retencję i bilans wodny zlewni – Komunikaty Rybackie 3: 1-8.</w:t>
      </w:r>
    </w:p>
  </w:footnote>
  <w:footnote w:id="68">
    <w:p w14:paraId="637A3780" w14:textId="7F3F0312" w:rsidR="007B1066" w:rsidRPr="00DD7F53" w:rsidRDefault="007B1066" w:rsidP="00DD7F53">
      <w:pPr>
        <w:ind w:firstLine="0"/>
        <w:rPr>
          <w:rFonts w:cs="Arial"/>
          <w:sz w:val="16"/>
          <w:szCs w:val="16"/>
        </w:rPr>
      </w:pPr>
      <w:r w:rsidRPr="00DD7F53">
        <w:rPr>
          <w:rStyle w:val="Odwoanieprzypisudolnego"/>
          <w:rFonts w:cs="Arial"/>
          <w:sz w:val="16"/>
          <w:szCs w:val="16"/>
        </w:rPr>
        <w:footnoteRef/>
      </w:r>
      <w:r w:rsidRPr="00DD7F53">
        <w:rPr>
          <w:rFonts w:cs="Arial"/>
          <w:sz w:val="16"/>
          <w:szCs w:val="16"/>
        </w:rPr>
        <w:t xml:space="preserve"> J. Guziur., M. Woźniak (2006), Produkcja ryb w małych zbiornikach – Oficyna Wydawnictwo Hoża, </w:t>
      </w:r>
    </w:p>
    <w:p w14:paraId="62B00356" w14:textId="77777777" w:rsidR="007B1066" w:rsidRPr="00DD7F53" w:rsidRDefault="007B1066" w:rsidP="00DD7F53">
      <w:pPr>
        <w:ind w:firstLine="0"/>
        <w:rPr>
          <w:rFonts w:cs="Arial"/>
          <w:sz w:val="16"/>
          <w:szCs w:val="16"/>
        </w:rPr>
      </w:pPr>
      <w:r w:rsidRPr="00DD7F53">
        <w:rPr>
          <w:rFonts w:cs="Arial"/>
          <w:sz w:val="16"/>
          <w:szCs w:val="16"/>
        </w:rPr>
        <w:t>Warszawa, s. 1-322.</w:t>
      </w:r>
    </w:p>
  </w:footnote>
  <w:footnote w:id="69">
    <w:p w14:paraId="157CF248" w14:textId="52EA3ADA" w:rsidR="007B1066" w:rsidRPr="00DD7F53" w:rsidRDefault="007B1066" w:rsidP="00DD7F53">
      <w:pPr>
        <w:ind w:firstLine="0"/>
        <w:jc w:val="left"/>
        <w:rPr>
          <w:rFonts w:cs="Arial"/>
          <w:sz w:val="16"/>
          <w:szCs w:val="16"/>
        </w:rPr>
      </w:pPr>
      <w:r w:rsidRPr="00DD7F53">
        <w:rPr>
          <w:rStyle w:val="Odwoanieprzypisudolnego"/>
          <w:rFonts w:cs="Arial"/>
          <w:sz w:val="16"/>
          <w:szCs w:val="16"/>
        </w:rPr>
        <w:footnoteRef/>
      </w:r>
      <w:r w:rsidRPr="00DD7F53">
        <w:rPr>
          <w:rFonts w:cs="Arial"/>
          <w:sz w:val="16"/>
          <w:szCs w:val="16"/>
        </w:rPr>
        <w:t xml:space="preserve"> K. Czarnkowski (2019), Możliwości integracji produkcji rolnej i rybackiej – perspektywa holistyczna, https://wmodr.pl/files/JLcuTsMsbn5R4cZbPkkZM0dzXDJtwDObJpo2LPY8.pdf</w:t>
      </w:r>
    </w:p>
  </w:footnote>
  <w:footnote w:id="70">
    <w:p w14:paraId="7567672E" w14:textId="464C751D" w:rsidR="007B1066" w:rsidRPr="00DD7F53" w:rsidRDefault="007B1066" w:rsidP="00DD7F53">
      <w:pPr>
        <w:ind w:firstLine="0"/>
        <w:rPr>
          <w:rFonts w:cs="Arial"/>
          <w:sz w:val="16"/>
          <w:szCs w:val="16"/>
        </w:rPr>
      </w:pPr>
      <w:r w:rsidRPr="00DD7F53">
        <w:rPr>
          <w:rStyle w:val="Odwoanieprzypisudolnego"/>
          <w:rFonts w:cs="Arial"/>
          <w:sz w:val="16"/>
          <w:szCs w:val="16"/>
        </w:rPr>
        <w:footnoteRef/>
      </w:r>
      <w:r w:rsidRPr="00DD7F53">
        <w:rPr>
          <w:rFonts w:cs="Arial"/>
          <w:sz w:val="16"/>
          <w:szCs w:val="16"/>
        </w:rPr>
        <w:t xml:space="preserve"> J. Harasym (2011), Biorafinacja i biorafinerie – przemysł przyszłości http://www.e-biotechnologia.pl/</w:t>
      </w:r>
    </w:p>
    <w:p w14:paraId="1AEE444D" w14:textId="77777777" w:rsidR="007B1066" w:rsidRPr="00DD7F53" w:rsidRDefault="007B1066" w:rsidP="00DD7F53">
      <w:pPr>
        <w:ind w:firstLine="0"/>
        <w:rPr>
          <w:rFonts w:cs="Arial"/>
          <w:sz w:val="16"/>
          <w:szCs w:val="16"/>
        </w:rPr>
      </w:pPr>
      <w:r w:rsidRPr="00DD7F53">
        <w:rPr>
          <w:rFonts w:cs="Arial"/>
          <w:sz w:val="16"/>
          <w:szCs w:val="16"/>
        </w:rPr>
        <w:t>Artykuly/biokonwersja z dnia 30.03.2018</w:t>
      </w:r>
    </w:p>
  </w:footnote>
  <w:footnote w:id="71">
    <w:p w14:paraId="41BF09BA" w14:textId="6BD9C5DF" w:rsidR="007B1066" w:rsidRPr="00DD7F53" w:rsidRDefault="007B1066" w:rsidP="00DD7F53">
      <w:pPr>
        <w:ind w:firstLine="0"/>
        <w:rPr>
          <w:rFonts w:cs="Arial"/>
          <w:sz w:val="16"/>
          <w:szCs w:val="16"/>
        </w:rPr>
      </w:pPr>
      <w:r w:rsidRPr="00DD7F53">
        <w:rPr>
          <w:rStyle w:val="Odwoanieprzypisudolnego"/>
          <w:rFonts w:cs="Arial"/>
          <w:sz w:val="16"/>
          <w:szCs w:val="16"/>
        </w:rPr>
        <w:footnoteRef/>
      </w:r>
      <w:r w:rsidRPr="00DD7F53">
        <w:rPr>
          <w:rFonts w:cs="Arial"/>
          <w:sz w:val="16"/>
          <w:szCs w:val="16"/>
        </w:rPr>
        <w:t xml:space="preserve"> E. Golisz, G. Wójcik (2013), Problemy gorzelni rolniczych i przemysłu bioetanolowego w Polsce. Inżyniera Rolnicza Z. 2(143) T.1 S. 69-78</w:t>
      </w:r>
    </w:p>
  </w:footnote>
  <w:footnote w:id="72">
    <w:p w14:paraId="58E4F08C" w14:textId="3D8F2D6D" w:rsidR="007B1066" w:rsidRPr="00DD7F53" w:rsidRDefault="007B1066" w:rsidP="00DD7F53">
      <w:pPr>
        <w:ind w:firstLine="0"/>
        <w:rPr>
          <w:rFonts w:cs="Arial"/>
          <w:sz w:val="16"/>
          <w:szCs w:val="16"/>
        </w:rPr>
      </w:pPr>
      <w:r w:rsidRPr="00DD7F53">
        <w:rPr>
          <w:rStyle w:val="Odwoanieprzypisudolnego"/>
          <w:rFonts w:cs="Arial"/>
          <w:sz w:val="16"/>
          <w:szCs w:val="16"/>
        </w:rPr>
        <w:footnoteRef/>
      </w:r>
      <w:r w:rsidRPr="00DD7F53">
        <w:rPr>
          <w:rFonts w:cs="Arial"/>
          <w:sz w:val="16"/>
          <w:szCs w:val="16"/>
        </w:rPr>
        <w:t xml:space="preserve"> W. Izdebski, J. Skudlarski., S. Zając (2014), Wykorzystanie surowców pochodzenia rolniczego do produkcji biopaliw transportowych w Polsce. St. Ekon. Rol i Agrobiz r. N., (16)2, 93-97</w:t>
      </w:r>
    </w:p>
  </w:footnote>
  <w:footnote w:id="73">
    <w:p w14:paraId="61ED0BBD" w14:textId="2EAECB61" w:rsidR="007B1066" w:rsidRPr="00DD7F53" w:rsidRDefault="007B1066" w:rsidP="00DD7F53">
      <w:pPr>
        <w:ind w:firstLine="0"/>
        <w:rPr>
          <w:rFonts w:cs="Arial"/>
          <w:sz w:val="16"/>
          <w:szCs w:val="16"/>
        </w:rPr>
      </w:pPr>
      <w:r w:rsidRPr="00DD7F53">
        <w:rPr>
          <w:rStyle w:val="Odwoanieprzypisudolnego"/>
          <w:rFonts w:cs="Arial"/>
          <w:sz w:val="16"/>
          <w:szCs w:val="16"/>
        </w:rPr>
        <w:footnoteRef/>
      </w:r>
      <w:r w:rsidRPr="00DD7F53">
        <w:rPr>
          <w:rFonts w:cs="Arial"/>
          <w:sz w:val="16"/>
          <w:szCs w:val="16"/>
        </w:rPr>
        <w:t xml:space="preserve"> J. Gołaszewski (2011), Wykorzystanie substratów pochodzenia rolniczego w biogazowniach w Polsce. Postępy Nauk Rolniczych nr 2/2011: 69-94</w:t>
      </w:r>
    </w:p>
  </w:footnote>
  <w:footnote w:id="74">
    <w:p w14:paraId="5DE84C8B" w14:textId="11B97554" w:rsidR="007B1066" w:rsidRPr="00DD7F53" w:rsidRDefault="007B1066" w:rsidP="00DD7F53">
      <w:pPr>
        <w:ind w:firstLine="0"/>
        <w:rPr>
          <w:rFonts w:cs="Arial"/>
          <w:sz w:val="16"/>
          <w:szCs w:val="16"/>
        </w:rPr>
      </w:pPr>
      <w:r w:rsidRPr="00DD7F53">
        <w:rPr>
          <w:rStyle w:val="Odwoanieprzypisudolnego"/>
          <w:rFonts w:cs="Arial"/>
          <w:sz w:val="16"/>
          <w:szCs w:val="16"/>
        </w:rPr>
        <w:footnoteRef/>
      </w:r>
      <w:r w:rsidRPr="00DD7F53">
        <w:rPr>
          <w:rFonts w:cs="Arial"/>
          <w:sz w:val="16"/>
          <w:szCs w:val="16"/>
        </w:rPr>
        <w:t xml:space="preserve"> E. Olba-Zięty (2019), Biorafinerie i biogazownie jako obiekty realizujące zadania w ramach gospodarki o obiegu zamkniętym</w:t>
      </w:r>
    </w:p>
  </w:footnote>
  <w:footnote w:id="75">
    <w:p w14:paraId="33CD4624" w14:textId="5FA0BDCD" w:rsidR="007B1066" w:rsidRPr="00DD7F53" w:rsidRDefault="007B1066" w:rsidP="00DD7F53">
      <w:pPr>
        <w:ind w:firstLine="0"/>
        <w:rPr>
          <w:rFonts w:cs="Arial"/>
          <w:sz w:val="16"/>
          <w:szCs w:val="16"/>
        </w:rPr>
      </w:pPr>
      <w:r w:rsidRPr="00DD7F53">
        <w:rPr>
          <w:rStyle w:val="Odwoanieprzypisudolnego"/>
          <w:rFonts w:cs="Arial"/>
          <w:sz w:val="16"/>
          <w:szCs w:val="16"/>
        </w:rPr>
        <w:footnoteRef/>
      </w:r>
      <w:r w:rsidRPr="00DD7F53">
        <w:rPr>
          <w:rFonts w:cs="Arial"/>
          <w:sz w:val="16"/>
          <w:szCs w:val="16"/>
        </w:rPr>
        <w:t xml:space="preserve"> </w:t>
      </w:r>
      <w:hyperlink r:id="rId6" w:history="1">
        <w:r w:rsidRPr="00DD7F53">
          <w:rPr>
            <w:rStyle w:val="Hipercze"/>
            <w:rFonts w:cs="Arial"/>
            <w:color w:val="auto"/>
            <w:sz w:val="16"/>
            <w:szCs w:val="16"/>
            <w:u w:val="none"/>
          </w:rPr>
          <w:t>https://wrot.umww.pl/wp-content/uploads/2019/10/DIAGNOZA-2019.pdf</w:t>
        </w:r>
      </w:hyperlink>
      <w:r w:rsidRPr="00DD7F53">
        <w:rPr>
          <w:rFonts w:cs="Arial"/>
          <w:sz w:val="16"/>
          <w:szCs w:val="16"/>
        </w:rPr>
        <w:t>, dostęp 28.06.2021 r.</w:t>
      </w:r>
    </w:p>
  </w:footnote>
  <w:footnote w:id="76">
    <w:p w14:paraId="65089E28" w14:textId="3855BB35" w:rsidR="007B1066" w:rsidRPr="00DD7F53" w:rsidRDefault="007B1066" w:rsidP="00DD7F53">
      <w:pPr>
        <w:ind w:firstLine="0"/>
        <w:jc w:val="left"/>
        <w:rPr>
          <w:rFonts w:cs="Arial"/>
          <w:sz w:val="16"/>
          <w:szCs w:val="16"/>
        </w:rPr>
      </w:pPr>
      <w:r w:rsidRPr="00DD7F53">
        <w:rPr>
          <w:rStyle w:val="Odwoanieprzypisudolnego"/>
          <w:rFonts w:cs="Arial"/>
          <w:sz w:val="16"/>
          <w:szCs w:val="16"/>
        </w:rPr>
        <w:footnoteRef/>
      </w:r>
      <w:r w:rsidRPr="00DD7F53">
        <w:rPr>
          <w:rFonts w:cs="Arial"/>
          <w:sz w:val="16"/>
          <w:szCs w:val="16"/>
        </w:rPr>
        <w:t xml:space="preserve"> http://www.eko-uprawy.pl/rolnictwo/rolnictwo-ekologiczne/rolnictwo-baza-wiedzy/242-bionawozy-stosowane-w-uprawach; dostęp 20.05.2021 r.</w:t>
      </w:r>
    </w:p>
  </w:footnote>
  <w:footnote w:id="77">
    <w:p w14:paraId="4F7353ED" w14:textId="05DBFD5C" w:rsidR="007B1066" w:rsidRPr="00DD7F53" w:rsidRDefault="007B1066" w:rsidP="00DD7F53">
      <w:pPr>
        <w:ind w:firstLine="0"/>
        <w:rPr>
          <w:rFonts w:cs="Arial"/>
          <w:sz w:val="16"/>
          <w:szCs w:val="16"/>
          <w:lang w:val="en-AU"/>
        </w:rPr>
      </w:pPr>
      <w:r w:rsidRPr="00DD7F53">
        <w:rPr>
          <w:rStyle w:val="Odwoanieprzypisudolnego"/>
          <w:rFonts w:cs="Arial"/>
          <w:sz w:val="16"/>
          <w:szCs w:val="16"/>
        </w:rPr>
        <w:footnoteRef/>
      </w:r>
      <w:r w:rsidRPr="00DD7F53">
        <w:rPr>
          <w:rFonts w:cs="Arial"/>
          <w:sz w:val="16"/>
          <w:szCs w:val="16"/>
          <w:lang w:val="en-AU"/>
        </w:rPr>
        <w:t xml:space="preserve"> N. Mirabella, V. Castellani, S. Sala (2014) Current options for the valorization of food manufacturing waste: a review, Journal of Cleaner Production, 65, s. 28-41</w:t>
      </w:r>
    </w:p>
  </w:footnote>
  <w:footnote w:id="78">
    <w:p w14:paraId="16677C3F" w14:textId="1A6AE950" w:rsidR="007B1066" w:rsidRPr="00DD7F53" w:rsidRDefault="007B1066" w:rsidP="00DD7F53">
      <w:pPr>
        <w:ind w:firstLine="0"/>
        <w:rPr>
          <w:rFonts w:cs="Arial"/>
          <w:sz w:val="16"/>
          <w:szCs w:val="16"/>
          <w:lang w:val="en-AU"/>
        </w:rPr>
      </w:pPr>
      <w:r w:rsidRPr="00DD7F53">
        <w:rPr>
          <w:rStyle w:val="Odwoanieprzypisudolnego"/>
          <w:rFonts w:cs="Arial"/>
          <w:sz w:val="16"/>
          <w:szCs w:val="16"/>
        </w:rPr>
        <w:footnoteRef/>
      </w:r>
      <w:r w:rsidRPr="00DD7F53">
        <w:rPr>
          <w:rFonts w:cs="Arial"/>
          <w:sz w:val="16"/>
          <w:szCs w:val="16"/>
          <w:lang w:val="en-AU"/>
        </w:rPr>
        <w:t xml:space="preserve"> A. J. Van der Goot, P. J. M. Pelgrom, J. A. M. Berghout, M. E. J. Geerts, L. Jankowiak, N. A. Hardt, J. Keijer, M. A. I. Schutyser, C. V. Nikiforidis, R. M. Boom, (2016) Concepts for further sustainable production of foods, Journal of Food Engineering, 168, s. 42-51</w:t>
      </w:r>
    </w:p>
  </w:footnote>
  <w:footnote w:id="79">
    <w:p w14:paraId="1B164BDD" w14:textId="7C4AB41F" w:rsidR="007B1066" w:rsidRPr="00DD7F53" w:rsidRDefault="007B1066" w:rsidP="00DD7F53">
      <w:pPr>
        <w:ind w:firstLine="0"/>
        <w:rPr>
          <w:rFonts w:cs="Arial"/>
          <w:sz w:val="16"/>
          <w:szCs w:val="16"/>
          <w:lang w:val="en-AU"/>
        </w:rPr>
      </w:pPr>
      <w:r w:rsidRPr="00DD7F53">
        <w:rPr>
          <w:rStyle w:val="Odwoanieprzypisudolnego"/>
          <w:rFonts w:cs="Arial"/>
          <w:sz w:val="16"/>
          <w:szCs w:val="16"/>
        </w:rPr>
        <w:footnoteRef/>
      </w:r>
      <w:r w:rsidRPr="00DD7F53">
        <w:rPr>
          <w:rFonts w:cs="Arial"/>
          <w:sz w:val="16"/>
          <w:szCs w:val="16"/>
          <w:lang w:val="en-AU"/>
        </w:rPr>
        <w:t xml:space="preserve"> Santana-Méridas, González-Coloma, R. Sánchez-Vioque (2012) Agricultural residues as a source of bioactive natural producs, Phytochemistry Reviews, 11, s. 447-466</w:t>
      </w:r>
    </w:p>
  </w:footnote>
  <w:footnote w:id="80">
    <w:p w14:paraId="416921FF" w14:textId="6A48C7FE" w:rsidR="007B1066" w:rsidRPr="00DD7F53" w:rsidRDefault="007B1066" w:rsidP="00DD7F53">
      <w:pPr>
        <w:ind w:firstLine="0"/>
        <w:rPr>
          <w:rFonts w:cs="Arial"/>
          <w:sz w:val="16"/>
          <w:szCs w:val="16"/>
          <w:lang w:val="en-AU"/>
        </w:rPr>
      </w:pPr>
      <w:r w:rsidRPr="00DD7F53">
        <w:rPr>
          <w:rStyle w:val="Odwoanieprzypisudolnego"/>
          <w:rFonts w:cs="Arial"/>
          <w:sz w:val="16"/>
          <w:szCs w:val="16"/>
        </w:rPr>
        <w:footnoteRef/>
      </w:r>
      <w:r w:rsidRPr="00DD7F53">
        <w:rPr>
          <w:rFonts w:cs="Arial"/>
          <w:sz w:val="16"/>
          <w:szCs w:val="16"/>
          <w:lang w:val="en-AU"/>
        </w:rPr>
        <w:t xml:space="preserve"> C. M. Jasch (2009) Environmental and Material Flow Cost Accounting: Principles and Procedures, Springer, Netherlands</w:t>
      </w:r>
    </w:p>
  </w:footnote>
  <w:footnote w:id="81">
    <w:p w14:paraId="7949FCC3" w14:textId="3AAC67AC" w:rsidR="007B1066" w:rsidRPr="00DD7F53" w:rsidRDefault="007B1066" w:rsidP="00DD7F53">
      <w:pPr>
        <w:ind w:firstLine="0"/>
        <w:rPr>
          <w:rFonts w:cs="Arial"/>
          <w:sz w:val="16"/>
          <w:szCs w:val="16"/>
          <w:lang w:val="en-AU"/>
        </w:rPr>
      </w:pPr>
      <w:r w:rsidRPr="00DD7F53">
        <w:rPr>
          <w:rStyle w:val="Odwoanieprzypisudolnego"/>
          <w:rFonts w:cs="Arial"/>
          <w:sz w:val="16"/>
          <w:szCs w:val="16"/>
        </w:rPr>
        <w:footnoteRef/>
      </w:r>
      <w:r w:rsidRPr="00DD7F53">
        <w:rPr>
          <w:rFonts w:cs="Arial"/>
          <w:sz w:val="16"/>
          <w:szCs w:val="16"/>
          <w:lang w:val="en-AU"/>
        </w:rPr>
        <w:t xml:space="preserve"> C. Galanakis (2012) Recovery of high addedvalue components from food wastes: conventional, emerging technologies and commercialized applications, Trends in Food Science&amp;Technology, 26, s. 68-87</w:t>
      </w:r>
    </w:p>
  </w:footnote>
  <w:footnote w:id="82">
    <w:p w14:paraId="2672CFD5" w14:textId="430914AD" w:rsidR="007B1066" w:rsidRPr="00DD7F53" w:rsidRDefault="007B1066" w:rsidP="00DD7F53">
      <w:pPr>
        <w:ind w:firstLine="0"/>
        <w:rPr>
          <w:rFonts w:cs="Arial"/>
          <w:sz w:val="16"/>
          <w:szCs w:val="16"/>
          <w:lang w:val="en-AU"/>
        </w:rPr>
      </w:pPr>
      <w:r w:rsidRPr="00DD7F53">
        <w:rPr>
          <w:rStyle w:val="Odwoanieprzypisudolnego"/>
          <w:rFonts w:cs="Arial"/>
          <w:sz w:val="16"/>
          <w:szCs w:val="16"/>
        </w:rPr>
        <w:footnoteRef/>
      </w:r>
      <w:r w:rsidRPr="00DD7F53">
        <w:rPr>
          <w:rFonts w:cs="Arial"/>
          <w:sz w:val="16"/>
          <w:szCs w:val="16"/>
          <w:lang w:val="en-AU"/>
        </w:rPr>
        <w:t xml:space="preserve"> L. J. Yu, M. S. L. Brooks (2016) Food industry protein by-products and their applications. Chapter 7, Protein Byproducts, Academic Press, s.120-132</w:t>
      </w:r>
    </w:p>
  </w:footnote>
  <w:footnote w:id="83">
    <w:p w14:paraId="1D9BF61F" w14:textId="2359DA18" w:rsidR="007B1066" w:rsidRPr="00DD7F53" w:rsidRDefault="007B1066" w:rsidP="00DD7F53">
      <w:pPr>
        <w:ind w:firstLine="0"/>
        <w:rPr>
          <w:rFonts w:cs="Arial"/>
          <w:sz w:val="16"/>
          <w:szCs w:val="16"/>
          <w:lang w:val="en-AU"/>
        </w:rPr>
      </w:pPr>
      <w:r w:rsidRPr="00DD7F53">
        <w:rPr>
          <w:rStyle w:val="Odwoanieprzypisudolnego"/>
          <w:rFonts w:cs="Arial"/>
          <w:sz w:val="16"/>
          <w:szCs w:val="16"/>
        </w:rPr>
        <w:footnoteRef/>
      </w:r>
      <w:r w:rsidRPr="00DD7F53">
        <w:rPr>
          <w:rFonts w:cs="Arial"/>
          <w:sz w:val="16"/>
          <w:szCs w:val="16"/>
          <w:lang w:val="en-AU"/>
        </w:rPr>
        <w:t xml:space="preserve"> N. Mirabella, V. Castellani, S. Sala (2014) Current options for the valorization of food manufacturing waste: a review, Journal of Cleaner Production, 65, s. 28-41</w:t>
      </w:r>
    </w:p>
  </w:footnote>
  <w:footnote w:id="84">
    <w:p w14:paraId="033DD1A4" w14:textId="67BEFFB9" w:rsidR="007B1066" w:rsidRPr="00DD7F53" w:rsidRDefault="007B1066" w:rsidP="00DD7F53">
      <w:pPr>
        <w:ind w:firstLine="0"/>
        <w:rPr>
          <w:rFonts w:cs="Arial"/>
          <w:sz w:val="16"/>
          <w:szCs w:val="16"/>
          <w:lang w:val="en-AU"/>
        </w:rPr>
      </w:pPr>
      <w:r w:rsidRPr="00DD7F53">
        <w:rPr>
          <w:rStyle w:val="Odwoanieprzypisudolnego"/>
          <w:rFonts w:cs="Arial"/>
          <w:sz w:val="16"/>
          <w:szCs w:val="16"/>
        </w:rPr>
        <w:footnoteRef/>
      </w:r>
      <w:r w:rsidRPr="00DD7F53">
        <w:rPr>
          <w:rFonts w:cs="Arial"/>
          <w:sz w:val="16"/>
          <w:szCs w:val="16"/>
          <w:lang w:val="en-AU"/>
        </w:rPr>
        <w:t xml:space="preserve"> M. R. Kosseva (2011) Management and processing of food wastes, Advances in Food and Nutrition Research, 58, </w:t>
      </w:r>
      <w:r w:rsidRPr="00DD7F53">
        <w:rPr>
          <w:rFonts w:cs="Arial"/>
          <w:sz w:val="16"/>
          <w:szCs w:val="16"/>
          <w:lang w:val="en-AU"/>
        </w:rPr>
        <w:br/>
        <w:t>s. 57-136</w:t>
      </w:r>
    </w:p>
  </w:footnote>
  <w:footnote w:id="85">
    <w:p w14:paraId="75A033E7" w14:textId="732E31BB" w:rsidR="007B1066" w:rsidRPr="00DD7F53" w:rsidRDefault="007B1066" w:rsidP="00DD7F53">
      <w:pPr>
        <w:ind w:firstLine="0"/>
        <w:rPr>
          <w:rFonts w:cs="Arial"/>
          <w:sz w:val="16"/>
          <w:szCs w:val="16"/>
          <w:lang w:val="en-AU"/>
        </w:rPr>
      </w:pPr>
      <w:r w:rsidRPr="00DD7F53">
        <w:rPr>
          <w:rStyle w:val="Odwoanieprzypisudolnego"/>
          <w:rFonts w:cs="Arial"/>
          <w:sz w:val="16"/>
          <w:szCs w:val="16"/>
        </w:rPr>
        <w:footnoteRef/>
      </w:r>
      <w:r w:rsidRPr="00DD7F53">
        <w:rPr>
          <w:rFonts w:cs="Arial"/>
          <w:sz w:val="16"/>
          <w:szCs w:val="16"/>
          <w:lang w:val="en-AU"/>
        </w:rPr>
        <w:t xml:space="preserve"> G. Laufenberg, B. Kunz, M. Nystroem (2003) Transformation of vegetable waste into value added products: </w:t>
      </w:r>
      <w:r w:rsidRPr="00DD7F53">
        <w:rPr>
          <w:rFonts w:cs="Arial"/>
          <w:sz w:val="16"/>
          <w:szCs w:val="16"/>
          <w:lang w:val="en-AU"/>
        </w:rPr>
        <w:br/>
        <w:t>(A) the upgrading concept; (B) practical implementations, Bioresource Technology, 87, s. 167-198.</w:t>
      </w:r>
    </w:p>
  </w:footnote>
  <w:footnote w:id="86">
    <w:p w14:paraId="1DF40F05" w14:textId="7A597E90" w:rsidR="007B1066" w:rsidRPr="00DD7F53" w:rsidRDefault="007B1066" w:rsidP="00DD7F53">
      <w:pPr>
        <w:ind w:firstLine="0"/>
        <w:rPr>
          <w:rFonts w:cs="Arial"/>
          <w:sz w:val="16"/>
          <w:szCs w:val="16"/>
          <w:lang w:val="en-AU"/>
        </w:rPr>
      </w:pPr>
      <w:r w:rsidRPr="00DD7F53">
        <w:rPr>
          <w:rStyle w:val="Odwoanieprzypisudolnego"/>
          <w:rFonts w:cs="Arial"/>
          <w:sz w:val="16"/>
          <w:szCs w:val="16"/>
        </w:rPr>
        <w:footnoteRef/>
      </w:r>
      <w:r w:rsidRPr="00DD7F53">
        <w:rPr>
          <w:rFonts w:cs="Arial"/>
          <w:sz w:val="16"/>
          <w:szCs w:val="16"/>
          <w:lang w:val="en-AU"/>
        </w:rPr>
        <w:t xml:space="preserve"> J. K. Arora, S. S. Marwaha, R. Grover (2002) Biotechnology in Agriculture and Environment, Asiatech Publishers, </w:t>
      </w:r>
      <w:r w:rsidRPr="00DD7F53">
        <w:rPr>
          <w:rFonts w:cs="Arial"/>
          <w:sz w:val="16"/>
          <w:szCs w:val="16"/>
          <w:lang w:val="en-AU"/>
        </w:rPr>
        <w:br/>
        <w:t>New Delhi, s.231-265.</w:t>
      </w:r>
    </w:p>
  </w:footnote>
  <w:footnote w:id="87">
    <w:p w14:paraId="36F1052A" w14:textId="73B4E16D" w:rsidR="007B1066" w:rsidRPr="00DD7F53" w:rsidRDefault="007B1066" w:rsidP="00DD7F53">
      <w:pPr>
        <w:ind w:firstLine="0"/>
        <w:rPr>
          <w:rFonts w:cs="Arial"/>
          <w:sz w:val="16"/>
          <w:szCs w:val="16"/>
          <w:lang w:val="en-AU"/>
        </w:rPr>
      </w:pPr>
      <w:r w:rsidRPr="00DD7F53">
        <w:rPr>
          <w:rStyle w:val="Odwoanieprzypisudolnego"/>
          <w:rFonts w:cs="Arial"/>
          <w:sz w:val="16"/>
          <w:szCs w:val="16"/>
        </w:rPr>
        <w:footnoteRef/>
      </w:r>
      <w:r w:rsidRPr="00DD7F53">
        <w:rPr>
          <w:rFonts w:cs="Arial"/>
          <w:sz w:val="16"/>
          <w:szCs w:val="16"/>
          <w:lang w:val="en-AU"/>
        </w:rPr>
        <w:t xml:space="preserve"> A. E. Ghaly, V. V. Ramakrishnan, M.S. Brooks, S.M. Budge, D. Dave (2013) Fish processing wastes as a potential source of proteins amino acids and oils: a critical review, Journal of Microbial and Biochemical Technology, 5(4), </w:t>
      </w:r>
      <w:r w:rsidRPr="00DD7F53">
        <w:rPr>
          <w:rFonts w:cs="Arial"/>
          <w:sz w:val="16"/>
          <w:szCs w:val="16"/>
          <w:lang w:val="en-AU"/>
        </w:rPr>
        <w:br/>
        <w:t>s. 107-129</w:t>
      </w:r>
    </w:p>
  </w:footnote>
  <w:footnote w:id="88">
    <w:p w14:paraId="575FE7A2" w14:textId="6CF79821" w:rsidR="007B1066" w:rsidRPr="00DD7F53" w:rsidRDefault="007B1066" w:rsidP="00DD7F53">
      <w:pPr>
        <w:ind w:firstLine="0"/>
        <w:rPr>
          <w:rFonts w:cs="Arial"/>
          <w:sz w:val="16"/>
          <w:szCs w:val="16"/>
          <w:lang w:val="en-AU"/>
        </w:rPr>
      </w:pPr>
      <w:r w:rsidRPr="00DD7F53">
        <w:rPr>
          <w:rStyle w:val="Odwoanieprzypisudolnego"/>
          <w:rFonts w:cs="Arial"/>
          <w:sz w:val="16"/>
          <w:szCs w:val="16"/>
        </w:rPr>
        <w:footnoteRef/>
      </w:r>
      <w:r w:rsidRPr="00DD7F53">
        <w:rPr>
          <w:rFonts w:cs="Arial"/>
          <w:sz w:val="16"/>
          <w:szCs w:val="16"/>
          <w:lang w:val="en-AU"/>
        </w:rPr>
        <w:t xml:space="preserve"> B</w:t>
      </w:r>
      <w:r w:rsidRPr="00DD7F53">
        <w:rPr>
          <w:rFonts w:eastAsia="Times New Roman" w:cs="Arial"/>
          <w:color w:val="000000"/>
          <w:sz w:val="16"/>
          <w:szCs w:val="16"/>
          <w:lang w:val="en-GB" w:eastAsia="pl-PL"/>
        </w:rPr>
        <w:t>. Miloš Rajković, D. Popović Minić, D. Milinčić, M. Zdravković (2020) Circular economy in food industry, Zastita Materijala 61 (3) 229 - 250</w:t>
      </w:r>
    </w:p>
  </w:footnote>
  <w:footnote w:id="89">
    <w:p w14:paraId="154627B7" w14:textId="1A104403" w:rsidR="007B1066" w:rsidRPr="00DD7F53" w:rsidRDefault="007B1066" w:rsidP="00DD7F53">
      <w:pPr>
        <w:ind w:firstLine="0"/>
        <w:rPr>
          <w:rFonts w:cs="Arial"/>
          <w:sz w:val="16"/>
          <w:szCs w:val="16"/>
          <w:lang w:val="en-AU"/>
        </w:rPr>
      </w:pPr>
      <w:r w:rsidRPr="00DD7F53">
        <w:rPr>
          <w:rStyle w:val="Odwoanieprzypisudolnego"/>
          <w:rFonts w:cs="Arial"/>
          <w:sz w:val="16"/>
          <w:szCs w:val="16"/>
        </w:rPr>
        <w:footnoteRef/>
      </w:r>
      <w:r w:rsidRPr="00DD7F53">
        <w:rPr>
          <w:rFonts w:cs="Arial"/>
          <w:sz w:val="16"/>
          <w:szCs w:val="16"/>
          <w:lang w:val="en-AU"/>
        </w:rPr>
        <w:t xml:space="preserve"> R. A. Muhlack, R. Potumarthi, D. W. Jeffery (2018) Sustainable wineries through waste valorisation: A review </w:t>
      </w:r>
      <w:r w:rsidRPr="00DD7F53">
        <w:rPr>
          <w:rFonts w:cs="Arial"/>
          <w:sz w:val="16"/>
          <w:szCs w:val="16"/>
          <w:lang w:val="en-AU"/>
        </w:rPr>
        <w:br/>
        <w:t xml:space="preserve">of grape marc utilisation for value-added products, Waste Management, 72, s. 99-118. Available at: </w:t>
      </w:r>
      <w:hyperlink r:id="rId7" w:history="1">
        <w:r w:rsidRPr="00DD7F53">
          <w:rPr>
            <w:rStyle w:val="Hipercze"/>
            <w:rFonts w:cs="Arial"/>
            <w:color w:val="auto"/>
            <w:sz w:val="16"/>
            <w:szCs w:val="16"/>
            <w:u w:val="none"/>
            <w:lang w:val="en-AU"/>
          </w:rPr>
          <w:t>a</w:t>
        </w:r>
      </w:hyperlink>
      <w:r w:rsidRPr="00DD7F53">
        <w:rPr>
          <w:rFonts w:cs="Arial"/>
          <w:sz w:val="16"/>
          <w:szCs w:val="16"/>
          <w:lang w:val="en-AU"/>
        </w:rPr>
        <w:t>. 2017.11.011</w:t>
      </w:r>
    </w:p>
  </w:footnote>
  <w:footnote w:id="90">
    <w:p w14:paraId="3F6E669B" w14:textId="6DACA036" w:rsidR="007B1066" w:rsidRPr="00DD7F53" w:rsidRDefault="007B1066" w:rsidP="00DD7F53">
      <w:pPr>
        <w:ind w:firstLine="0"/>
        <w:rPr>
          <w:rFonts w:cs="Arial"/>
          <w:sz w:val="16"/>
          <w:szCs w:val="16"/>
          <w:lang w:val="en-AU"/>
        </w:rPr>
      </w:pPr>
      <w:r w:rsidRPr="00DD7F53">
        <w:rPr>
          <w:rStyle w:val="Odwoanieprzypisudolnego"/>
          <w:rFonts w:cs="Arial"/>
          <w:sz w:val="16"/>
          <w:szCs w:val="16"/>
        </w:rPr>
        <w:footnoteRef/>
      </w:r>
      <w:r w:rsidRPr="00DD7F53">
        <w:rPr>
          <w:rFonts w:cs="Arial"/>
          <w:sz w:val="16"/>
          <w:szCs w:val="16"/>
          <w:lang w:val="en-AU"/>
        </w:rPr>
        <w:t xml:space="preserve"> R. Devesa-Rey, X. Vecino, J. L. Varela-Alende, M. T. Barral, J. M. Cruz, A. B. Moldes (2011) Valorization of winery wastes vs. The cost of not recycling, Waste Management, 31, s. 2327-2335.</w:t>
      </w:r>
    </w:p>
  </w:footnote>
  <w:footnote w:id="91">
    <w:p w14:paraId="02158502" w14:textId="62C5D0DD" w:rsidR="007B1066" w:rsidRPr="00DD7F53" w:rsidRDefault="007B1066" w:rsidP="00DD7F53">
      <w:pPr>
        <w:ind w:firstLine="0"/>
        <w:rPr>
          <w:rFonts w:cs="Arial"/>
          <w:sz w:val="16"/>
          <w:szCs w:val="16"/>
          <w:lang w:val="en-GB"/>
        </w:rPr>
      </w:pPr>
      <w:r w:rsidRPr="00DD7F53">
        <w:rPr>
          <w:rStyle w:val="Odwoanieprzypisudolnego"/>
          <w:rFonts w:cs="Arial"/>
          <w:sz w:val="16"/>
          <w:szCs w:val="16"/>
        </w:rPr>
        <w:footnoteRef/>
      </w:r>
      <w:r w:rsidRPr="00DD7F53">
        <w:rPr>
          <w:rFonts w:cs="Arial"/>
          <w:sz w:val="16"/>
          <w:szCs w:val="16"/>
          <w:lang w:val="en-GB"/>
        </w:rPr>
        <w:t xml:space="preserve"> A. Rózek, I. Achaerandio, C. Güell, F. López, M. Ferrando (2010) Use of commercial grape phenolic extracts </w:t>
      </w:r>
      <w:r w:rsidRPr="00DD7F53">
        <w:rPr>
          <w:rFonts w:cs="Arial"/>
          <w:sz w:val="16"/>
          <w:szCs w:val="16"/>
          <w:lang w:val="en-GB"/>
        </w:rPr>
        <w:br/>
        <w:t>to supplement solid foodstuff, LWT- Food Science and Technology, 43, s. 623-631.</w:t>
      </w:r>
    </w:p>
  </w:footnote>
  <w:footnote w:id="92">
    <w:p w14:paraId="0E9C3C87" w14:textId="317F75C7" w:rsidR="007B1066" w:rsidRPr="00DD7F53" w:rsidRDefault="007B1066" w:rsidP="00DD7F53">
      <w:pPr>
        <w:ind w:firstLine="0"/>
        <w:rPr>
          <w:rFonts w:cs="Arial"/>
          <w:sz w:val="16"/>
          <w:szCs w:val="16"/>
          <w:lang w:val="en-GB"/>
        </w:rPr>
      </w:pPr>
      <w:r w:rsidRPr="00DD7F53">
        <w:rPr>
          <w:rStyle w:val="Odwoanieprzypisudolnego"/>
          <w:rFonts w:cs="Arial"/>
          <w:sz w:val="16"/>
          <w:szCs w:val="16"/>
        </w:rPr>
        <w:footnoteRef/>
      </w:r>
      <w:r w:rsidRPr="00DD7F53">
        <w:rPr>
          <w:rFonts w:cs="Arial"/>
          <w:sz w:val="16"/>
          <w:szCs w:val="16"/>
          <w:lang w:val="en-GB"/>
        </w:rPr>
        <w:t xml:space="preserve"> F. B. Shinagawa, F. C. Santana, L. R. O. Torres, J. Mancini-Filho (2015) Grape seed oil: a potential functional food? Journal of Food Science and Technology, 35, s. 399-406</w:t>
      </w:r>
    </w:p>
  </w:footnote>
  <w:footnote w:id="93">
    <w:p w14:paraId="214294C1" w14:textId="2379177F" w:rsidR="007B1066" w:rsidRPr="00DD7F53" w:rsidRDefault="007B1066" w:rsidP="00DD7F53">
      <w:pPr>
        <w:ind w:firstLine="0"/>
        <w:rPr>
          <w:rFonts w:cs="Arial"/>
          <w:sz w:val="16"/>
          <w:szCs w:val="16"/>
          <w:lang w:val="en-AU"/>
        </w:rPr>
      </w:pPr>
      <w:r w:rsidRPr="00DD7F53">
        <w:rPr>
          <w:rStyle w:val="Odwoanieprzypisudolnego"/>
          <w:rFonts w:cs="Arial"/>
          <w:sz w:val="16"/>
          <w:szCs w:val="16"/>
        </w:rPr>
        <w:footnoteRef/>
      </w:r>
      <w:r w:rsidRPr="00DD7F53">
        <w:rPr>
          <w:rFonts w:cs="Arial"/>
          <w:sz w:val="16"/>
          <w:szCs w:val="16"/>
          <w:lang w:val="en-AU"/>
        </w:rPr>
        <w:t xml:space="preserve"> </w:t>
      </w:r>
      <w:hyperlink r:id="rId8" w:history="1">
        <w:r w:rsidRPr="00DD7F53">
          <w:rPr>
            <w:rStyle w:val="Hipercze"/>
            <w:rFonts w:cs="Arial"/>
            <w:color w:val="auto"/>
            <w:sz w:val="16"/>
            <w:szCs w:val="16"/>
            <w:u w:val="none"/>
            <w:lang w:val="en-AU"/>
          </w:rPr>
          <w:t>www.ure.gov.pl</w:t>
        </w:r>
      </w:hyperlink>
      <w:r w:rsidRPr="00DD7F53">
        <w:rPr>
          <w:rFonts w:cs="Arial"/>
          <w:sz w:val="16"/>
          <w:szCs w:val="16"/>
          <w:lang w:val="en-AU"/>
        </w:rPr>
        <w:t>; dostęp 20.06.2021 r.</w:t>
      </w:r>
    </w:p>
  </w:footnote>
  <w:footnote w:id="94">
    <w:p w14:paraId="0E251531" w14:textId="389C8B5D" w:rsidR="007B1066" w:rsidRPr="00DD7F53" w:rsidRDefault="007B1066" w:rsidP="00DD7F53">
      <w:pPr>
        <w:pStyle w:val="Tekstprzypisudolnego"/>
        <w:spacing w:line="276" w:lineRule="auto"/>
        <w:rPr>
          <w:rFonts w:cs="Arial"/>
          <w:u w:val="none"/>
          <w:lang w:val="pl-PL"/>
        </w:rPr>
      </w:pPr>
      <w:r w:rsidRPr="00DD7F53">
        <w:rPr>
          <w:rStyle w:val="Odwoanieprzypisudolnego"/>
          <w:rFonts w:cs="Arial"/>
          <w:u w:val="none"/>
        </w:rPr>
        <w:footnoteRef/>
      </w:r>
      <w:r w:rsidRPr="00DD7F53">
        <w:rPr>
          <w:rFonts w:cs="Arial"/>
          <w:u w:val="none"/>
          <w:lang w:val="pl-PL"/>
        </w:rPr>
        <w:t xml:space="preserve"> Raport Krajowy Prezesa Urzędu Regulacji Energetyki 2020, lipiec 2020</w:t>
      </w:r>
    </w:p>
  </w:footnote>
  <w:footnote w:id="95">
    <w:p w14:paraId="4F0B5A21" w14:textId="17E80F44" w:rsidR="007B1066" w:rsidRPr="00DD7F53" w:rsidRDefault="007B1066" w:rsidP="00DD7F53">
      <w:pPr>
        <w:pStyle w:val="Tekstprzypisudolnego"/>
        <w:spacing w:line="276" w:lineRule="auto"/>
        <w:rPr>
          <w:rFonts w:cs="Arial"/>
          <w:u w:val="none"/>
          <w:lang w:val="pl-PL"/>
        </w:rPr>
      </w:pPr>
      <w:r w:rsidRPr="00DD7F53">
        <w:rPr>
          <w:rStyle w:val="Odwoanieprzypisudolnego"/>
          <w:rFonts w:cs="Arial"/>
          <w:u w:val="none"/>
        </w:rPr>
        <w:footnoteRef/>
      </w:r>
      <w:r w:rsidRPr="00DD7F53">
        <w:rPr>
          <w:rFonts w:cs="Arial"/>
          <w:u w:val="none"/>
          <w:lang w:val="pl-PL"/>
        </w:rPr>
        <w:t xml:space="preserve"> </w:t>
      </w:r>
      <w:hyperlink r:id="rId9" w:history="1">
        <w:r w:rsidRPr="00DD7F53">
          <w:rPr>
            <w:rStyle w:val="Hipercze"/>
            <w:rFonts w:cs="Arial"/>
            <w:color w:val="auto"/>
            <w:u w:val="none"/>
            <w:lang w:val="pl-PL"/>
          </w:rPr>
          <w:t>https://zepak.com.pl/pl/o-firmie/informacje-o-spolce.html</w:t>
        </w:r>
      </w:hyperlink>
      <w:r w:rsidRPr="00DD7F53">
        <w:rPr>
          <w:rFonts w:cs="Arial"/>
          <w:u w:val="none"/>
          <w:lang w:val="pl-PL"/>
        </w:rPr>
        <w:t>; dostęp 20.06.2021 r.</w:t>
      </w:r>
    </w:p>
  </w:footnote>
  <w:footnote w:id="96">
    <w:p w14:paraId="372B3CCE" w14:textId="5A1445E1" w:rsidR="007B1066" w:rsidRPr="00DD7F53" w:rsidRDefault="007B1066" w:rsidP="00DD7F53">
      <w:pPr>
        <w:pStyle w:val="Tekstprzypisudolnego"/>
        <w:spacing w:line="276" w:lineRule="auto"/>
        <w:rPr>
          <w:rFonts w:cs="Arial"/>
          <w:lang w:val="pl-PL"/>
        </w:rPr>
      </w:pPr>
      <w:r w:rsidRPr="00DD7F53">
        <w:rPr>
          <w:rStyle w:val="Odwoanieprzypisudolnego"/>
          <w:rFonts w:cs="Arial"/>
          <w:u w:val="none"/>
        </w:rPr>
        <w:footnoteRef/>
      </w:r>
      <w:r w:rsidRPr="00DD7F53">
        <w:rPr>
          <w:rFonts w:cs="Arial"/>
          <w:u w:val="none"/>
          <w:lang w:val="pl-PL"/>
        </w:rPr>
        <w:t> Dyrektywa Parlamentu Europejskiego i Rady 2010/75/UE z dnia 24 listopada 2010 r. w sprawie emisji przemysłowych (Dz. Urz. UE L 334 z 17.12.2010, s. 17 - IED) zaczęła obowiązywać 6 stycznia 2011 roku z terminem transpozycji do prawa krajowego państw członkowskich do 7 stycznia 2013 r.</w:t>
      </w:r>
    </w:p>
  </w:footnote>
  <w:footnote w:id="97">
    <w:p w14:paraId="287E82E1" w14:textId="0192C3BE" w:rsidR="007B1066" w:rsidRPr="00DD7F53" w:rsidRDefault="007B1066" w:rsidP="00DD7F53">
      <w:pPr>
        <w:ind w:firstLine="0"/>
        <w:rPr>
          <w:rFonts w:cs="Arial"/>
          <w:sz w:val="16"/>
          <w:szCs w:val="16"/>
        </w:rPr>
      </w:pPr>
      <w:r w:rsidRPr="00DD7F53">
        <w:rPr>
          <w:rStyle w:val="Odwoanieprzypisudolnego"/>
          <w:rFonts w:cs="Arial"/>
          <w:sz w:val="16"/>
          <w:szCs w:val="16"/>
        </w:rPr>
        <w:footnoteRef/>
      </w:r>
      <w:r w:rsidRPr="00DD7F53">
        <w:rPr>
          <w:rFonts w:cs="Arial"/>
          <w:sz w:val="16"/>
          <w:szCs w:val="16"/>
        </w:rPr>
        <w:t xml:space="preserve"> https://zepak.com.pl/pl/program-czysta-polska/program-czysta-polska.html; dostęp 20.06.2021 r.</w:t>
      </w:r>
    </w:p>
  </w:footnote>
  <w:footnote w:id="98">
    <w:p w14:paraId="186FB64D" w14:textId="27EEE143" w:rsidR="007B1066" w:rsidRPr="00DD7F53" w:rsidRDefault="007B1066" w:rsidP="00DD7F53">
      <w:pPr>
        <w:ind w:firstLine="0"/>
        <w:rPr>
          <w:rFonts w:cs="Arial"/>
          <w:sz w:val="16"/>
          <w:szCs w:val="16"/>
        </w:rPr>
      </w:pPr>
      <w:r w:rsidRPr="00DD7F53">
        <w:rPr>
          <w:rStyle w:val="Odwoanieprzypisudolnego"/>
          <w:rFonts w:cs="Arial"/>
          <w:sz w:val="16"/>
          <w:szCs w:val="16"/>
        </w:rPr>
        <w:footnoteRef/>
      </w:r>
      <w:r w:rsidRPr="00DD7F53">
        <w:rPr>
          <w:rFonts w:cs="Arial"/>
          <w:sz w:val="16"/>
          <w:szCs w:val="16"/>
        </w:rPr>
        <w:t xml:space="preserve"> https://zepak.com.pl/pl/przetargi/sprzedaz-ubocznych-produktow-spalania.html; dostęp 20.06.2021 r.</w:t>
      </w:r>
    </w:p>
  </w:footnote>
  <w:footnote w:id="99">
    <w:p w14:paraId="5FEEC3CB" w14:textId="087015F4" w:rsidR="007B1066" w:rsidRPr="00DD7F53" w:rsidRDefault="007B1066" w:rsidP="00DD7F53">
      <w:pPr>
        <w:ind w:firstLine="0"/>
        <w:rPr>
          <w:rFonts w:cs="Arial"/>
          <w:sz w:val="16"/>
          <w:szCs w:val="16"/>
        </w:rPr>
      </w:pPr>
      <w:r w:rsidRPr="00DD7F53">
        <w:rPr>
          <w:rStyle w:val="Odwoanieprzypisudolnego"/>
          <w:rFonts w:cs="Arial"/>
          <w:sz w:val="16"/>
          <w:szCs w:val="16"/>
        </w:rPr>
        <w:footnoteRef/>
      </w:r>
      <w:r w:rsidRPr="00DD7F53">
        <w:rPr>
          <w:rFonts w:cs="Arial"/>
          <w:sz w:val="16"/>
          <w:szCs w:val="16"/>
        </w:rPr>
        <w:t xml:space="preserve"> Koncepcja sprawiedliwej transformacji Wielkopolski wschodniej, Samorząd Województwa wielkopolskiego, ARR Transformacja Sp. z.o.o., Konin 2021</w:t>
      </w:r>
    </w:p>
  </w:footnote>
  <w:footnote w:id="100">
    <w:p w14:paraId="10B1632B" w14:textId="6BFF895E" w:rsidR="007B1066" w:rsidRPr="00DD7F53" w:rsidRDefault="007B1066" w:rsidP="00DD7F53">
      <w:pPr>
        <w:ind w:firstLine="0"/>
        <w:rPr>
          <w:rFonts w:cs="Arial"/>
          <w:sz w:val="16"/>
          <w:szCs w:val="16"/>
        </w:rPr>
      </w:pPr>
      <w:r w:rsidRPr="00DD7F53">
        <w:rPr>
          <w:rStyle w:val="Odwoanieprzypisudolnego"/>
          <w:rFonts w:cs="Arial"/>
          <w:sz w:val="16"/>
          <w:szCs w:val="16"/>
        </w:rPr>
        <w:footnoteRef/>
      </w:r>
      <w:r w:rsidRPr="00DD7F53">
        <w:rPr>
          <w:rFonts w:cs="Arial"/>
          <w:sz w:val="16"/>
          <w:szCs w:val="16"/>
        </w:rPr>
        <w:t xml:space="preserve"> https://zepak.com.pl/pl/program-czysta-polska/program-czysta-polska.html; dostęp 20.06.2021 r.</w:t>
      </w:r>
    </w:p>
  </w:footnote>
  <w:footnote w:id="101">
    <w:p w14:paraId="00362F22" w14:textId="1FAD0F1B" w:rsidR="007B1066" w:rsidRPr="00DD7F53" w:rsidRDefault="007B1066" w:rsidP="00DD7F53">
      <w:pPr>
        <w:ind w:firstLine="0"/>
        <w:rPr>
          <w:rFonts w:cs="Arial"/>
          <w:sz w:val="16"/>
          <w:szCs w:val="16"/>
        </w:rPr>
      </w:pPr>
      <w:r w:rsidRPr="00DD7F53">
        <w:rPr>
          <w:rStyle w:val="Odwoanieprzypisudolnego"/>
          <w:rFonts w:cs="Arial"/>
          <w:sz w:val="16"/>
          <w:szCs w:val="16"/>
        </w:rPr>
        <w:footnoteRef/>
      </w:r>
      <w:r w:rsidRPr="00DD7F53">
        <w:rPr>
          <w:rFonts w:cs="Arial"/>
          <w:sz w:val="16"/>
          <w:szCs w:val="16"/>
        </w:rPr>
        <w:t xml:space="preserve"> http://iw.org.pl/category/wodor/; dostęp 20.06.2021 r.</w:t>
      </w:r>
    </w:p>
  </w:footnote>
  <w:footnote w:id="102">
    <w:p w14:paraId="39BADBE8" w14:textId="486703F7" w:rsidR="007B1066" w:rsidRPr="00DD7F53" w:rsidRDefault="007B1066" w:rsidP="00DD7F53">
      <w:pPr>
        <w:ind w:firstLine="0"/>
        <w:rPr>
          <w:rFonts w:cs="Arial"/>
          <w:sz w:val="16"/>
          <w:szCs w:val="16"/>
        </w:rPr>
      </w:pPr>
      <w:r w:rsidRPr="00DD7F53">
        <w:rPr>
          <w:rStyle w:val="Odwoanieprzypisudolnego"/>
          <w:rFonts w:cs="Arial"/>
          <w:sz w:val="16"/>
          <w:szCs w:val="16"/>
        </w:rPr>
        <w:footnoteRef/>
      </w:r>
      <w:r w:rsidRPr="00DD7F53">
        <w:rPr>
          <w:rFonts w:cs="Arial"/>
          <w:sz w:val="16"/>
          <w:szCs w:val="16"/>
        </w:rPr>
        <w:t xml:space="preserve"> Komunikat Komisji Do Parlamentu Europejskiego, Rady, Europejskiego Komitetu Ekonomiczno-Społecznego </w:t>
      </w:r>
      <w:r>
        <w:rPr>
          <w:rFonts w:cs="Arial"/>
          <w:sz w:val="16"/>
          <w:szCs w:val="16"/>
        </w:rPr>
        <w:br/>
      </w:r>
      <w:r w:rsidRPr="00DD7F53">
        <w:rPr>
          <w:rFonts w:cs="Arial"/>
          <w:sz w:val="16"/>
          <w:szCs w:val="16"/>
        </w:rPr>
        <w:t>i Komitetu Regionów. Strategia w zakresie wodoru na rzecz Europy neutralnej dla klimatu. Bruksela, 8.07.2020 r. COM(2020) 301 final</w:t>
      </w:r>
    </w:p>
  </w:footnote>
  <w:footnote w:id="103">
    <w:p w14:paraId="509321BB" w14:textId="2A869A9F" w:rsidR="007B1066" w:rsidRPr="00DD7F53" w:rsidRDefault="007B1066" w:rsidP="00DD7F53">
      <w:pPr>
        <w:ind w:firstLine="0"/>
        <w:rPr>
          <w:rFonts w:cs="Arial"/>
          <w:sz w:val="16"/>
          <w:szCs w:val="16"/>
        </w:rPr>
      </w:pPr>
      <w:r w:rsidRPr="00DD7F53">
        <w:rPr>
          <w:rStyle w:val="Odwoanieprzypisudolnego"/>
          <w:rFonts w:cs="Arial"/>
          <w:sz w:val="16"/>
          <w:szCs w:val="16"/>
        </w:rPr>
        <w:footnoteRef/>
      </w:r>
      <w:r w:rsidRPr="00DD7F53">
        <w:rPr>
          <w:rFonts w:cs="Arial"/>
          <w:sz w:val="16"/>
          <w:szCs w:val="16"/>
        </w:rPr>
        <w:t xml:space="preserve"> https://poprostuenergia.pl/blog/idea-gospodarki-o-obiegu-zamknietym-a-energetyka/; dostęp 20.06.2021 r.</w:t>
      </w:r>
    </w:p>
  </w:footnote>
  <w:footnote w:id="104">
    <w:p w14:paraId="3781F1FA" w14:textId="11ED4F79" w:rsidR="007B1066" w:rsidRPr="00DD7F53" w:rsidRDefault="007B1066" w:rsidP="00DD7F53">
      <w:pPr>
        <w:ind w:firstLine="0"/>
        <w:rPr>
          <w:rFonts w:cs="Arial"/>
          <w:sz w:val="16"/>
          <w:szCs w:val="16"/>
        </w:rPr>
      </w:pPr>
      <w:r w:rsidRPr="00DD7F53">
        <w:rPr>
          <w:rStyle w:val="Odwoanieprzypisudolnego"/>
          <w:rFonts w:cs="Arial"/>
          <w:sz w:val="16"/>
          <w:szCs w:val="16"/>
        </w:rPr>
        <w:footnoteRef/>
      </w:r>
      <w:r w:rsidRPr="00DD7F53">
        <w:rPr>
          <w:rFonts w:cs="Arial"/>
          <w:sz w:val="16"/>
          <w:szCs w:val="16"/>
        </w:rPr>
        <w:t xml:space="preserve"> </w:t>
      </w:r>
      <w:hyperlink r:id="rId10" w:history="1">
        <w:r w:rsidRPr="00DD7F53">
          <w:rPr>
            <w:rStyle w:val="Hipercze"/>
            <w:rFonts w:cs="Arial"/>
            <w:color w:val="auto"/>
            <w:sz w:val="16"/>
            <w:szCs w:val="16"/>
            <w:u w:val="none"/>
          </w:rPr>
          <w:t>http://eko-logis.com.pl/podzial-odpadow/</w:t>
        </w:r>
      </w:hyperlink>
      <w:r w:rsidRPr="00DD7F53">
        <w:rPr>
          <w:rFonts w:cs="Arial"/>
          <w:sz w:val="16"/>
          <w:szCs w:val="16"/>
        </w:rPr>
        <w:t>; dostęp 20.05.2021 r.</w:t>
      </w:r>
    </w:p>
  </w:footnote>
  <w:footnote w:id="105">
    <w:p w14:paraId="0F2CE501" w14:textId="44800EDD" w:rsidR="007B1066" w:rsidRPr="00DD7F53" w:rsidRDefault="007B1066" w:rsidP="00DD7F53">
      <w:pPr>
        <w:ind w:firstLine="0"/>
        <w:rPr>
          <w:rFonts w:cs="Arial"/>
          <w:sz w:val="16"/>
          <w:szCs w:val="16"/>
        </w:rPr>
      </w:pPr>
      <w:r w:rsidRPr="00DD7F53">
        <w:rPr>
          <w:rStyle w:val="Odwoanieprzypisudolnego"/>
          <w:rFonts w:cs="Arial"/>
          <w:sz w:val="16"/>
          <w:szCs w:val="16"/>
        </w:rPr>
        <w:footnoteRef/>
      </w:r>
      <w:r w:rsidRPr="00DD7F53">
        <w:rPr>
          <w:rFonts w:cs="Arial"/>
          <w:sz w:val="16"/>
          <w:szCs w:val="16"/>
        </w:rPr>
        <w:t xml:space="preserve"> Uchwała nr XXII/405/20 Sejmiku Województwa Wielkopolskiego z dnia 28 września 2020 r. w sprawie uchwalenia Planu gospodarki odpadami dla województwa wielkopolskiego na lata 2019-2025 wraz z planem inwestycyjnym</w:t>
      </w:r>
    </w:p>
  </w:footnote>
  <w:footnote w:id="106">
    <w:p w14:paraId="485A2164" w14:textId="0F92F489" w:rsidR="007B1066" w:rsidRPr="00DD7F53" w:rsidRDefault="007B1066" w:rsidP="00DD7F53">
      <w:pPr>
        <w:ind w:firstLine="0"/>
        <w:rPr>
          <w:rFonts w:cs="Arial"/>
          <w:sz w:val="16"/>
          <w:szCs w:val="16"/>
        </w:rPr>
      </w:pPr>
      <w:r w:rsidRPr="00DD7F53">
        <w:rPr>
          <w:rStyle w:val="Odwoanieprzypisudolnego"/>
          <w:rFonts w:cs="Arial"/>
          <w:sz w:val="16"/>
          <w:szCs w:val="16"/>
        </w:rPr>
        <w:footnoteRef/>
      </w:r>
      <w:r w:rsidRPr="00DD7F53">
        <w:rPr>
          <w:rFonts w:cs="Arial"/>
          <w:sz w:val="16"/>
          <w:szCs w:val="16"/>
        </w:rPr>
        <w:t xml:space="preserve"> </w:t>
      </w:r>
      <w:hyperlink r:id="rId11" w:history="1">
        <w:r w:rsidRPr="00DD7F53">
          <w:rPr>
            <w:rStyle w:val="Hipercze"/>
            <w:rFonts w:cs="Arial"/>
            <w:color w:val="auto"/>
            <w:sz w:val="16"/>
            <w:szCs w:val="16"/>
            <w:u w:val="none"/>
          </w:rPr>
          <w:t>https://goz.pw.edu.pl/</w:t>
        </w:r>
      </w:hyperlink>
      <w:r w:rsidRPr="00DD7F53">
        <w:rPr>
          <w:rFonts w:cs="Arial"/>
          <w:sz w:val="16"/>
          <w:szCs w:val="16"/>
        </w:rPr>
        <w:t>; dostęp 20.05.2021 r.</w:t>
      </w:r>
    </w:p>
  </w:footnote>
  <w:footnote w:id="107">
    <w:p w14:paraId="10BB4BC6" w14:textId="1532E204" w:rsidR="007B1066" w:rsidRPr="00DD7F53" w:rsidRDefault="007B1066" w:rsidP="00DD7F53">
      <w:pPr>
        <w:ind w:firstLine="0"/>
        <w:rPr>
          <w:rFonts w:cs="Arial"/>
          <w:sz w:val="16"/>
          <w:szCs w:val="16"/>
          <w:lang w:val="en-AU"/>
        </w:rPr>
      </w:pPr>
      <w:r w:rsidRPr="00DD7F53">
        <w:rPr>
          <w:rStyle w:val="Odwoanieprzypisudolnego"/>
          <w:rFonts w:cs="Arial"/>
          <w:sz w:val="16"/>
          <w:szCs w:val="16"/>
        </w:rPr>
        <w:footnoteRef/>
      </w:r>
      <w:r w:rsidRPr="00DD7F53">
        <w:rPr>
          <w:rFonts w:cs="Arial"/>
          <w:sz w:val="16"/>
          <w:szCs w:val="16"/>
          <w:lang w:val="en-AU"/>
        </w:rPr>
        <w:t xml:space="preserve"> </w:t>
      </w:r>
      <w:r w:rsidRPr="00DD7F53">
        <w:rPr>
          <w:rFonts w:eastAsia="Times New Roman" w:cs="Arial"/>
          <w:color w:val="000000"/>
          <w:sz w:val="16"/>
          <w:szCs w:val="16"/>
          <w:lang w:val="en-GB" w:eastAsia="pl-PL"/>
        </w:rPr>
        <w:t>M. Janiga, M. Michniewicz, J. Stufka-Olczak (2012), Properties and Possible Utilization of Waste Generated in the Production of Fibrous Pulp and Paper. FIBRES &amp; TEXTILES in Eastern Europe 2012; 20, 6B (96): 173-178</w:t>
      </w:r>
    </w:p>
  </w:footnote>
  <w:footnote w:id="108">
    <w:p w14:paraId="088AF111" w14:textId="2CDFDDFD" w:rsidR="007B1066" w:rsidRPr="00DD7F53" w:rsidRDefault="007B1066" w:rsidP="00DD7F53">
      <w:pPr>
        <w:ind w:firstLine="0"/>
        <w:jc w:val="left"/>
        <w:rPr>
          <w:rFonts w:cs="Arial"/>
          <w:sz w:val="16"/>
          <w:szCs w:val="16"/>
        </w:rPr>
      </w:pPr>
      <w:r w:rsidRPr="00DD7F53">
        <w:rPr>
          <w:rStyle w:val="Odwoanieprzypisudolnego"/>
          <w:rFonts w:cs="Arial"/>
          <w:sz w:val="16"/>
          <w:szCs w:val="16"/>
        </w:rPr>
        <w:footnoteRef/>
      </w:r>
      <w:r w:rsidRPr="00DD7F53">
        <w:rPr>
          <w:rFonts w:cs="Arial"/>
          <w:sz w:val="16"/>
          <w:szCs w:val="16"/>
        </w:rPr>
        <w:t xml:space="preserve"> https://www.europarl.europa.eu/news/pl/headlines/society/20201208STO93327/wplyw-produkcji-tekstyliow-i-odpadow-tekstylnych-na-srodowisko-infografika; dostęp 20.05.2021 r.</w:t>
      </w:r>
    </w:p>
  </w:footnote>
  <w:footnote w:id="109">
    <w:p w14:paraId="25B0E34B" w14:textId="77777777" w:rsidR="007B1066" w:rsidRPr="00DD7F53" w:rsidRDefault="007B1066" w:rsidP="00DD7F53">
      <w:pPr>
        <w:ind w:firstLine="0"/>
        <w:rPr>
          <w:rFonts w:cs="Arial"/>
          <w:sz w:val="16"/>
          <w:szCs w:val="16"/>
        </w:rPr>
      </w:pPr>
      <w:r w:rsidRPr="00DD7F53">
        <w:rPr>
          <w:rStyle w:val="Odwoanieprzypisudolnego"/>
          <w:rFonts w:cs="Arial"/>
          <w:sz w:val="16"/>
          <w:szCs w:val="16"/>
        </w:rPr>
        <w:footnoteRef/>
      </w:r>
      <w:r w:rsidRPr="00DD7F53">
        <w:rPr>
          <w:rFonts w:cs="Arial"/>
          <w:sz w:val="16"/>
          <w:szCs w:val="16"/>
        </w:rPr>
        <w:t xml:space="preserve"> Biała księga transportu: Plan utworzenia jednolitego europejskiego obszaru transportu dążenie do osiągnięcia konkurencyjnego - i zasobooszczędnego systemu transportu.</w:t>
      </w:r>
    </w:p>
  </w:footnote>
  <w:footnote w:id="110">
    <w:p w14:paraId="26381231" w14:textId="77777777" w:rsidR="007B1066" w:rsidRPr="00DD7F53" w:rsidRDefault="007B1066" w:rsidP="00DD7F53">
      <w:pPr>
        <w:ind w:firstLine="0"/>
        <w:rPr>
          <w:rFonts w:cs="Arial"/>
          <w:sz w:val="16"/>
          <w:szCs w:val="16"/>
        </w:rPr>
      </w:pPr>
      <w:r w:rsidRPr="00DD7F53">
        <w:rPr>
          <w:rStyle w:val="Odwoanieprzypisudolnego"/>
          <w:rFonts w:cs="Arial"/>
          <w:sz w:val="16"/>
          <w:szCs w:val="16"/>
        </w:rPr>
        <w:footnoteRef/>
      </w:r>
      <w:r w:rsidRPr="00DD7F53">
        <w:rPr>
          <w:rFonts w:cs="Arial"/>
          <w:sz w:val="16"/>
          <w:szCs w:val="16"/>
        </w:rPr>
        <w:t xml:space="preserve"> Strategia rozwoju województwa wielkopolskiego do 2030, Zarząd Województwa Wielkopolskiego, Poznań 2020</w:t>
      </w:r>
    </w:p>
  </w:footnote>
  <w:footnote w:id="111">
    <w:p w14:paraId="35998BEC" w14:textId="77777777" w:rsidR="007B1066" w:rsidRPr="00DD7F53" w:rsidRDefault="007B1066" w:rsidP="00DD7F53">
      <w:pPr>
        <w:ind w:firstLine="0"/>
        <w:rPr>
          <w:rFonts w:cs="Arial"/>
          <w:sz w:val="16"/>
          <w:szCs w:val="16"/>
        </w:rPr>
      </w:pPr>
      <w:r w:rsidRPr="00DD7F53">
        <w:rPr>
          <w:rStyle w:val="Odwoanieprzypisudolnego"/>
          <w:rFonts w:cs="Arial"/>
          <w:sz w:val="16"/>
          <w:szCs w:val="16"/>
        </w:rPr>
        <w:footnoteRef/>
      </w:r>
      <w:r w:rsidRPr="00DD7F53">
        <w:rPr>
          <w:rFonts w:cs="Arial"/>
          <w:sz w:val="16"/>
          <w:szCs w:val="16"/>
        </w:rPr>
        <w:t xml:space="preserve"> Indeks Millennium 2020. Potencjał Innowacyjności Regionów, Millenium Bank, 2020</w:t>
      </w:r>
    </w:p>
  </w:footnote>
  <w:footnote w:id="112">
    <w:p w14:paraId="5E999FB8" w14:textId="31478CC6" w:rsidR="007B1066" w:rsidRPr="00DD7F53" w:rsidRDefault="007B1066" w:rsidP="00DD7F53">
      <w:pPr>
        <w:ind w:firstLine="0"/>
        <w:rPr>
          <w:rFonts w:cs="Arial"/>
          <w:sz w:val="16"/>
          <w:szCs w:val="16"/>
        </w:rPr>
      </w:pPr>
      <w:r w:rsidRPr="00DD7F53">
        <w:rPr>
          <w:rStyle w:val="Odwoanieprzypisudolnego"/>
          <w:rFonts w:cs="Arial"/>
          <w:sz w:val="16"/>
          <w:szCs w:val="16"/>
        </w:rPr>
        <w:footnoteRef/>
      </w:r>
      <w:r w:rsidRPr="00DD7F53">
        <w:rPr>
          <w:rFonts w:cs="Arial"/>
          <w:sz w:val="16"/>
          <w:szCs w:val="16"/>
        </w:rPr>
        <w:t xml:space="preserve"> Regionalna strategia innowacji dla Wielkopolski 2030, Samorząd Województwa Wielkopolskiego, Poznań 2020</w:t>
      </w:r>
    </w:p>
  </w:footnote>
  <w:footnote w:id="113">
    <w:p w14:paraId="4D1844A4" w14:textId="77777777" w:rsidR="007B1066" w:rsidRPr="00DD7F53" w:rsidRDefault="007B1066" w:rsidP="00DD7F53">
      <w:pPr>
        <w:ind w:firstLine="0"/>
        <w:rPr>
          <w:rFonts w:cs="Arial"/>
          <w:sz w:val="16"/>
          <w:szCs w:val="16"/>
        </w:rPr>
      </w:pPr>
      <w:r w:rsidRPr="00DD7F53">
        <w:rPr>
          <w:rStyle w:val="Odwoanieprzypisudolnego"/>
          <w:rFonts w:cs="Arial"/>
          <w:sz w:val="16"/>
          <w:szCs w:val="16"/>
        </w:rPr>
        <w:footnoteRef/>
      </w:r>
      <w:r w:rsidRPr="00DD7F53">
        <w:rPr>
          <w:rFonts w:cs="Arial"/>
          <w:sz w:val="16"/>
          <w:szCs w:val="16"/>
        </w:rPr>
        <w:t xml:space="preserve"> Polska Organizacja Gazu Płynnego. Raport Roczny 2019, Warszawa 2020</w:t>
      </w:r>
    </w:p>
  </w:footnote>
  <w:footnote w:id="114">
    <w:p w14:paraId="370E16A1" w14:textId="5A39E545" w:rsidR="007B1066" w:rsidRPr="00DD7F53" w:rsidRDefault="007B1066" w:rsidP="00DD7F53">
      <w:pPr>
        <w:ind w:firstLine="0"/>
        <w:rPr>
          <w:rFonts w:cs="Arial"/>
          <w:sz w:val="16"/>
          <w:szCs w:val="16"/>
        </w:rPr>
      </w:pPr>
      <w:r w:rsidRPr="00DD7F53">
        <w:rPr>
          <w:rStyle w:val="Odwoanieprzypisudolnego"/>
          <w:rFonts w:cs="Arial"/>
          <w:sz w:val="16"/>
          <w:szCs w:val="16"/>
        </w:rPr>
        <w:footnoteRef/>
      </w:r>
      <w:r w:rsidRPr="00DD7F53">
        <w:rPr>
          <w:rFonts w:cs="Arial"/>
          <w:sz w:val="16"/>
          <w:szCs w:val="16"/>
        </w:rPr>
        <w:t xml:space="preserve"> Polski Związek Przemysłu Motoryzacyjnego. Raportu „Branża Motoryzacyjna 2020/2021”</w:t>
      </w:r>
    </w:p>
  </w:footnote>
  <w:footnote w:id="115">
    <w:p w14:paraId="3286EA2B" w14:textId="77777777" w:rsidR="007B1066" w:rsidRPr="00DD7F53" w:rsidRDefault="007B1066" w:rsidP="00DD7F53">
      <w:pPr>
        <w:ind w:firstLine="0"/>
        <w:rPr>
          <w:rFonts w:cs="Arial"/>
          <w:sz w:val="16"/>
          <w:szCs w:val="16"/>
        </w:rPr>
      </w:pPr>
      <w:r w:rsidRPr="00DD7F53">
        <w:rPr>
          <w:rStyle w:val="Odwoanieprzypisudolnego"/>
          <w:rFonts w:cs="Arial"/>
          <w:sz w:val="16"/>
          <w:szCs w:val="16"/>
        </w:rPr>
        <w:footnoteRef/>
      </w:r>
      <w:r w:rsidRPr="00DD7F53">
        <w:rPr>
          <w:rFonts w:cs="Arial"/>
          <w:sz w:val="16"/>
          <w:szCs w:val="16"/>
        </w:rPr>
        <w:t xml:space="preserve"> Polska Organizacja Gazu Płynnego. Raport Roczny 2019, Warszawa 2020</w:t>
      </w:r>
    </w:p>
  </w:footnote>
  <w:footnote w:id="116">
    <w:p w14:paraId="7CD238A0" w14:textId="6049DFB3" w:rsidR="007B1066" w:rsidRPr="00DD7F53" w:rsidRDefault="007B1066" w:rsidP="00DD7F53">
      <w:pPr>
        <w:ind w:firstLine="0"/>
        <w:rPr>
          <w:rFonts w:cs="Arial"/>
          <w:sz w:val="16"/>
          <w:szCs w:val="16"/>
        </w:rPr>
      </w:pPr>
      <w:r w:rsidRPr="00DD7F53">
        <w:rPr>
          <w:rStyle w:val="Odwoanieprzypisudolnego"/>
          <w:rFonts w:cs="Arial"/>
          <w:sz w:val="16"/>
          <w:szCs w:val="16"/>
        </w:rPr>
        <w:footnoteRef/>
      </w:r>
      <w:r w:rsidRPr="00DD7F53">
        <w:rPr>
          <w:rFonts w:cs="Arial"/>
          <w:sz w:val="16"/>
          <w:szCs w:val="16"/>
        </w:rPr>
        <w:t xml:space="preserve"> GUS BDL. Pojazdy według rodzajów stosowanego paliwa w 2019 r. </w:t>
      </w:r>
      <w:hyperlink r:id="rId12" w:history="1">
        <w:r w:rsidRPr="00DD7F53">
          <w:rPr>
            <w:rStyle w:val="Hipercze"/>
            <w:rFonts w:cs="Arial"/>
            <w:color w:val="auto"/>
            <w:sz w:val="16"/>
            <w:szCs w:val="16"/>
            <w:u w:val="none"/>
          </w:rPr>
          <w:t>https://bdl.stat.gov.pl/BDL/dane/podgrup/temat</w:t>
        </w:r>
      </w:hyperlink>
      <w:r w:rsidRPr="00DD7F53">
        <w:rPr>
          <w:rFonts w:cs="Arial"/>
          <w:sz w:val="16"/>
          <w:szCs w:val="16"/>
        </w:rPr>
        <w:t>; dostęp 8.06.2021 r.; pojazdy łącznie, tj. samochody osobowe, samochody ciężarowe, autobusy, ciągniki siodłowe.</w:t>
      </w:r>
    </w:p>
  </w:footnote>
  <w:footnote w:id="117">
    <w:p w14:paraId="27D35D7E" w14:textId="77777777" w:rsidR="007B1066" w:rsidRPr="00DD7F53" w:rsidRDefault="007B1066" w:rsidP="00DD7F53">
      <w:pPr>
        <w:ind w:firstLine="0"/>
        <w:rPr>
          <w:rFonts w:cs="Arial"/>
          <w:sz w:val="16"/>
          <w:szCs w:val="16"/>
        </w:rPr>
      </w:pPr>
      <w:r w:rsidRPr="00DD7F53">
        <w:rPr>
          <w:rStyle w:val="Odwoanieprzypisudolnego"/>
          <w:rFonts w:cs="Arial"/>
          <w:sz w:val="16"/>
          <w:szCs w:val="16"/>
        </w:rPr>
        <w:footnoteRef/>
      </w:r>
      <w:r w:rsidRPr="00DD7F53">
        <w:rPr>
          <w:rFonts w:cs="Arial"/>
          <w:sz w:val="16"/>
          <w:szCs w:val="16"/>
        </w:rPr>
        <w:t xml:space="preserve"> Paliwa pozostałe po uwzględnieniu (odjęciu) benzyny, oleju napędowego, i gazu (LPG)</w:t>
      </w:r>
    </w:p>
  </w:footnote>
  <w:footnote w:id="118">
    <w:p w14:paraId="72B67EEA" w14:textId="617AA10B" w:rsidR="007B1066" w:rsidRPr="00DD7F53" w:rsidRDefault="007B1066" w:rsidP="00DD7F53">
      <w:pPr>
        <w:ind w:firstLine="0"/>
        <w:rPr>
          <w:rFonts w:cs="Arial"/>
          <w:sz w:val="16"/>
          <w:szCs w:val="16"/>
        </w:rPr>
      </w:pPr>
      <w:r w:rsidRPr="00DD7F53">
        <w:rPr>
          <w:rStyle w:val="Odwoanieprzypisudolnego"/>
          <w:rFonts w:cs="Arial"/>
          <w:sz w:val="16"/>
          <w:szCs w:val="16"/>
        </w:rPr>
        <w:footnoteRef/>
      </w:r>
      <w:r w:rsidRPr="00DD7F53">
        <w:rPr>
          <w:rFonts w:cs="Arial"/>
          <w:sz w:val="16"/>
          <w:szCs w:val="16"/>
        </w:rPr>
        <w:t xml:space="preserve"> GUS i US Szczecin 2020. Transport – wyniki działalności w 2019 r. Warszawa, Szczecin 2020</w:t>
      </w:r>
    </w:p>
  </w:footnote>
  <w:footnote w:id="119">
    <w:p w14:paraId="5E2FD689" w14:textId="77777777" w:rsidR="007B1066" w:rsidRPr="00DD7F53" w:rsidRDefault="007B1066" w:rsidP="00DD7F53">
      <w:pPr>
        <w:ind w:firstLine="0"/>
        <w:rPr>
          <w:rFonts w:cs="Arial"/>
          <w:sz w:val="16"/>
          <w:szCs w:val="16"/>
        </w:rPr>
      </w:pPr>
      <w:r w:rsidRPr="00DD7F53">
        <w:rPr>
          <w:rStyle w:val="Odwoanieprzypisudolnego"/>
          <w:rFonts w:cs="Arial"/>
          <w:sz w:val="16"/>
          <w:szCs w:val="16"/>
        </w:rPr>
        <w:footnoteRef/>
      </w:r>
      <w:r w:rsidRPr="00DD7F53">
        <w:rPr>
          <w:rFonts w:cs="Arial"/>
          <w:sz w:val="16"/>
          <w:szCs w:val="16"/>
        </w:rPr>
        <w:t xml:space="preserve"> PSPA/PZPM, Licznik elektomobilności, grudzień 2019; na podstawie Polska Organizacja Gazu Płynnego. Raport Roczny 2019, Warszawa 2020</w:t>
      </w:r>
    </w:p>
  </w:footnote>
  <w:footnote w:id="120">
    <w:p w14:paraId="6C46259A" w14:textId="481727EA" w:rsidR="007B1066" w:rsidRPr="00DD7F53" w:rsidRDefault="007B1066" w:rsidP="00DD7F53">
      <w:pPr>
        <w:ind w:firstLine="0"/>
        <w:rPr>
          <w:rFonts w:cs="Arial"/>
          <w:sz w:val="16"/>
          <w:szCs w:val="16"/>
        </w:rPr>
      </w:pPr>
      <w:r w:rsidRPr="00DD7F53">
        <w:rPr>
          <w:rStyle w:val="Odwoanieprzypisudolnego"/>
          <w:rFonts w:cs="Arial"/>
          <w:sz w:val="16"/>
          <w:szCs w:val="16"/>
        </w:rPr>
        <w:footnoteRef/>
      </w:r>
      <w:r w:rsidRPr="00DD7F53">
        <w:rPr>
          <w:rFonts w:cs="Arial"/>
          <w:sz w:val="16"/>
          <w:szCs w:val="16"/>
        </w:rPr>
        <w:t> </w:t>
      </w:r>
      <w:hyperlink r:id="rId13" w:history="1">
        <w:r w:rsidRPr="00DD7F53">
          <w:rPr>
            <w:rStyle w:val="Hipercze"/>
            <w:rFonts w:cs="Arial"/>
            <w:color w:val="auto"/>
            <w:sz w:val="16"/>
            <w:szCs w:val="16"/>
            <w:u w:val="none"/>
          </w:rPr>
          <w:t>https://duon.pl/lepiejnagaz/wyzwania-rynku-lng-w-ciezkim-transporcie-samochodowym-w-polsce/</w:t>
        </w:r>
      </w:hyperlink>
      <w:r w:rsidRPr="00DD7F53">
        <w:rPr>
          <w:rFonts w:cs="Arial"/>
          <w:sz w:val="16"/>
          <w:szCs w:val="16"/>
        </w:rPr>
        <w:t>;dostęp 20.05.2021 r.</w:t>
      </w:r>
    </w:p>
  </w:footnote>
  <w:footnote w:id="121">
    <w:p w14:paraId="5A1D6AFF" w14:textId="61E5878A" w:rsidR="007B1066" w:rsidRPr="00DD7F53" w:rsidRDefault="007B1066" w:rsidP="00DD7F53">
      <w:pPr>
        <w:ind w:firstLine="0"/>
        <w:rPr>
          <w:rFonts w:cs="Arial"/>
          <w:sz w:val="16"/>
          <w:szCs w:val="16"/>
        </w:rPr>
      </w:pPr>
      <w:r w:rsidRPr="00DD7F53">
        <w:rPr>
          <w:rStyle w:val="Odwoanieprzypisudolnego"/>
          <w:rFonts w:cs="Arial"/>
          <w:sz w:val="16"/>
          <w:szCs w:val="16"/>
        </w:rPr>
        <w:footnoteRef/>
      </w:r>
      <w:r w:rsidRPr="00DD7F53">
        <w:rPr>
          <w:rFonts w:cs="Arial"/>
          <w:sz w:val="16"/>
          <w:szCs w:val="16"/>
        </w:rPr>
        <w:t xml:space="preserve"> </w:t>
      </w:r>
      <w:hyperlink r:id="rId14" w:history="1">
        <w:r w:rsidRPr="00DD7F53">
          <w:rPr>
            <w:rStyle w:val="Hipercze"/>
            <w:rFonts w:cs="Arial"/>
            <w:color w:val="auto"/>
            <w:sz w:val="16"/>
            <w:szCs w:val="16"/>
            <w:u w:val="none"/>
          </w:rPr>
          <w:t>https://www.neste.com/</w:t>
        </w:r>
      </w:hyperlink>
      <w:r w:rsidRPr="00DD7F53">
        <w:rPr>
          <w:rFonts w:cs="Arial"/>
          <w:sz w:val="16"/>
          <w:szCs w:val="16"/>
        </w:rPr>
        <w:t>; dostęp 20.05.2021 r.</w:t>
      </w:r>
    </w:p>
  </w:footnote>
  <w:footnote w:id="122">
    <w:p w14:paraId="359EA1C3" w14:textId="7D182292" w:rsidR="007B1066" w:rsidRPr="00DD7F53" w:rsidRDefault="007B1066" w:rsidP="00DD7F53">
      <w:pPr>
        <w:ind w:firstLine="0"/>
        <w:jc w:val="left"/>
        <w:rPr>
          <w:rFonts w:cs="Arial"/>
          <w:sz w:val="16"/>
          <w:szCs w:val="16"/>
        </w:rPr>
      </w:pPr>
      <w:r w:rsidRPr="00DD7F53">
        <w:rPr>
          <w:rStyle w:val="Odwoanieprzypisudolnego"/>
          <w:rFonts w:cs="Arial"/>
          <w:sz w:val="16"/>
          <w:szCs w:val="16"/>
        </w:rPr>
        <w:footnoteRef/>
      </w:r>
      <w:r w:rsidRPr="00DD7F53">
        <w:rPr>
          <w:rFonts w:cs="Arial"/>
          <w:sz w:val="16"/>
          <w:szCs w:val="16"/>
        </w:rPr>
        <w:t xml:space="preserve"> Rejestr wytwórców biogazu rolniczego. Stan na dzień 1.06.2021 r.; KOWR; </w:t>
      </w:r>
      <w:hyperlink r:id="rId15" w:history="1">
        <w:r w:rsidRPr="00DD7F53">
          <w:rPr>
            <w:rStyle w:val="Hipercze"/>
            <w:rFonts w:cs="Arial"/>
            <w:color w:val="auto"/>
            <w:sz w:val="16"/>
            <w:szCs w:val="16"/>
            <w:u w:val="none"/>
          </w:rPr>
          <w:t>https://www.kowr.gov.pl/odnawialne-zrodla-energii/biogaz-rolniczy/wytworcy-biogazu-rolniczego/rejestr-wytworcow-biogazu-rolniczego</w:t>
        </w:r>
      </w:hyperlink>
      <w:r w:rsidRPr="00DD7F53">
        <w:rPr>
          <w:rFonts w:cs="Arial"/>
          <w:sz w:val="16"/>
          <w:szCs w:val="16"/>
        </w:rPr>
        <w:t>; dostęp 08.06.2021 r.</w:t>
      </w:r>
    </w:p>
  </w:footnote>
  <w:footnote w:id="123">
    <w:p w14:paraId="21B0899D" w14:textId="0CFD96C9" w:rsidR="007B1066" w:rsidRPr="00DD7F53" w:rsidRDefault="007B1066" w:rsidP="00DD7F53">
      <w:pPr>
        <w:ind w:firstLine="0"/>
        <w:jc w:val="left"/>
        <w:rPr>
          <w:rFonts w:cs="Arial"/>
          <w:sz w:val="16"/>
          <w:szCs w:val="16"/>
        </w:rPr>
      </w:pPr>
      <w:r w:rsidRPr="00DD7F53">
        <w:rPr>
          <w:rStyle w:val="Odwoanieprzypisudolnego"/>
          <w:rFonts w:cs="Arial"/>
          <w:sz w:val="16"/>
          <w:szCs w:val="16"/>
        </w:rPr>
        <w:footnoteRef/>
      </w:r>
      <w:r w:rsidRPr="00DD7F53">
        <w:rPr>
          <w:rFonts w:cs="Arial"/>
          <w:sz w:val="16"/>
          <w:szCs w:val="16"/>
        </w:rPr>
        <w:t xml:space="preserve"> </w:t>
      </w:r>
      <w:hyperlink r:id="rId16" w:history="1">
        <w:r w:rsidRPr="00DD7F53">
          <w:rPr>
            <w:rStyle w:val="Hipercze"/>
            <w:rFonts w:cs="Arial"/>
            <w:color w:val="auto"/>
            <w:sz w:val="16"/>
            <w:szCs w:val="16"/>
            <w:u w:val="none"/>
          </w:rPr>
          <w:t>https://www.skanska.pl/o-skanska/media/informacje-prasowe/247536/Zielone-innowacje-Skanska-zawitaja-do-Poznania.-Deweloper-wybuduje-pierwszy-w-miescie-chodnik-antysmogowy</w:t>
        </w:r>
      </w:hyperlink>
      <w:r w:rsidRPr="00DD7F53">
        <w:rPr>
          <w:rFonts w:cs="Arial"/>
          <w:sz w:val="16"/>
          <w:szCs w:val="16"/>
        </w:rPr>
        <w:t>, dostęp 02.06.2021 r.</w:t>
      </w:r>
    </w:p>
  </w:footnote>
  <w:footnote w:id="124">
    <w:p w14:paraId="0C9C025D" w14:textId="2B4277D5" w:rsidR="007B1066" w:rsidRPr="00DD7F53" w:rsidRDefault="007B1066" w:rsidP="00DD7F53">
      <w:pPr>
        <w:ind w:firstLine="0"/>
        <w:rPr>
          <w:rFonts w:cs="Arial"/>
          <w:sz w:val="16"/>
          <w:szCs w:val="16"/>
        </w:rPr>
      </w:pPr>
      <w:r w:rsidRPr="00DD7F53">
        <w:rPr>
          <w:rStyle w:val="Odwoanieprzypisudolnego"/>
          <w:rFonts w:cs="Arial"/>
          <w:sz w:val="16"/>
          <w:szCs w:val="16"/>
        </w:rPr>
        <w:footnoteRef/>
      </w:r>
      <w:r w:rsidRPr="00DD7F53">
        <w:rPr>
          <w:rFonts w:cs="Arial"/>
          <w:sz w:val="16"/>
          <w:szCs w:val="16"/>
        </w:rPr>
        <w:t xml:space="preserve"> </w:t>
      </w:r>
      <w:hyperlink r:id="rId17" w:history="1">
        <w:r w:rsidRPr="00DD7F53">
          <w:rPr>
            <w:rStyle w:val="Hipercze"/>
            <w:rFonts w:cs="Arial"/>
            <w:color w:val="auto"/>
            <w:sz w:val="16"/>
            <w:szCs w:val="16"/>
            <w:u w:val="none"/>
          </w:rPr>
          <w:t>https://www.poznan.pl/mim/main/-,p,13631,47205,47207.html</w:t>
        </w:r>
      </w:hyperlink>
      <w:r w:rsidRPr="00DD7F53">
        <w:rPr>
          <w:rFonts w:cs="Arial"/>
          <w:sz w:val="16"/>
          <w:szCs w:val="16"/>
        </w:rPr>
        <w:t>, dostęp 02.06.2021 r.</w:t>
      </w:r>
    </w:p>
  </w:footnote>
  <w:footnote w:id="125">
    <w:p w14:paraId="58135159" w14:textId="77777777" w:rsidR="007B1066" w:rsidRPr="00DD7F53" w:rsidRDefault="007B1066" w:rsidP="00DD7F53">
      <w:pPr>
        <w:ind w:firstLine="0"/>
        <w:rPr>
          <w:rFonts w:cs="Arial"/>
          <w:sz w:val="16"/>
          <w:szCs w:val="16"/>
        </w:rPr>
      </w:pPr>
      <w:r w:rsidRPr="00DD7F53">
        <w:rPr>
          <w:rStyle w:val="Odwoanieprzypisudolnego"/>
          <w:rFonts w:cs="Arial"/>
          <w:sz w:val="16"/>
          <w:szCs w:val="16"/>
        </w:rPr>
        <w:footnoteRef/>
      </w:r>
      <w:r w:rsidRPr="00DD7F53">
        <w:rPr>
          <w:rFonts w:cs="Arial"/>
          <w:sz w:val="16"/>
          <w:szCs w:val="16"/>
        </w:rPr>
        <w:t xml:space="preserve"> </w:t>
      </w:r>
      <w:hyperlink r:id="rId18" w:history="1">
        <w:r w:rsidRPr="00DD7F53">
          <w:rPr>
            <w:rStyle w:val="Hipercze"/>
            <w:rFonts w:cs="Arial"/>
            <w:color w:val="auto"/>
            <w:sz w:val="16"/>
            <w:szCs w:val="16"/>
            <w:u w:val="none"/>
          </w:rPr>
          <w:t>https://www.agroindustry.pl/index.php/2017/11/27/opakowania-inteligentne-i-aktywne/</w:t>
        </w:r>
      </w:hyperlink>
      <w:r w:rsidRPr="00DD7F53">
        <w:rPr>
          <w:rFonts w:cs="Arial"/>
          <w:sz w:val="16"/>
          <w:szCs w:val="16"/>
        </w:rPr>
        <w:t xml:space="preserve">, </w:t>
      </w:r>
      <w:r w:rsidRPr="00DD7F53">
        <w:rPr>
          <w:rFonts w:eastAsia="Times New Roman" w:cs="Arial"/>
          <w:sz w:val="16"/>
          <w:szCs w:val="16"/>
          <w:lang w:eastAsia="pl-PL"/>
        </w:rPr>
        <w:t>dostęp 05.06.2021</w:t>
      </w:r>
    </w:p>
  </w:footnote>
  <w:footnote w:id="126">
    <w:p w14:paraId="37EFE7B4" w14:textId="3F48A515" w:rsidR="007B1066" w:rsidRPr="00DD7F53" w:rsidRDefault="007B1066" w:rsidP="00DD7F53">
      <w:pPr>
        <w:ind w:firstLine="0"/>
        <w:rPr>
          <w:rFonts w:cs="Arial"/>
          <w:sz w:val="16"/>
          <w:szCs w:val="16"/>
        </w:rPr>
      </w:pPr>
      <w:r w:rsidRPr="00DD7F53">
        <w:rPr>
          <w:rStyle w:val="Odwoanieprzypisudolnego"/>
          <w:rFonts w:cs="Arial"/>
          <w:sz w:val="16"/>
          <w:szCs w:val="16"/>
        </w:rPr>
        <w:footnoteRef/>
      </w:r>
      <w:r w:rsidRPr="00DD7F53">
        <w:rPr>
          <w:rFonts w:cs="Arial"/>
          <w:sz w:val="16"/>
          <w:szCs w:val="16"/>
        </w:rPr>
        <w:t> R. Cierpiszewski, Rola opakowań inteligentnych i aktywnych w zapewnieniu bezpieczeństwa żywności, Wydawnictwo Uniwersytet Ekonomiczny w Poznaniu, Poznań 2018</w:t>
      </w:r>
    </w:p>
  </w:footnote>
  <w:footnote w:id="127">
    <w:p w14:paraId="2F2478DD" w14:textId="77777777" w:rsidR="007B1066" w:rsidRPr="00DD7F53" w:rsidRDefault="007B1066" w:rsidP="00DD7F53">
      <w:pPr>
        <w:ind w:firstLine="0"/>
        <w:rPr>
          <w:rFonts w:cs="Arial"/>
          <w:sz w:val="16"/>
          <w:szCs w:val="16"/>
        </w:rPr>
      </w:pPr>
      <w:r w:rsidRPr="00DD7F53">
        <w:rPr>
          <w:rStyle w:val="Odwoanieprzypisudolnego"/>
          <w:rFonts w:cs="Arial"/>
          <w:sz w:val="16"/>
          <w:szCs w:val="16"/>
        </w:rPr>
        <w:footnoteRef/>
      </w:r>
      <w:r w:rsidRPr="00DD7F53">
        <w:rPr>
          <w:rFonts w:cs="Arial"/>
          <w:sz w:val="16"/>
          <w:szCs w:val="16"/>
        </w:rPr>
        <w:t xml:space="preserve"> </w:t>
      </w:r>
      <w:hyperlink r:id="rId19" w:history="1">
        <w:r w:rsidRPr="00DD7F53">
          <w:rPr>
            <w:rStyle w:val="Hipercze"/>
            <w:rFonts w:eastAsia="Times New Roman" w:cs="Arial"/>
            <w:color w:val="auto"/>
            <w:sz w:val="16"/>
            <w:szCs w:val="16"/>
            <w:u w:val="none"/>
            <w:lang w:eastAsia="pl-PL"/>
          </w:rPr>
          <w:t>https://bonavita.pl/innowacyjnosc-opakowan-do-zywnosci-przyklady-opakowan-aktywnych-i-inteligentnych</w:t>
        </w:r>
      </w:hyperlink>
      <w:r w:rsidRPr="00DD7F53">
        <w:rPr>
          <w:rFonts w:cs="Arial"/>
          <w:sz w:val="16"/>
          <w:szCs w:val="16"/>
          <w:lang w:eastAsia="pl-PL"/>
        </w:rPr>
        <w:t>, dostęp 05.06.2021</w:t>
      </w:r>
    </w:p>
  </w:footnote>
  <w:footnote w:id="128">
    <w:p w14:paraId="6E3F5306" w14:textId="575E62DA" w:rsidR="007B1066" w:rsidRPr="00DD7F53" w:rsidRDefault="007B1066" w:rsidP="00DD7F53">
      <w:pPr>
        <w:ind w:firstLine="0"/>
        <w:rPr>
          <w:rFonts w:cs="Arial"/>
          <w:sz w:val="16"/>
          <w:szCs w:val="16"/>
        </w:rPr>
      </w:pPr>
      <w:r w:rsidRPr="00DD7F53">
        <w:rPr>
          <w:rStyle w:val="Odwoanieprzypisudolnego"/>
          <w:rFonts w:cs="Arial"/>
          <w:sz w:val="16"/>
          <w:szCs w:val="16"/>
        </w:rPr>
        <w:footnoteRef/>
      </w:r>
      <w:r w:rsidRPr="00DD7F53">
        <w:rPr>
          <w:rFonts w:cs="Arial"/>
          <w:sz w:val="16"/>
          <w:szCs w:val="16"/>
        </w:rPr>
        <w:t> http://www.wielkopolska.eu/178-slider/4236-eit-food-seedbed-2021-program-wsparcia-innowatorow-w-branzy-rolno-spozywczej,</w:t>
      </w:r>
      <w:r w:rsidRPr="00DD7F53">
        <w:rPr>
          <w:rFonts w:eastAsia="Times New Roman" w:cs="Arial"/>
          <w:sz w:val="16"/>
          <w:szCs w:val="16"/>
          <w:lang w:eastAsia="pl-PL"/>
        </w:rPr>
        <w:t xml:space="preserve"> dostęp 05.06.2021 r.</w:t>
      </w:r>
    </w:p>
  </w:footnote>
  <w:footnote w:id="129">
    <w:p w14:paraId="00F49B08" w14:textId="222389EF" w:rsidR="007B1066" w:rsidRPr="00DD7F53" w:rsidRDefault="007B1066" w:rsidP="00DD7F53">
      <w:pPr>
        <w:ind w:firstLine="0"/>
        <w:jc w:val="left"/>
        <w:rPr>
          <w:rFonts w:cs="Arial"/>
          <w:sz w:val="16"/>
          <w:szCs w:val="16"/>
        </w:rPr>
      </w:pPr>
      <w:r w:rsidRPr="00DD7F53">
        <w:rPr>
          <w:rStyle w:val="Odwoanieprzypisudolnego"/>
          <w:rFonts w:cs="Arial"/>
          <w:sz w:val="16"/>
          <w:szCs w:val="16"/>
        </w:rPr>
        <w:footnoteRef/>
      </w:r>
      <w:r w:rsidRPr="00DD7F53">
        <w:rPr>
          <w:rFonts w:cs="Arial"/>
          <w:sz w:val="16"/>
          <w:szCs w:val="16"/>
        </w:rPr>
        <w:t xml:space="preserve"> Raporty o local content, IEO Warszawa: https://ieo.pl/pl/aktualnosci/1530-w-perspektywie-5-lat-polska-fotowoltaika-ma-szanse-stac-sie-niemal-niezalezna-od-dostaw-materialow-i-technologii-spoza-ue; </w:t>
      </w:r>
      <w:r w:rsidRPr="00DD7F53">
        <w:rPr>
          <w:rFonts w:cs="Arial"/>
          <w:sz w:val="16"/>
          <w:szCs w:val="16"/>
        </w:rPr>
        <w:br/>
        <w:t>dostęp 10.06.2021 r.</w:t>
      </w:r>
    </w:p>
  </w:footnote>
  <w:footnote w:id="130">
    <w:p w14:paraId="014215BA" w14:textId="7424950F" w:rsidR="007B1066" w:rsidRPr="00DD7F53" w:rsidRDefault="007B1066" w:rsidP="00DD7F53">
      <w:pPr>
        <w:ind w:firstLine="0"/>
        <w:rPr>
          <w:rFonts w:cs="Arial"/>
          <w:sz w:val="16"/>
          <w:szCs w:val="16"/>
        </w:rPr>
      </w:pPr>
      <w:r w:rsidRPr="00DD7F53">
        <w:rPr>
          <w:rStyle w:val="Odwoanieprzypisudolnego"/>
          <w:rFonts w:cs="Arial"/>
          <w:sz w:val="16"/>
          <w:szCs w:val="16"/>
        </w:rPr>
        <w:footnoteRef/>
      </w:r>
      <w:r w:rsidRPr="00DD7F53">
        <w:rPr>
          <w:rFonts w:cs="Arial"/>
          <w:sz w:val="16"/>
          <w:szCs w:val="16"/>
        </w:rPr>
        <w:t> https://www.teraz-srodowisko.pl/aktualnosci/Potencjal-gospodarki-o-obiegu-zamknietym-tworzenie-nowych-miejsc-pracy-2762.html; dostęp 20.05.2021 r.</w:t>
      </w:r>
    </w:p>
  </w:footnote>
  <w:footnote w:id="131">
    <w:p w14:paraId="40B03EC1" w14:textId="77777777" w:rsidR="007B1066" w:rsidRPr="00DD7F53" w:rsidRDefault="007B1066" w:rsidP="001135D9">
      <w:pPr>
        <w:ind w:firstLine="0"/>
        <w:rPr>
          <w:rFonts w:cs="Arial"/>
          <w:sz w:val="16"/>
          <w:szCs w:val="16"/>
        </w:rPr>
      </w:pPr>
      <w:r w:rsidRPr="00DD7F53">
        <w:rPr>
          <w:rStyle w:val="Odwoanieprzypisudolnego"/>
          <w:rFonts w:cs="Arial"/>
          <w:sz w:val="16"/>
          <w:szCs w:val="16"/>
        </w:rPr>
        <w:footnoteRef/>
      </w:r>
      <w:r w:rsidRPr="00DD7F53">
        <w:rPr>
          <w:rFonts w:cs="Arial"/>
          <w:sz w:val="16"/>
          <w:szCs w:val="16"/>
        </w:rPr>
        <w:t xml:space="preserve"> OECD (2018), Global Material Resources Outlook to 2060 [Prognozowane światowe zasoby materiałów do 2060]</w:t>
      </w:r>
    </w:p>
  </w:footnote>
  <w:footnote w:id="132">
    <w:p w14:paraId="503B0F55" w14:textId="0F8A6697" w:rsidR="007B1066" w:rsidRPr="00DD7F53" w:rsidRDefault="007B1066" w:rsidP="00DD7F53">
      <w:pPr>
        <w:ind w:firstLine="0"/>
        <w:rPr>
          <w:rFonts w:cs="Arial"/>
          <w:sz w:val="16"/>
          <w:szCs w:val="16"/>
        </w:rPr>
      </w:pPr>
      <w:r w:rsidRPr="00DD7F53">
        <w:rPr>
          <w:rStyle w:val="Odwoanieprzypisudolnego"/>
          <w:rFonts w:cs="Arial"/>
          <w:sz w:val="16"/>
          <w:szCs w:val="16"/>
        </w:rPr>
        <w:footnoteRef/>
      </w:r>
      <w:r w:rsidRPr="00DD7F53">
        <w:rPr>
          <w:rFonts w:cs="Arial"/>
          <w:sz w:val="16"/>
          <w:szCs w:val="16"/>
        </w:rPr>
        <w:t xml:space="preserve"> Bank Światowy (2018), What a Waste 2.0: A Global Snapshot of Solid Waste Management to 2050” [„Góra śmieci 2.0: Przegląd gospodarki odpadami stałymi na świecie do 2050 r.”]</w:t>
      </w:r>
    </w:p>
  </w:footnote>
  <w:footnote w:id="133">
    <w:p w14:paraId="04C80F31" w14:textId="30B8448B" w:rsidR="007B1066" w:rsidRPr="00DD7F53" w:rsidRDefault="007B1066" w:rsidP="00DD7F53">
      <w:pPr>
        <w:ind w:firstLine="0"/>
        <w:rPr>
          <w:rFonts w:cs="Arial"/>
          <w:sz w:val="16"/>
          <w:szCs w:val="16"/>
        </w:rPr>
      </w:pPr>
      <w:r w:rsidRPr="00DD7F53">
        <w:rPr>
          <w:rStyle w:val="Odwoanieprzypisudolnego"/>
          <w:rFonts w:cs="Arial"/>
          <w:sz w:val="16"/>
          <w:szCs w:val="16"/>
        </w:rPr>
        <w:footnoteRef/>
      </w:r>
      <w:r w:rsidRPr="00DD7F53">
        <w:rPr>
          <w:rFonts w:cs="Arial"/>
          <w:sz w:val="16"/>
          <w:szCs w:val="16"/>
        </w:rPr>
        <w:t xml:space="preserve"> https://cyrkularni.pl/pl/gospodarka-o-obiegu-zamknietym/; dostęp 20.05.2021 r.</w:t>
      </w:r>
    </w:p>
  </w:footnote>
  <w:footnote w:id="134">
    <w:p w14:paraId="23D94A4B" w14:textId="7B14458B" w:rsidR="007B1066" w:rsidRPr="00DD7F53" w:rsidRDefault="007B1066" w:rsidP="00DD7F53">
      <w:pPr>
        <w:ind w:firstLine="0"/>
        <w:rPr>
          <w:rFonts w:cs="Arial"/>
          <w:sz w:val="16"/>
          <w:szCs w:val="16"/>
        </w:rPr>
      </w:pPr>
      <w:r w:rsidRPr="00DD7F53">
        <w:rPr>
          <w:rStyle w:val="Odwoanieprzypisudolnego"/>
          <w:rFonts w:cs="Arial"/>
          <w:sz w:val="16"/>
          <w:szCs w:val="16"/>
        </w:rPr>
        <w:footnoteRef/>
      </w:r>
      <w:r w:rsidRPr="00DD7F53">
        <w:rPr>
          <w:rFonts w:cs="Arial"/>
          <w:sz w:val="16"/>
          <w:szCs w:val="16"/>
        </w:rPr>
        <w:t xml:space="preserve"> http://pakoslaw.pl/news/w-245/czy-pakoslaw-doczeka-sie-biogazowni; dostęp 15.05.2021 r.</w:t>
      </w:r>
    </w:p>
  </w:footnote>
  <w:footnote w:id="135">
    <w:p w14:paraId="6203E77A" w14:textId="136A42D5" w:rsidR="007B1066" w:rsidRPr="00DD7F53" w:rsidRDefault="007B1066" w:rsidP="00DD7F53">
      <w:pPr>
        <w:ind w:firstLine="0"/>
        <w:jc w:val="left"/>
        <w:rPr>
          <w:rFonts w:cs="Arial"/>
          <w:sz w:val="16"/>
          <w:szCs w:val="16"/>
        </w:rPr>
      </w:pPr>
      <w:r w:rsidRPr="00DD7F53">
        <w:rPr>
          <w:rStyle w:val="Odwoanieprzypisudolnego"/>
          <w:rFonts w:cs="Arial"/>
          <w:sz w:val="16"/>
          <w:szCs w:val="16"/>
        </w:rPr>
        <w:footnoteRef/>
      </w:r>
      <w:r w:rsidRPr="00DD7F53">
        <w:rPr>
          <w:rFonts w:cs="Arial"/>
          <w:sz w:val="16"/>
          <w:szCs w:val="16"/>
        </w:rPr>
        <w:t xml:space="preserve"> https://www.gramwzielone.pl/bioenergia/3529/problem-z-biogazownia-rolnicza-w-woj-wielkopolskim; </w:t>
      </w:r>
      <w:r w:rsidRPr="00DD7F53">
        <w:rPr>
          <w:rFonts w:cs="Arial"/>
          <w:sz w:val="16"/>
          <w:szCs w:val="16"/>
        </w:rPr>
        <w:br/>
        <w:t>dostęp 15.05.2021 r.</w:t>
      </w:r>
    </w:p>
  </w:footnote>
  <w:footnote w:id="136">
    <w:p w14:paraId="411B48D1" w14:textId="37E93DC7" w:rsidR="007B1066" w:rsidRPr="00DD7F53" w:rsidRDefault="007B1066" w:rsidP="00DD7F53">
      <w:pPr>
        <w:ind w:firstLine="0"/>
        <w:rPr>
          <w:rFonts w:cs="Arial"/>
          <w:sz w:val="16"/>
          <w:szCs w:val="16"/>
        </w:rPr>
      </w:pPr>
      <w:r w:rsidRPr="00DD7F53">
        <w:rPr>
          <w:rStyle w:val="Odwoanieprzypisudolnego"/>
          <w:rFonts w:cs="Arial"/>
          <w:sz w:val="16"/>
          <w:szCs w:val="16"/>
        </w:rPr>
        <w:footnoteRef/>
      </w:r>
      <w:r w:rsidRPr="00DD7F53">
        <w:rPr>
          <w:rFonts w:cs="Arial"/>
          <w:sz w:val="16"/>
          <w:szCs w:val="16"/>
        </w:rPr>
        <w:t> http://www.hcp.com.pl/pl/aktualnosci/82/hcegielski-poznan-sa-z-oferta-innowacyjnych-biogazowni-dla-gospodarstw-rolnych; dostęp 15.05.2021 r.</w:t>
      </w:r>
    </w:p>
  </w:footnote>
  <w:footnote w:id="137">
    <w:p w14:paraId="3DEAFDB7" w14:textId="68502186" w:rsidR="007B1066" w:rsidRPr="00DD7F53" w:rsidRDefault="007B1066" w:rsidP="00DD7F53">
      <w:pPr>
        <w:ind w:firstLine="0"/>
        <w:rPr>
          <w:rFonts w:cs="Arial"/>
          <w:sz w:val="16"/>
          <w:szCs w:val="16"/>
        </w:rPr>
      </w:pPr>
      <w:r w:rsidRPr="00DD7F53">
        <w:rPr>
          <w:rStyle w:val="Odwoanieprzypisudolnego"/>
          <w:rFonts w:cs="Arial"/>
          <w:sz w:val="16"/>
          <w:szCs w:val="16"/>
        </w:rPr>
        <w:footnoteRef/>
      </w:r>
      <w:r w:rsidRPr="00DD7F53">
        <w:rPr>
          <w:rFonts w:cs="Arial"/>
          <w:sz w:val="16"/>
          <w:szCs w:val="16"/>
        </w:rPr>
        <w:t xml:space="preserve"> https://www.fct.put.poznan.pl/pl/content/3614; dostęp 10.05.2021 r.</w:t>
      </w:r>
    </w:p>
  </w:footnote>
  <w:footnote w:id="138">
    <w:p w14:paraId="25C4AC32" w14:textId="0B9A71FD" w:rsidR="007B1066" w:rsidRPr="00DD7F53" w:rsidRDefault="007B1066" w:rsidP="00DD7F53">
      <w:pPr>
        <w:ind w:firstLine="0"/>
        <w:jc w:val="left"/>
        <w:rPr>
          <w:rFonts w:cs="Arial"/>
          <w:sz w:val="16"/>
          <w:szCs w:val="16"/>
        </w:rPr>
      </w:pPr>
      <w:r w:rsidRPr="00DD7F53">
        <w:rPr>
          <w:rStyle w:val="Odwoanieprzypisudolnego"/>
          <w:rFonts w:cs="Arial"/>
          <w:sz w:val="16"/>
          <w:szCs w:val="16"/>
        </w:rPr>
        <w:footnoteRef/>
      </w:r>
      <w:r w:rsidRPr="00DD7F53">
        <w:rPr>
          <w:rFonts w:cs="Arial"/>
          <w:sz w:val="16"/>
          <w:szCs w:val="16"/>
        </w:rPr>
        <w:t xml:space="preserve"> https://www.europarl.europa.eu/news/pl/headlines/society/20181212STO21610/odpady-z-tworzyw-sztucznych-i-recykling-w-ue-fakty-i-liczby; dostęp 20.05.2021 r.</w:t>
      </w:r>
    </w:p>
  </w:footnote>
  <w:footnote w:id="139">
    <w:p w14:paraId="65775F46" w14:textId="6E37C3C2" w:rsidR="007B1066" w:rsidRPr="00DD7F53" w:rsidRDefault="007B1066" w:rsidP="00DD7F53">
      <w:pPr>
        <w:ind w:firstLine="0"/>
        <w:rPr>
          <w:rFonts w:cs="Arial"/>
          <w:sz w:val="16"/>
          <w:szCs w:val="16"/>
        </w:rPr>
      </w:pPr>
      <w:r w:rsidRPr="00DD7F53">
        <w:rPr>
          <w:rStyle w:val="Odwoanieprzypisudolnego"/>
          <w:rFonts w:cs="Arial"/>
          <w:sz w:val="16"/>
          <w:szCs w:val="16"/>
        </w:rPr>
        <w:footnoteRef/>
      </w:r>
      <w:r w:rsidRPr="00DD7F53">
        <w:rPr>
          <w:rFonts w:cs="Arial"/>
          <w:sz w:val="16"/>
          <w:szCs w:val="16"/>
        </w:rPr>
        <w:t> https://wrpo.wielkopolskie.pl/dowiedz-sie-wiecej-o-programie/poznaj-projekty/przyklady-najciekawszych-projektow/budowa-centrum-badawczo-rozwojowego-oze-przez-gwda-sp-z-o-o-w-pile; dostęp 20.05.2021 r.</w:t>
      </w:r>
    </w:p>
  </w:footnote>
  <w:footnote w:id="140">
    <w:p w14:paraId="0B1D8583" w14:textId="680E9EA6" w:rsidR="007B1066" w:rsidRPr="00DD7F53" w:rsidRDefault="007B1066" w:rsidP="00DD7F53">
      <w:pPr>
        <w:ind w:firstLine="0"/>
        <w:rPr>
          <w:rFonts w:cs="Arial"/>
          <w:sz w:val="16"/>
          <w:szCs w:val="16"/>
        </w:rPr>
      </w:pPr>
      <w:r w:rsidRPr="00DD7F53">
        <w:rPr>
          <w:rStyle w:val="Odwoanieprzypisudolnego"/>
          <w:rFonts w:cs="Arial"/>
          <w:sz w:val="16"/>
          <w:szCs w:val="16"/>
        </w:rPr>
        <w:footnoteRef/>
      </w:r>
      <w:r w:rsidRPr="00DD7F53">
        <w:rPr>
          <w:rFonts w:cs="Arial"/>
          <w:sz w:val="16"/>
          <w:szCs w:val="16"/>
        </w:rPr>
        <w:t xml:space="preserve"> https://ec.europa.eu/commission/presscorner/detail/en/IP_19_5895; dostęp 20.05.2021 r.</w:t>
      </w:r>
    </w:p>
  </w:footnote>
  <w:footnote w:id="141">
    <w:p w14:paraId="763A81B3" w14:textId="7393E551" w:rsidR="007B1066" w:rsidRPr="00DD7F53" w:rsidRDefault="007B1066" w:rsidP="00DD7F53">
      <w:pPr>
        <w:ind w:firstLine="0"/>
        <w:rPr>
          <w:rFonts w:cs="Arial"/>
          <w:sz w:val="16"/>
          <w:szCs w:val="16"/>
        </w:rPr>
      </w:pPr>
      <w:r w:rsidRPr="00DD7F53">
        <w:rPr>
          <w:rStyle w:val="Odwoanieprzypisudolnego"/>
          <w:rFonts w:cs="Arial"/>
          <w:sz w:val="16"/>
          <w:szCs w:val="16"/>
        </w:rPr>
        <w:footnoteRef/>
      </w:r>
      <w:r w:rsidRPr="00DD7F53">
        <w:rPr>
          <w:rFonts w:cs="Arial"/>
          <w:sz w:val="16"/>
          <w:szCs w:val="16"/>
        </w:rPr>
        <w:t xml:space="preserve"> </w:t>
      </w:r>
      <w:hyperlink r:id="rId20" w:history="1">
        <w:r w:rsidRPr="00DD7F53">
          <w:rPr>
            <w:rStyle w:val="Hipercze"/>
            <w:rFonts w:cs="Arial"/>
            <w:color w:val="auto"/>
            <w:sz w:val="16"/>
            <w:szCs w:val="16"/>
            <w:u w:val="none"/>
          </w:rPr>
          <w:t>https://ec.europa.eu/environment/ecoap/indicators/circular-economy-indicators_en</w:t>
        </w:r>
      </w:hyperlink>
      <w:r w:rsidRPr="00DD7F53">
        <w:rPr>
          <w:rStyle w:val="Hipercze"/>
          <w:rFonts w:cs="Arial"/>
          <w:color w:val="auto"/>
          <w:sz w:val="16"/>
          <w:szCs w:val="16"/>
          <w:u w:val="none"/>
        </w:rPr>
        <w:t>, dostęp 03.06.2021 r.</w:t>
      </w:r>
    </w:p>
  </w:footnote>
  <w:footnote w:id="142">
    <w:p w14:paraId="3D8EADD5" w14:textId="77777777" w:rsidR="007B1066" w:rsidRPr="00DD7F53" w:rsidRDefault="007B1066" w:rsidP="00DD7F53">
      <w:pPr>
        <w:ind w:firstLine="0"/>
        <w:rPr>
          <w:rFonts w:cs="Arial"/>
          <w:sz w:val="16"/>
          <w:szCs w:val="16"/>
        </w:rPr>
      </w:pPr>
      <w:bookmarkStart w:id="67" w:name="_Hlk73462234"/>
      <w:r w:rsidRPr="00DD7F53">
        <w:rPr>
          <w:rStyle w:val="Odwoanieprzypisudolnego"/>
          <w:rFonts w:cs="Arial"/>
          <w:sz w:val="16"/>
          <w:szCs w:val="16"/>
        </w:rPr>
        <w:footnoteRef/>
      </w:r>
      <w:r w:rsidRPr="00DD7F53">
        <w:rPr>
          <w:rFonts w:cs="Arial"/>
          <w:sz w:val="16"/>
          <w:szCs w:val="16"/>
        </w:rPr>
        <w:t xml:space="preserve"> </w:t>
      </w:r>
      <w:bookmarkStart w:id="68" w:name="_Hlk75673590"/>
      <w:r w:rsidRPr="00DD7F53">
        <w:rPr>
          <w:rFonts w:cs="Arial"/>
          <w:sz w:val="16"/>
          <w:szCs w:val="16"/>
        </w:rPr>
        <w:t>Wskaźniki zielonej gospodarki w Polsce 2019, Urząd Statystyczny w Białymstoku, Warszawa, Białystok 2019</w:t>
      </w:r>
      <w:bookmarkEnd w:id="67"/>
      <w:bookmarkEnd w:id="68"/>
    </w:p>
  </w:footnote>
  <w:footnote w:id="143">
    <w:p w14:paraId="43163DE0" w14:textId="4D2D5E0E" w:rsidR="007B1066" w:rsidRPr="00DD7F53" w:rsidRDefault="007B1066" w:rsidP="00DD7F53">
      <w:pPr>
        <w:ind w:firstLine="0"/>
        <w:rPr>
          <w:rFonts w:eastAsia="Times New Roman" w:cs="Arial"/>
          <w:sz w:val="16"/>
          <w:szCs w:val="16"/>
          <w:lang w:eastAsia="pl-PL"/>
        </w:rPr>
      </w:pPr>
      <w:r w:rsidRPr="00DD7F53">
        <w:rPr>
          <w:rStyle w:val="Odwoanieprzypisudolnego"/>
          <w:rFonts w:cs="Arial"/>
          <w:sz w:val="16"/>
          <w:szCs w:val="16"/>
        </w:rPr>
        <w:footnoteRef/>
      </w:r>
      <w:r w:rsidRPr="00DD7F53">
        <w:rPr>
          <w:rFonts w:cs="Arial"/>
          <w:sz w:val="16"/>
          <w:szCs w:val="16"/>
        </w:rPr>
        <w:t xml:space="preserve"> Marnotrawstwo żywności zakłada świadome działanie niespożytkowania żywności zgodnie z jej pierwotnym przeznaczeniem na każdym etapie łańcucha żywnościowego. W polskich regulacjach prawnych nie istnieje definicja odpadu żywnościowego. Na etapie produkcji jest to odpad przemysłowy, a w gospodarstwach domowych – część frakcji biologicznej odpadu komunalnego; www.wikipedia.org </w:t>
      </w:r>
    </w:p>
  </w:footnote>
  <w:footnote w:id="144">
    <w:p w14:paraId="475091F7" w14:textId="53C8CFAB" w:rsidR="007B1066" w:rsidRPr="00DD7F53" w:rsidRDefault="007B1066" w:rsidP="00DD7F53">
      <w:pPr>
        <w:ind w:firstLine="0"/>
        <w:rPr>
          <w:rFonts w:cs="Arial"/>
          <w:sz w:val="16"/>
          <w:szCs w:val="16"/>
        </w:rPr>
      </w:pPr>
      <w:r w:rsidRPr="00DD7F53">
        <w:rPr>
          <w:rStyle w:val="Odwoanieprzypisudolnego"/>
          <w:rFonts w:cs="Arial"/>
          <w:sz w:val="16"/>
          <w:szCs w:val="16"/>
        </w:rPr>
        <w:footnoteRef/>
      </w:r>
      <w:r w:rsidRPr="00DD7F53">
        <w:rPr>
          <w:rFonts w:cs="Arial"/>
          <w:sz w:val="16"/>
          <w:szCs w:val="16"/>
        </w:rPr>
        <w:t xml:space="preserve"> J. Kulczycka, Wskaźniki monitorowania gospodarki o obiegu zamkniętym, IGSMiE PAN, Kraków 2020</w:t>
      </w:r>
    </w:p>
  </w:footnote>
  <w:footnote w:id="145">
    <w:p w14:paraId="6F75F424" w14:textId="0AAE184B" w:rsidR="007B1066" w:rsidRPr="00DD7F53" w:rsidRDefault="007B1066" w:rsidP="00DD7F53">
      <w:pPr>
        <w:ind w:firstLine="0"/>
        <w:rPr>
          <w:rFonts w:cs="Arial"/>
          <w:sz w:val="16"/>
          <w:szCs w:val="16"/>
        </w:rPr>
      </w:pPr>
      <w:r w:rsidRPr="00DD7F53">
        <w:rPr>
          <w:rStyle w:val="Odwoanieprzypisudolnego"/>
          <w:rFonts w:cs="Arial"/>
          <w:sz w:val="16"/>
          <w:szCs w:val="16"/>
        </w:rPr>
        <w:footnoteRef/>
      </w:r>
      <w:r w:rsidRPr="00DD7F53">
        <w:rPr>
          <w:rFonts w:cs="Arial"/>
          <w:sz w:val="16"/>
          <w:szCs w:val="16"/>
        </w:rPr>
        <w:t xml:space="preserve"> BDL, Stan i ochrona środowiska, Odpady komunalne</w:t>
      </w:r>
    </w:p>
  </w:footnote>
  <w:footnote w:id="146">
    <w:p w14:paraId="5D732766" w14:textId="7C6A0DF1" w:rsidR="007B1066" w:rsidRPr="00DD7F53" w:rsidRDefault="007B1066" w:rsidP="00DD7F53">
      <w:pPr>
        <w:ind w:firstLine="0"/>
        <w:rPr>
          <w:rFonts w:cs="Arial"/>
          <w:sz w:val="16"/>
          <w:szCs w:val="16"/>
        </w:rPr>
      </w:pPr>
      <w:r w:rsidRPr="00DD7F53">
        <w:rPr>
          <w:rStyle w:val="Odwoanieprzypisudolnego"/>
          <w:rFonts w:cs="Arial"/>
          <w:sz w:val="16"/>
          <w:szCs w:val="16"/>
        </w:rPr>
        <w:footnoteRef/>
      </w:r>
      <w:r w:rsidRPr="00DD7F53">
        <w:rPr>
          <w:rFonts w:cs="Arial"/>
          <w:sz w:val="16"/>
          <w:szCs w:val="16"/>
        </w:rPr>
        <w:t xml:space="preserve"> Szczegółowy opis osi priorytetowych Programu Operacyjnego Infrastruktura i Środowisko 2014-2020, Wersja 18.0 Ministerstwo Funduszy i Polityki Regionalnej, Warszawa 2021</w:t>
      </w:r>
    </w:p>
  </w:footnote>
  <w:footnote w:id="147">
    <w:p w14:paraId="25BB6366" w14:textId="743069B4" w:rsidR="007B1066" w:rsidRPr="00DD7F53" w:rsidRDefault="007B1066" w:rsidP="00DD7F53">
      <w:pPr>
        <w:ind w:firstLine="0"/>
        <w:rPr>
          <w:rFonts w:cs="Arial"/>
          <w:sz w:val="16"/>
          <w:szCs w:val="16"/>
        </w:rPr>
      </w:pPr>
      <w:r w:rsidRPr="00DD7F53">
        <w:rPr>
          <w:rStyle w:val="Odwoanieprzypisudolnego"/>
          <w:rFonts w:cs="Arial"/>
          <w:sz w:val="16"/>
          <w:szCs w:val="16"/>
        </w:rPr>
        <w:footnoteRef/>
      </w:r>
      <w:r w:rsidRPr="00DD7F53">
        <w:rPr>
          <w:rFonts w:cs="Arial"/>
          <w:sz w:val="16"/>
          <w:szCs w:val="16"/>
        </w:rPr>
        <w:t xml:space="preserve"> Komunikat Komisji do Parlamentu Europejskiego, Rady Europejskiej, Rady, Komitetu Ekonomiczno-Społecznego </w:t>
      </w:r>
      <w:r w:rsidRPr="00DD7F53">
        <w:rPr>
          <w:rFonts w:cs="Arial"/>
          <w:sz w:val="16"/>
          <w:szCs w:val="16"/>
        </w:rPr>
        <w:br/>
        <w:t>i Komitetu Regionów. Nowy plan działania UE dotyczący gospodarki o obiegu zamkniętym na rzecz czystszej i bardziej konkurencyjnej Europy. Bruksela, dnia 11.3.2020 r. COM(2020) 98 final</w:t>
      </w:r>
    </w:p>
  </w:footnote>
  <w:footnote w:id="148">
    <w:p w14:paraId="76327D4B" w14:textId="4115C5CC" w:rsidR="007B1066" w:rsidRPr="00DD7F53" w:rsidRDefault="007B1066" w:rsidP="00DD7F53">
      <w:pPr>
        <w:ind w:firstLine="0"/>
        <w:rPr>
          <w:rFonts w:cs="Arial"/>
          <w:sz w:val="16"/>
          <w:szCs w:val="16"/>
        </w:rPr>
      </w:pPr>
      <w:r w:rsidRPr="00DD7F53">
        <w:rPr>
          <w:rStyle w:val="Odwoanieprzypisudolnego"/>
          <w:rFonts w:cs="Arial"/>
          <w:sz w:val="16"/>
          <w:szCs w:val="16"/>
        </w:rPr>
        <w:footnoteRef/>
      </w:r>
      <w:r w:rsidRPr="00DD7F53">
        <w:rPr>
          <w:rFonts w:cs="Arial"/>
          <w:sz w:val="16"/>
          <w:szCs w:val="16"/>
        </w:rPr>
        <w:t xml:space="preserve"> Rolnictwo regeneracyjne to podejście do systemów żywnościowych i rolniczych oparte na ochronie i odnowie. Skupia się ono na regeneracji wierzchniej warstwy gleby, zwiększeniu bioróżnorodności, poprawie obiegu wody, wzmocnieniu ekosystemów, wspieraniu biosekwestracji, zwiększeniu odporności na zmiany klimatu oraz wzmocnieniu kondycji i żyzności gleby rolnej.</w:t>
      </w:r>
    </w:p>
  </w:footnote>
  <w:footnote w:id="149">
    <w:p w14:paraId="09FD9345" w14:textId="35B663EF" w:rsidR="007B1066" w:rsidRPr="00DD7F53" w:rsidRDefault="007B1066" w:rsidP="00DD7F53">
      <w:pPr>
        <w:ind w:firstLine="0"/>
        <w:rPr>
          <w:rFonts w:cs="Arial"/>
          <w:sz w:val="16"/>
          <w:szCs w:val="16"/>
        </w:rPr>
      </w:pPr>
      <w:r w:rsidRPr="00DD7F53">
        <w:rPr>
          <w:rStyle w:val="Odwoanieprzypisudolnego"/>
          <w:rFonts w:cs="Arial"/>
          <w:sz w:val="16"/>
          <w:szCs w:val="16"/>
        </w:rPr>
        <w:footnoteRef/>
      </w:r>
      <w:r w:rsidRPr="00DD7F53">
        <w:rPr>
          <w:rFonts w:cs="Arial"/>
          <w:sz w:val="16"/>
          <w:szCs w:val="16"/>
        </w:rPr>
        <w:t xml:space="preserve"> GUS, BDL; dostęp 20.06.2021 r.</w:t>
      </w:r>
    </w:p>
  </w:footnote>
  <w:footnote w:id="150">
    <w:p w14:paraId="60077CA1" w14:textId="66606B0C" w:rsidR="007B1066" w:rsidRPr="00DD7F53" w:rsidRDefault="007B1066" w:rsidP="00DD7F53">
      <w:pPr>
        <w:ind w:firstLine="0"/>
        <w:rPr>
          <w:rFonts w:cs="Arial"/>
          <w:sz w:val="16"/>
          <w:szCs w:val="16"/>
        </w:rPr>
      </w:pPr>
      <w:r w:rsidRPr="00DD7F53">
        <w:rPr>
          <w:rStyle w:val="Odwoanieprzypisudolnego"/>
          <w:rFonts w:cs="Arial"/>
          <w:sz w:val="16"/>
          <w:szCs w:val="16"/>
        </w:rPr>
        <w:footnoteRef/>
      </w:r>
      <w:r w:rsidRPr="00DD7F53">
        <w:rPr>
          <w:rFonts w:cs="Arial"/>
          <w:sz w:val="16"/>
          <w:szCs w:val="16"/>
        </w:rPr>
        <w:t xml:space="preserve"> </w:t>
      </w:r>
      <w:hyperlink r:id="rId21" w:history="1">
        <w:r w:rsidRPr="00DD7F53">
          <w:rPr>
            <w:rStyle w:val="Hipercze"/>
            <w:rFonts w:cs="Arial"/>
            <w:color w:val="auto"/>
            <w:sz w:val="16"/>
            <w:szCs w:val="16"/>
            <w:u w:val="none"/>
          </w:rPr>
          <w:t>https://eplastics.pl/wiadomosci/pb/13663-wodor-i-wegiel-z-plastikowych-smieci</w:t>
        </w:r>
      </w:hyperlink>
      <w:r w:rsidRPr="00DD7F53">
        <w:rPr>
          <w:rFonts w:cs="Arial"/>
          <w:sz w:val="16"/>
          <w:szCs w:val="16"/>
        </w:rPr>
        <w:t>, data dostępu 27.05.2021 r.</w:t>
      </w:r>
    </w:p>
  </w:footnote>
  <w:footnote w:id="151">
    <w:p w14:paraId="1A452008" w14:textId="023F2162" w:rsidR="007B1066" w:rsidRPr="00DD7F53" w:rsidRDefault="007B1066" w:rsidP="00DD7F53">
      <w:pPr>
        <w:ind w:firstLine="0"/>
        <w:rPr>
          <w:rFonts w:cs="Arial"/>
          <w:sz w:val="16"/>
          <w:szCs w:val="16"/>
        </w:rPr>
      </w:pPr>
      <w:r w:rsidRPr="00DD7F53">
        <w:rPr>
          <w:rStyle w:val="Odwoanieprzypisudolnego"/>
          <w:rFonts w:cs="Arial"/>
          <w:sz w:val="16"/>
          <w:szCs w:val="16"/>
        </w:rPr>
        <w:footnoteRef/>
      </w:r>
      <w:r w:rsidRPr="00DD7F53">
        <w:rPr>
          <w:rFonts w:cs="Arial"/>
          <w:sz w:val="16"/>
          <w:szCs w:val="16"/>
        </w:rPr>
        <w:t xml:space="preserve"> </w:t>
      </w:r>
      <w:hyperlink r:id="rId22" w:history="1">
        <w:r w:rsidRPr="00DD7F53">
          <w:rPr>
            <w:rStyle w:val="Hipercze"/>
            <w:rFonts w:cs="Arial"/>
            <w:color w:val="auto"/>
            <w:sz w:val="16"/>
            <w:szCs w:val="16"/>
            <w:u w:val="none"/>
          </w:rPr>
          <w:t>https://www.formika.com.pl/337/zrownowazony_rozwoj</w:t>
        </w:r>
      </w:hyperlink>
      <w:r w:rsidRPr="00DD7F53">
        <w:rPr>
          <w:rStyle w:val="Hipercze"/>
          <w:rFonts w:cs="Arial"/>
          <w:color w:val="auto"/>
          <w:sz w:val="16"/>
          <w:szCs w:val="16"/>
          <w:u w:val="none"/>
        </w:rPr>
        <w:t>, dostęp 07.06.2021 r.</w:t>
      </w:r>
    </w:p>
  </w:footnote>
  <w:footnote w:id="152">
    <w:p w14:paraId="68EA89D4" w14:textId="270D0E1D" w:rsidR="007B1066" w:rsidRPr="00DD7F53" w:rsidRDefault="007B1066" w:rsidP="00DD7F53">
      <w:pPr>
        <w:ind w:firstLine="0"/>
        <w:rPr>
          <w:rFonts w:cs="Arial"/>
          <w:sz w:val="16"/>
          <w:szCs w:val="16"/>
        </w:rPr>
      </w:pPr>
      <w:r w:rsidRPr="00DD7F53">
        <w:rPr>
          <w:rStyle w:val="Odwoanieprzypisudolnego"/>
          <w:rFonts w:cs="Arial"/>
          <w:sz w:val="16"/>
          <w:szCs w:val="16"/>
        </w:rPr>
        <w:footnoteRef/>
      </w:r>
      <w:r w:rsidRPr="00DD7F53">
        <w:rPr>
          <w:rFonts w:cs="Arial"/>
          <w:sz w:val="16"/>
          <w:szCs w:val="16"/>
        </w:rPr>
        <w:t xml:space="preserve"> Krajowa Inteligentna Specjalizacja KIS 7. Gospodarka o obiegu zamkniętym – woda, surowce kopalne, odpady, Ministerstwo Rozwoju, Pracy i Technologii Warszawa, 29 marca 2021 r</w:t>
      </w:r>
    </w:p>
  </w:footnote>
  <w:footnote w:id="153">
    <w:p w14:paraId="08B66954" w14:textId="77777777" w:rsidR="007B1066" w:rsidRPr="00DD7F53" w:rsidRDefault="007B1066" w:rsidP="00DD7F53">
      <w:pPr>
        <w:ind w:firstLine="0"/>
        <w:rPr>
          <w:rFonts w:cs="Arial"/>
          <w:sz w:val="16"/>
          <w:szCs w:val="16"/>
        </w:rPr>
      </w:pPr>
      <w:r w:rsidRPr="00DD7F53">
        <w:rPr>
          <w:rStyle w:val="Odwoanieprzypisudolnego"/>
          <w:rFonts w:cs="Arial"/>
          <w:sz w:val="16"/>
          <w:szCs w:val="16"/>
        </w:rPr>
        <w:footnoteRef/>
      </w:r>
      <w:r w:rsidRPr="00DD7F53">
        <w:rPr>
          <w:rFonts w:cs="Arial"/>
          <w:sz w:val="16"/>
          <w:szCs w:val="16"/>
        </w:rPr>
        <w:t xml:space="preserve"> Kryteria oceny merytorycznej I stopnia koncepcji projektowych składanych dla Programu Operacyjnego Środowisko, Energia i Zmiany Klimatu realizowanego w ramach Mechanizmu Finansowego EOG na lata 2014-2021 „Wzmocnienie realizacji gospodarki o obiegu zamkniętym”</w:t>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AD540E6" w14:textId="77777777" w:rsidR="007B1066" w:rsidRDefault="007B1066" w:rsidP="00333F25">
    <w:pPr>
      <w:pStyle w:val="Nagwek"/>
      <w:pBdr>
        <w:bottom w:val="single" w:sz="6" w:space="1" w:color="auto"/>
      </w:pBdr>
      <w:ind w:firstLine="0"/>
      <w:jc w:val="center"/>
      <w:rPr>
        <w:rFonts w:eastAsia="Arial,Times New Roman" w:cs="Arial"/>
        <w:smallCaps/>
        <w:sz w:val="12"/>
        <w:szCs w:val="12"/>
      </w:rPr>
    </w:pPr>
    <w:r w:rsidRPr="009D62AD">
      <w:rPr>
        <w:rFonts w:eastAsia="Arial,Times New Roman" w:cs="Arial"/>
        <w:smallCaps/>
        <w:sz w:val="12"/>
        <w:szCs w:val="12"/>
      </w:rPr>
      <w:t>Koncepcja wsparcia regionalnego w zakresie realizacji gospodarki o obiegu zamkniętym</w:t>
    </w:r>
    <w:r>
      <w:rPr>
        <w:rFonts w:eastAsia="Arial,Times New Roman" w:cs="Arial"/>
        <w:smallCaps/>
        <w:sz w:val="12"/>
        <w:szCs w:val="12"/>
      </w:rPr>
      <w:t xml:space="preserve"> </w:t>
    </w:r>
    <w:r w:rsidRPr="009D62AD">
      <w:rPr>
        <w:rFonts w:eastAsia="Arial,Times New Roman" w:cs="Arial"/>
        <w:smallCaps/>
        <w:sz w:val="12"/>
        <w:szCs w:val="12"/>
      </w:rPr>
      <w:t>w województwie wielkopolskim</w:t>
    </w:r>
  </w:p>
  <w:p w14:paraId="7541459A" w14:textId="0C19D928" w:rsidR="007B1066" w:rsidRPr="00333F25" w:rsidRDefault="007B1066" w:rsidP="00333F25">
    <w:pPr>
      <w:pStyle w:val="Nagwek"/>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1E7D5FD" w14:textId="77777777" w:rsidR="007B1066" w:rsidRDefault="007B1066" w:rsidP="00732697">
    <w:pPr>
      <w:pStyle w:val="Nagwek"/>
      <w:ind w:firstLine="0"/>
    </w:pPr>
    <w:r>
      <w:rPr>
        <w:noProof/>
        <w:lang w:eastAsia="pl-PL"/>
      </w:rPr>
      <w:drawing>
        <wp:inline distT="0" distB="0" distL="0" distR="0" wp14:anchorId="0BDAA328" wp14:editId="261FD151">
          <wp:extent cx="5241926" cy="542290"/>
          <wp:effectExtent l="0" t="0" r="0" b="0"/>
          <wp:docPr id="124" name="Obraz 124" descr="Zestaw czterech logotypów świadcząccyh o finansowaniu realizacji ekspertyzy ze środków Unii Europejskiej. Zestaw zawiera następujące logotypy: logotyp ze znakiem funduszy europejskich i nazwą Fundusze Europejskie Program Regionalny, logotyp z flagą Polski i nazwą Rzeczpospolita Polska, logotyp z herbem Województwa Wielkopolskiego i nazwą Samorząd Województwa Wielkopolskiego, logotyp z flagą Unii Europejskiej i nazwą Unia Europejska Europejskie Fundusze Strukturalne i Inwestycyj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9"/>
                  <pic:cNvPicPr/>
                </pic:nvPicPr>
                <pic:blipFill>
                  <a:blip r:embed="rId1">
                    <a:extLst>
                      <a:ext uri="{28A0092B-C50C-407E-A947-70E740481C1C}">
                        <a14:useLocalDpi xmlns:a14="http://schemas.microsoft.com/office/drawing/2010/main" val="0"/>
                      </a:ext>
                    </a:extLst>
                  </a:blip>
                  <a:stretch>
                    <a:fillRect/>
                  </a:stretch>
                </pic:blipFill>
                <pic:spPr>
                  <a:xfrm>
                    <a:off x="0" y="0"/>
                    <a:ext cx="5241926" cy="542290"/>
                  </a:xfrm>
                  <a:prstGeom prst="rect">
                    <a:avLst/>
                  </a:prstGeom>
                </pic:spPr>
              </pic:pic>
            </a:graphicData>
          </a:graphic>
        </wp:inline>
      </w:drawing>
    </w: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FF577AD" w14:textId="0EFF36C6" w:rsidR="007B1066" w:rsidRDefault="007B1066" w:rsidP="00211079">
    <w:pPr>
      <w:pStyle w:val="Nagwek"/>
      <w:pBdr>
        <w:bottom w:val="single" w:sz="6" w:space="1" w:color="auto"/>
      </w:pBdr>
      <w:ind w:firstLine="0"/>
      <w:jc w:val="center"/>
      <w:rPr>
        <w:rFonts w:eastAsia="Arial,Times New Roman" w:cs="Arial"/>
        <w:smallCaps/>
        <w:sz w:val="12"/>
        <w:szCs w:val="12"/>
      </w:rPr>
    </w:pPr>
    <w:r w:rsidRPr="009D62AD">
      <w:rPr>
        <w:rFonts w:eastAsia="Arial,Times New Roman" w:cs="Arial"/>
        <w:smallCaps/>
        <w:sz w:val="12"/>
        <w:szCs w:val="12"/>
      </w:rPr>
      <w:t>Koncepcja wsparcia regionalnego w zakresie realizacji gospodarki o obiegu zamkniętym</w:t>
    </w:r>
    <w:r>
      <w:rPr>
        <w:rFonts w:eastAsia="Arial,Times New Roman" w:cs="Arial"/>
        <w:smallCaps/>
        <w:sz w:val="12"/>
        <w:szCs w:val="12"/>
      </w:rPr>
      <w:t xml:space="preserve"> </w:t>
    </w:r>
    <w:r w:rsidRPr="009D62AD">
      <w:rPr>
        <w:rFonts w:eastAsia="Arial,Times New Roman" w:cs="Arial"/>
        <w:smallCaps/>
        <w:sz w:val="12"/>
        <w:szCs w:val="12"/>
      </w:rPr>
      <w:t>w województwie wielkopolskim</w:t>
    </w:r>
  </w:p>
  <w:p w14:paraId="66FD23C7" w14:textId="77777777" w:rsidR="007B1066" w:rsidRDefault="007B1066" w:rsidP="00732697">
    <w:pPr>
      <w:pStyle w:val="Nagwek"/>
      <w:ind w:firstLine="0"/>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000002"/>
    <w:multiLevelType w:val="singleLevel"/>
    <w:tmpl w:val="00000002"/>
    <w:name w:val="WW8Num2"/>
    <w:lvl w:ilvl="0">
      <w:start w:val="1"/>
      <w:numFmt w:val="bullet"/>
      <w:lvlText w:val=""/>
      <w:lvlJc w:val="left"/>
      <w:pPr>
        <w:tabs>
          <w:tab w:val="num" w:pos="0"/>
        </w:tabs>
        <w:ind w:left="1440" w:hanging="360"/>
      </w:pPr>
      <w:rPr>
        <w:rFonts w:ascii="Wingdings" w:hAnsi="Wingdings" w:cs="Wingdings" w:hint="default"/>
        <w:color w:val="3892AD"/>
        <w:sz w:val="48"/>
      </w:rPr>
    </w:lvl>
  </w:abstractNum>
  <w:abstractNum w:abstractNumId="1" w15:restartNumberingAfterBreak="0">
    <w:nsid w:val="00C35EF3"/>
    <w:multiLevelType w:val="hybridMultilevel"/>
    <w:tmpl w:val="A2FA01E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 w15:restartNumberingAfterBreak="0">
    <w:nsid w:val="06E110C8"/>
    <w:multiLevelType w:val="hybridMultilevel"/>
    <w:tmpl w:val="8DA69FA2"/>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 w15:restartNumberingAfterBreak="0">
    <w:nsid w:val="0EDD7226"/>
    <w:multiLevelType w:val="hybridMultilevel"/>
    <w:tmpl w:val="E910BEEE"/>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 w15:restartNumberingAfterBreak="0">
    <w:nsid w:val="112278E4"/>
    <w:multiLevelType w:val="hybridMultilevel"/>
    <w:tmpl w:val="429002FE"/>
    <w:lvl w:ilvl="0" w:tplc="04150001">
      <w:start w:val="1"/>
      <w:numFmt w:val="bullet"/>
      <w:lvlText w:val=""/>
      <w:lvlJc w:val="left"/>
      <w:pPr>
        <w:ind w:left="1440" w:hanging="360"/>
      </w:pPr>
      <w:rPr>
        <w:rFonts w:ascii="Symbol" w:hAnsi="Symbol"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5" w15:restartNumberingAfterBreak="0">
    <w:nsid w:val="118C5827"/>
    <w:multiLevelType w:val="hybridMultilevel"/>
    <w:tmpl w:val="DF78C07A"/>
    <w:lvl w:ilvl="0" w:tplc="04150001">
      <w:start w:val="1"/>
      <w:numFmt w:val="bullet"/>
      <w:lvlText w:val=""/>
      <w:lvlJc w:val="left"/>
      <w:pPr>
        <w:ind w:left="1287" w:hanging="360"/>
      </w:pPr>
      <w:rPr>
        <w:rFonts w:ascii="Symbol" w:hAnsi="Symbol" w:hint="default"/>
      </w:rPr>
    </w:lvl>
    <w:lvl w:ilvl="1" w:tplc="04150003" w:tentative="1">
      <w:start w:val="1"/>
      <w:numFmt w:val="bullet"/>
      <w:lvlText w:val="o"/>
      <w:lvlJc w:val="left"/>
      <w:pPr>
        <w:ind w:left="2007" w:hanging="360"/>
      </w:pPr>
      <w:rPr>
        <w:rFonts w:ascii="Courier New" w:hAnsi="Courier New" w:cs="Courier New" w:hint="default"/>
      </w:rPr>
    </w:lvl>
    <w:lvl w:ilvl="2" w:tplc="04150005" w:tentative="1">
      <w:start w:val="1"/>
      <w:numFmt w:val="bullet"/>
      <w:lvlText w:val=""/>
      <w:lvlJc w:val="left"/>
      <w:pPr>
        <w:ind w:left="2727" w:hanging="360"/>
      </w:pPr>
      <w:rPr>
        <w:rFonts w:ascii="Wingdings" w:hAnsi="Wingdings" w:hint="default"/>
      </w:rPr>
    </w:lvl>
    <w:lvl w:ilvl="3" w:tplc="04150001" w:tentative="1">
      <w:start w:val="1"/>
      <w:numFmt w:val="bullet"/>
      <w:lvlText w:val=""/>
      <w:lvlJc w:val="left"/>
      <w:pPr>
        <w:ind w:left="3447" w:hanging="360"/>
      </w:pPr>
      <w:rPr>
        <w:rFonts w:ascii="Symbol" w:hAnsi="Symbol" w:hint="default"/>
      </w:rPr>
    </w:lvl>
    <w:lvl w:ilvl="4" w:tplc="04150003" w:tentative="1">
      <w:start w:val="1"/>
      <w:numFmt w:val="bullet"/>
      <w:lvlText w:val="o"/>
      <w:lvlJc w:val="left"/>
      <w:pPr>
        <w:ind w:left="4167" w:hanging="360"/>
      </w:pPr>
      <w:rPr>
        <w:rFonts w:ascii="Courier New" w:hAnsi="Courier New" w:cs="Courier New" w:hint="default"/>
      </w:rPr>
    </w:lvl>
    <w:lvl w:ilvl="5" w:tplc="04150005" w:tentative="1">
      <w:start w:val="1"/>
      <w:numFmt w:val="bullet"/>
      <w:lvlText w:val=""/>
      <w:lvlJc w:val="left"/>
      <w:pPr>
        <w:ind w:left="4887" w:hanging="360"/>
      </w:pPr>
      <w:rPr>
        <w:rFonts w:ascii="Wingdings" w:hAnsi="Wingdings" w:hint="default"/>
      </w:rPr>
    </w:lvl>
    <w:lvl w:ilvl="6" w:tplc="04150001" w:tentative="1">
      <w:start w:val="1"/>
      <w:numFmt w:val="bullet"/>
      <w:lvlText w:val=""/>
      <w:lvlJc w:val="left"/>
      <w:pPr>
        <w:ind w:left="5607" w:hanging="360"/>
      </w:pPr>
      <w:rPr>
        <w:rFonts w:ascii="Symbol" w:hAnsi="Symbol" w:hint="default"/>
      </w:rPr>
    </w:lvl>
    <w:lvl w:ilvl="7" w:tplc="04150003" w:tentative="1">
      <w:start w:val="1"/>
      <w:numFmt w:val="bullet"/>
      <w:lvlText w:val="o"/>
      <w:lvlJc w:val="left"/>
      <w:pPr>
        <w:ind w:left="6327" w:hanging="360"/>
      </w:pPr>
      <w:rPr>
        <w:rFonts w:ascii="Courier New" w:hAnsi="Courier New" w:cs="Courier New" w:hint="default"/>
      </w:rPr>
    </w:lvl>
    <w:lvl w:ilvl="8" w:tplc="04150005" w:tentative="1">
      <w:start w:val="1"/>
      <w:numFmt w:val="bullet"/>
      <w:lvlText w:val=""/>
      <w:lvlJc w:val="left"/>
      <w:pPr>
        <w:ind w:left="7047" w:hanging="360"/>
      </w:pPr>
      <w:rPr>
        <w:rFonts w:ascii="Wingdings" w:hAnsi="Wingdings" w:hint="default"/>
      </w:rPr>
    </w:lvl>
  </w:abstractNum>
  <w:abstractNum w:abstractNumId="6" w15:restartNumberingAfterBreak="0">
    <w:nsid w:val="12AF7D8A"/>
    <w:multiLevelType w:val="hybridMultilevel"/>
    <w:tmpl w:val="B388EF70"/>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 w15:restartNumberingAfterBreak="0">
    <w:nsid w:val="12DF17C3"/>
    <w:multiLevelType w:val="hybridMultilevel"/>
    <w:tmpl w:val="7B560C54"/>
    <w:lvl w:ilvl="0" w:tplc="052CD99A">
      <w:start w:val="1"/>
      <w:numFmt w:val="bullet"/>
      <w:lvlText w:val="­"/>
      <w:lvlJc w:val="left"/>
      <w:pPr>
        <w:ind w:left="720" w:hanging="360"/>
      </w:pPr>
      <w:rPr>
        <w:rFonts w:ascii="Calibri" w:hAnsi="Calibri"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 w15:restartNumberingAfterBreak="0">
    <w:nsid w:val="15A5090C"/>
    <w:multiLevelType w:val="hybridMultilevel"/>
    <w:tmpl w:val="80FE0DA4"/>
    <w:lvl w:ilvl="0" w:tplc="04150001">
      <w:start w:val="1"/>
      <w:numFmt w:val="bullet"/>
      <w:lvlText w:val=""/>
      <w:lvlJc w:val="left"/>
      <w:pPr>
        <w:ind w:left="1140" w:hanging="360"/>
      </w:pPr>
      <w:rPr>
        <w:rFonts w:ascii="Symbol" w:hAnsi="Symbol" w:hint="default"/>
      </w:rPr>
    </w:lvl>
    <w:lvl w:ilvl="1" w:tplc="04150003" w:tentative="1">
      <w:start w:val="1"/>
      <w:numFmt w:val="bullet"/>
      <w:lvlText w:val="o"/>
      <w:lvlJc w:val="left"/>
      <w:pPr>
        <w:ind w:left="1860" w:hanging="360"/>
      </w:pPr>
      <w:rPr>
        <w:rFonts w:ascii="Courier New" w:hAnsi="Courier New" w:cs="Courier New" w:hint="default"/>
      </w:rPr>
    </w:lvl>
    <w:lvl w:ilvl="2" w:tplc="04150005" w:tentative="1">
      <w:start w:val="1"/>
      <w:numFmt w:val="bullet"/>
      <w:lvlText w:val=""/>
      <w:lvlJc w:val="left"/>
      <w:pPr>
        <w:ind w:left="2580" w:hanging="360"/>
      </w:pPr>
      <w:rPr>
        <w:rFonts w:ascii="Wingdings" w:hAnsi="Wingdings" w:hint="default"/>
      </w:rPr>
    </w:lvl>
    <w:lvl w:ilvl="3" w:tplc="04150001" w:tentative="1">
      <w:start w:val="1"/>
      <w:numFmt w:val="bullet"/>
      <w:lvlText w:val=""/>
      <w:lvlJc w:val="left"/>
      <w:pPr>
        <w:ind w:left="3300" w:hanging="360"/>
      </w:pPr>
      <w:rPr>
        <w:rFonts w:ascii="Symbol" w:hAnsi="Symbol" w:hint="default"/>
      </w:rPr>
    </w:lvl>
    <w:lvl w:ilvl="4" w:tplc="04150003" w:tentative="1">
      <w:start w:val="1"/>
      <w:numFmt w:val="bullet"/>
      <w:lvlText w:val="o"/>
      <w:lvlJc w:val="left"/>
      <w:pPr>
        <w:ind w:left="4020" w:hanging="360"/>
      </w:pPr>
      <w:rPr>
        <w:rFonts w:ascii="Courier New" w:hAnsi="Courier New" w:cs="Courier New" w:hint="default"/>
      </w:rPr>
    </w:lvl>
    <w:lvl w:ilvl="5" w:tplc="04150005" w:tentative="1">
      <w:start w:val="1"/>
      <w:numFmt w:val="bullet"/>
      <w:lvlText w:val=""/>
      <w:lvlJc w:val="left"/>
      <w:pPr>
        <w:ind w:left="4740" w:hanging="360"/>
      </w:pPr>
      <w:rPr>
        <w:rFonts w:ascii="Wingdings" w:hAnsi="Wingdings" w:hint="default"/>
      </w:rPr>
    </w:lvl>
    <w:lvl w:ilvl="6" w:tplc="04150001" w:tentative="1">
      <w:start w:val="1"/>
      <w:numFmt w:val="bullet"/>
      <w:lvlText w:val=""/>
      <w:lvlJc w:val="left"/>
      <w:pPr>
        <w:ind w:left="5460" w:hanging="360"/>
      </w:pPr>
      <w:rPr>
        <w:rFonts w:ascii="Symbol" w:hAnsi="Symbol" w:hint="default"/>
      </w:rPr>
    </w:lvl>
    <w:lvl w:ilvl="7" w:tplc="04150003" w:tentative="1">
      <w:start w:val="1"/>
      <w:numFmt w:val="bullet"/>
      <w:lvlText w:val="o"/>
      <w:lvlJc w:val="left"/>
      <w:pPr>
        <w:ind w:left="6180" w:hanging="360"/>
      </w:pPr>
      <w:rPr>
        <w:rFonts w:ascii="Courier New" w:hAnsi="Courier New" w:cs="Courier New" w:hint="default"/>
      </w:rPr>
    </w:lvl>
    <w:lvl w:ilvl="8" w:tplc="04150005" w:tentative="1">
      <w:start w:val="1"/>
      <w:numFmt w:val="bullet"/>
      <w:lvlText w:val=""/>
      <w:lvlJc w:val="left"/>
      <w:pPr>
        <w:ind w:left="6900" w:hanging="360"/>
      </w:pPr>
      <w:rPr>
        <w:rFonts w:ascii="Wingdings" w:hAnsi="Wingdings" w:hint="default"/>
      </w:rPr>
    </w:lvl>
  </w:abstractNum>
  <w:abstractNum w:abstractNumId="9" w15:restartNumberingAfterBreak="0">
    <w:nsid w:val="1608756E"/>
    <w:multiLevelType w:val="multilevel"/>
    <w:tmpl w:val="C7DE130A"/>
    <w:lvl w:ilvl="0">
      <w:start w:val="1"/>
      <w:numFmt w:val="decimal"/>
      <w:pStyle w:val="Tytugwny"/>
      <w:lvlText w:val="%1."/>
      <w:lvlJc w:val="left"/>
      <w:pPr>
        <w:ind w:left="360" w:hanging="360"/>
      </w:pPr>
      <w:rPr>
        <w:rFonts w:ascii="Times New Roman" w:hAnsi="Times New Roman" w:cs="Times New Roman" w:hint="default"/>
        <w:b/>
        <w:i w:val="0"/>
        <w:sz w:val="32"/>
      </w:rPr>
    </w:lvl>
    <w:lvl w:ilvl="1">
      <w:start w:val="1"/>
      <w:numFmt w:val="decimal"/>
      <w:lvlText w:val="%1.%2."/>
      <w:lvlJc w:val="left"/>
      <w:pPr>
        <w:ind w:left="792" w:hanging="432"/>
      </w:pPr>
      <w:rPr>
        <w:rFonts w:ascii="Times New Roman" w:hAnsi="Times New Roman" w:cs="Times New Roman" w:hint="default"/>
        <w:b/>
        <w:i w:val="0"/>
        <w:sz w:val="28"/>
      </w:rPr>
    </w:lvl>
    <w:lvl w:ilvl="2">
      <w:start w:val="1"/>
      <w:numFmt w:val="decimal"/>
      <w:lvlText w:val="%1.%2.%3."/>
      <w:lvlJc w:val="left"/>
      <w:pPr>
        <w:ind w:left="1224" w:hanging="504"/>
      </w:pPr>
      <w:rPr>
        <w:rFonts w:ascii="Times New Roman" w:hAnsi="Times New Roman" w:cs="Times New Roman" w:hint="default"/>
        <w:b/>
        <w:i/>
        <w:sz w:val="24"/>
      </w:rPr>
    </w:lvl>
    <w:lvl w:ilvl="3">
      <w:start w:val="1"/>
      <w:numFmt w:val="decimal"/>
      <w:lvlText w:val="%1.%2.%3.%4."/>
      <w:lvlJc w:val="left"/>
      <w:pPr>
        <w:ind w:left="1728" w:hanging="648"/>
      </w:pPr>
      <w:rPr>
        <w:rFonts w:cs="Times New Roman" w:hint="default"/>
      </w:rPr>
    </w:lvl>
    <w:lvl w:ilvl="4">
      <w:start w:val="1"/>
      <w:numFmt w:val="decimal"/>
      <w:lvlText w:val="%1.%2.%3.%4.%5."/>
      <w:lvlJc w:val="left"/>
      <w:pPr>
        <w:ind w:left="2232" w:hanging="792"/>
      </w:pPr>
      <w:rPr>
        <w:rFonts w:cs="Times New Roman" w:hint="default"/>
      </w:rPr>
    </w:lvl>
    <w:lvl w:ilvl="5">
      <w:start w:val="1"/>
      <w:numFmt w:val="decimal"/>
      <w:lvlText w:val="%1.%2.%3.%4.%5.%6."/>
      <w:lvlJc w:val="left"/>
      <w:pPr>
        <w:ind w:left="2736" w:hanging="936"/>
      </w:pPr>
      <w:rPr>
        <w:rFonts w:cs="Times New Roman" w:hint="default"/>
      </w:rPr>
    </w:lvl>
    <w:lvl w:ilvl="6">
      <w:start w:val="1"/>
      <w:numFmt w:val="decimal"/>
      <w:lvlText w:val="%1.%2.%3.%4.%5.%6.%7."/>
      <w:lvlJc w:val="left"/>
      <w:pPr>
        <w:ind w:left="3240" w:hanging="1080"/>
      </w:pPr>
      <w:rPr>
        <w:rFonts w:cs="Times New Roman" w:hint="default"/>
      </w:rPr>
    </w:lvl>
    <w:lvl w:ilvl="7">
      <w:start w:val="1"/>
      <w:numFmt w:val="decimal"/>
      <w:lvlText w:val="%1.%2.%3.%4.%5.%6.%7.%8."/>
      <w:lvlJc w:val="left"/>
      <w:pPr>
        <w:ind w:left="3744" w:hanging="1224"/>
      </w:pPr>
      <w:rPr>
        <w:rFonts w:cs="Times New Roman" w:hint="default"/>
      </w:rPr>
    </w:lvl>
    <w:lvl w:ilvl="8">
      <w:start w:val="1"/>
      <w:numFmt w:val="decimal"/>
      <w:lvlText w:val="%1.%2.%3.%4.%5.%6.%7.%8.%9."/>
      <w:lvlJc w:val="left"/>
      <w:pPr>
        <w:ind w:left="4320" w:hanging="1440"/>
      </w:pPr>
      <w:rPr>
        <w:rFonts w:cs="Times New Roman" w:hint="default"/>
      </w:rPr>
    </w:lvl>
  </w:abstractNum>
  <w:abstractNum w:abstractNumId="10" w15:restartNumberingAfterBreak="0">
    <w:nsid w:val="198239A6"/>
    <w:multiLevelType w:val="multilevel"/>
    <w:tmpl w:val="91806DE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 w15:restartNumberingAfterBreak="0">
    <w:nsid w:val="1C8B44F6"/>
    <w:multiLevelType w:val="hybridMultilevel"/>
    <w:tmpl w:val="2A3EDF5E"/>
    <w:lvl w:ilvl="0" w:tplc="B8E01662">
      <w:start w:val="1"/>
      <w:numFmt w:val="bullet"/>
      <w:pStyle w:val="punktory"/>
      <w:lvlText w:val=""/>
      <w:lvlJc w:val="left"/>
      <w:pPr>
        <w:ind w:left="76" w:hanging="360"/>
      </w:pPr>
      <w:rPr>
        <w:rFonts w:ascii="Wingdings" w:hAnsi="Wingdings" w:hint="default"/>
        <w:color w:val="auto"/>
        <w:sz w:val="16"/>
        <w:szCs w:val="16"/>
      </w:rPr>
    </w:lvl>
    <w:lvl w:ilvl="1" w:tplc="04150003" w:tentative="1">
      <w:start w:val="1"/>
      <w:numFmt w:val="bullet"/>
      <w:lvlText w:val="o"/>
      <w:lvlJc w:val="left"/>
      <w:pPr>
        <w:ind w:left="796" w:hanging="360"/>
      </w:pPr>
      <w:rPr>
        <w:rFonts w:ascii="Courier New" w:hAnsi="Courier New" w:cs="Courier New" w:hint="default"/>
      </w:rPr>
    </w:lvl>
    <w:lvl w:ilvl="2" w:tplc="04150005" w:tentative="1">
      <w:start w:val="1"/>
      <w:numFmt w:val="bullet"/>
      <w:lvlText w:val=""/>
      <w:lvlJc w:val="left"/>
      <w:pPr>
        <w:ind w:left="1516" w:hanging="360"/>
      </w:pPr>
      <w:rPr>
        <w:rFonts w:ascii="Wingdings" w:hAnsi="Wingdings" w:hint="default"/>
      </w:rPr>
    </w:lvl>
    <w:lvl w:ilvl="3" w:tplc="04150001" w:tentative="1">
      <w:start w:val="1"/>
      <w:numFmt w:val="bullet"/>
      <w:lvlText w:val=""/>
      <w:lvlJc w:val="left"/>
      <w:pPr>
        <w:ind w:left="2236" w:hanging="360"/>
      </w:pPr>
      <w:rPr>
        <w:rFonts w:ascii="Symbol" w:hAnsi="Symbol" w:hint="default"/>
      </w:rPr>
    </w:lvl>
    <w:lvl w:ilvl="4" w:tplc="04150003" w:tentative="1">
      <w:start w:val="1"/>
      <w:numFmt w:val="bullet"/>
      <w:lvlText w:val="o"/>
      <w:lvlJc w:val="left"/>
      <w:pPr>
        <w:ind w:left="2956" w:hanging="360"/>
      </w:pPr>
      <w:rPr>
        <w:rFonts w:ascii="Courier New" w:hAnsi="Courier New" w:cs="Courier New" w:hint="default"/>
      </w:rPr>
    </w:lvl>
    <w:lvl w:ilvl="5" w:tplc="04150005" w:tentative="1">
      <w:start w:val="1"/>
      <w:numFmt w:val="bullet"/>
      <w:lvlText w:val=""/>
      <w:lvlJc w:val="left"/>
      <w:pPr>
        <w:ind w:left="3676" w:hanging="360"/>
      </w:pPr>
      <w:rPr>
        <w:rFonts w:ascii="Wingdings" w:hAnsi="Wingdings" w:hint="default"/>
      </w:rPr>
    </w:lvl>
    <w:lvl w:ilvl="6" w:tplc="04150001" w:tentative="1">
      <w:start w:val="1"/>
      <w:numFmt w:val="bullet"/>
      <w:lvlText w:val=""/>
      <w:lvlJc w:val="left"/>
      <w:pPr>
        <w:ind w:left="4396" w:hanging="360"/>
      </w:pPr>
      <w:rPr>
        <w:rFonts w:ascii="Symbol" w:hAnsi="Symbol" w:hint="default"/>
      </w:rPr>
    </w:lvl>
    <w:lvl w:ilvl="7" w:tplc="04150003" w:tentative="1">
      <w:start w:val="1"/>
      <w:numFmt w:val="bullet"/>
      <w:lvlText w:val="o"/>
      <w:lvlJc w:val="left"/>
      <w:pPr>
        <w:ind w:left="5116" w:hanging="360"/>
      </w:pPr>
      <w:rPr>
        <w:rFonts w:ascii="Courier New" w:hAnsi="Courier New" w:cs="Courier New" w:hint="default"/>
      </w:rPr>
    </w:lvl>
    <w:lvl w:ilvl="8" w:tplc="04150005" w:tentative="1">
      <w:start w:val="1"/>
      <w:numFmt w:val="bullet"/>
      <w:lvlText w:val=""/>
      <w:lvlJc w:val="left"/>
      <w:pPr>
        <w:ind w:left="5836" w:hanging="360"/>
      </w:pPr>
      <w:rPr>
        <w:rFonts w:ascii="Wingdings" w:hAnsi="Wingdings" w:hint="default"/>
      </w:rPr>
    </w:lvl>
  </w:abstractNum>
  <w:abstractNum w:abstractNumId="12" w15:restartNumberingAfterBreak="0">
    <w:nsid w:val="228E4FDC"/>
    <w:multiLevelType w:val="hybridMultilevel"/>
    <w:tmpl w:val="FABE072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3" w15:restartNumberingAfterBreak="0">
    <w:nsid w:val="257521DB"/>
    <w:multiLevelType w:val="multilevel"/>
    <w:tmpl w:val="C9EE6D40"/>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Wingdings" w:hAnsi="Wingdings" w:hint="default"/>
        <w:sz w:val="20"/>
      </w:rPr>
    </w:lvl>
    <w:lvl w:ilvl="2">
      <w:start w:val="1"/>
      <w:numFmt w:val="bullet"/>
      <w:lvlText w:val="­"/>
      <w:lvlJc w:val="left"/>
      <w:pPr>
        <w:tabs>
          <w:tab w:val="num" w:pos="2160"/>
        </w:tabs>
        <w:ind w:left="2160" w:hanging="360"/>
      </w:pPr>
      <w:rPr>
        <w:rFonts w:ascii="Calibri" w:hAnsi="Calibri" w:hint="default"/>
        <w:sz w:val="20"/>
      </w:rPr>
    </w:lvl>
    <w:lvl w:ilvl="3">
      <w:start w:val="1"/>
      <w:numFmt w:val="decimal"/>
      <w:lvlText w:val="%4."/>
      <w:lvlJc w:val="left"/>
      <w:pPr>
        <w:ind w:left="2880" w:hanging="360"/>
      </w:pPr>
      <w:rPr>
        <w:rFonts w:hint="default"/>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4" w15:restartNumberingAfterBreak="0">
    <w:nsid w:val="28237C80"/>
    <w:multiLevelType w:val="hybridMultilevel"/>
    <w:tmpl w:val="51D6FFBA"/>
    <w:lvl w:ilvl="0" w:tplc="04150001">
      <w:start w:val="1"/>
      <w:numFmt w:val="bullet"/>
      <w:lvlText w:val=""/>
      <w:lvlJc w:val="left"/>
      <w:pPr>
        <w:ind w:left="1287" w:hanging="360"/>
      </w:pPr>
      <w:rPr>
        <w:rFonts w:ascii="Symbol" w:hAnsi="Symbol" w:hint="default"/>
      </w:rPr>
    </w:lvl>
    <w:lvl w:ilvl="1" w:tplc="04150003" w:tentative="1">
      <w:start w:val="1"/>
      <w:numFmt w:val="bullet"/>
      <w:lvlText w:val="o"/>
      <w:lvlJc w:val="left"/>
      <w:pPr>
        <w:ind w:left="2007" w:hanging="360"/>
      </w:pPr>
      <w:rPr>
        <w:rFonts w:ascii="Courier New" w:hAnsi="Courier New" w:cs="Courier New" w:hint="default"/>
      </w:rPr>
    </w:lvl>
    <w:lvl w:ilvl="2" w:tplc="04150005" w:tentative="1">
      <w:start w:val="1"/>
      <w:numFmt w:val="bullet"/>
      <w:lvlText w:val=""/>
      <w:lvlJc w:val="left"/>
      <w:pPr>
        <w:ind w:left="2727" w:hanging="360"/>
      </w:pPr>
      <w:rPr>
        <w:rFonts w:ascii="Wingdings" w:hAnsi="Wingdings" w:hint="default"/>
      </w:rPr>
    </w:lvl>
    <w:lvl w:ilvl="3" w:tplc="04150001" w:tentative="1">
      <w:start w:val="1"/>
      <w:numFmt w:val="bullet"/>
      <w:lvlText w:val=""/>
      <w:lvlJc w:val="left"/>
      <w:pPr>
        <w:ind w:left="3447" w:hanging="360"/>
      </w:pPr>
      <w:rPr>
        <w:rFonts w:ascii="Symbol" w:hAnsi="Symbol" w:hint="default"/>
      </w:rPr>
    </w:lvl>
    <w:lvl w:ilvl="4" w:tplc="04150003" w:tentative="1">
      <w:start w:val="1"/>
      <w:numFmt w:val="bullet"/>
      <w:lvlText w:val="o"/>
      <w:lvlJc w:val="left"/>
      <w:pPr>
        <w:ind w:left="4167" w:hanging="360"/>
      </w:pPr>
      <w:rPr>
        <w:rFonts w:ascii="Courier New" w:hAnsi="Courier New" w:cs="Courier New" w:hint="default"/>
      </w:rPr>
    </w:lvl>
    <w:lvl w:ilvl="5" w:tplc="04150005" w:tentative="1">
      <w:start w:val="1"/>
      <w:numFmt w:val="bullet"/>
      <w:lvlText w:val=""/>
      <w:lvlJc w:val="left"/>
      <w:pPr>
        <w:ind w:left="4887" w:hanging="360"/>
      </w:pPr>
      <w:rPr>
        <w:rFonts w:ascii="Wingdings" w:hAnsi="Wingdings" w:hint="default"/>
      </w:rPr>
    </w:lvl>
    <w:lvl w:ilvl="6" w:tplc="04150001" w:tentative="1">
      <w:start w:val="1"/>
      <w:numFmt w:val="bullet"/>
      <w:lvlText w:val=""/>
      <w:lvlJc w:val="left"/>
      <w:pPr>
        <w:ind w:left="5607" w:hanging="360"/>
      </w:pPr>
      <w:rPr>
        <w:rFonts w:ascii="Symbol" w:hAnsi="Symbol" w:hint="default"/>
      </w:rPr>
    </w:lvl>
    <w:lvl w:ilvl="7" w:tplc="04150003" w:tentative="1">
      <w:start w:val="1"/>
      <w:numFmt w:val="bullet"/>
      <w:lvlText w:val="o"/>
      <w:lvlJc w:val="left"/>
      <w:pPr>
        <w:ind w:left="6327" w:hanging="360"/>
      </w:pPr>
      <w:rPr>
        <w:rFonts w:ascii="Courier New" w:hAnsi="Courier New" w:cs="Courier New" w:hint="default"/>
      </w:rPr>
    </w:lvl>
    <w:lvl w:ilvl="8" w:tplc="04150005" w:tentative="1">
      <w:start w:val="1"/>
      <w:numFmt w:val="bullet"/>
      <w:lvlText w:val=""/>
      <w:lvlJc w:val="left"/>
      <w:pPr>
        <w:ind w:left="7047" w:hanging="360"/>
      </w:pPr>
      <w:rPr>
        <w:rFonts w:ascii="Wingdings" w:hAnsi="Wingdings" w:hint="default"/>
      </w:rPr>
    </w:lvl>
  </w:abstractNum>
  <w:abstractNum w:abstractNumId="15" w15:restartNumberingAfterBreak="0">
    <w:nsid w:val="304B682E"/>
    <w:multiLevelType w:val="hybridMultilevel"/>
    <w:tmpl w:val="D320F6D6"/>
    <w:lvl w:ilvl="0" w:tplc="31CCBAB8">
      <w:numFmt w:val="bullet"/>
      <w:lvlText w:val="•"/>
      <w:lvlJc w:val="left"/>
      <w:pPr>
        <w:ind w:left="1287" w:hanging="360"/>
      </w:pPr>
      <w:rPr>
        <w:rFonts w:ascii="Calibri" w:eastAsiaTheme="minorHAnsi" w:hAnsi="Calibri" w:cstheme="minorBidi" w:hint="default"/>
      </w:rPr>
    </w:lvl>
    <w:lvl w:ilvl="1" w:tplc="04150003" w:tentative="1">
      <w:start w:val="1"/>
      <w:numFmt w:val="bullet"/>
      <w:lvlText w:val="o"/>
      <w:lvlJc w:val="left"/>
      <w:pPr>
        <w:ind w:left="2007" w:hanging="360"/>
      </w:pPr>
      <w:rPr>
        <w:rFonts w:ascii="Courier New" w:hAnsi="Courier New" w:cs="Courier New" w:hint="default"/>
      </w:rPr>
    </w:lvl>
    <w:lvl w:ilvl="2" w:tplc="04150005" w:tentative="1">
      <w:start w:val="1"/>
      <w:numFmt w:val="bullet"/>
      <w:lvlText w:val=""/>
      <w:lvlJc w:val="left"/>
      <w:pPr>
        <w:ind w:left="2727" w:hanging="360"/>
      </w:pPr>
      <w:rPr>
        <w:rFonts w:ascii="Wingdings" w:hAnsi="Wingdings" w:hint="default"/>
      </w:rPr>
    </w:lvl>
    <w:lvl w:ilvl="3" w:tplc="04150001" w:tentative="1">
      <w:start w:val="1"/>
      <w:numFmt w:val="bullet"/>
      <w:lvlText w:val=""/>
      <w:lvlJc w:val="left"/>
      <w:pPr>
        <w:ind w:left="3447" w:hanging="360"/>
      </w:pPr>
      <w:rPr>
        <w:rFonts w:ascii="Symbol" w:hAnsi="Symbol" w:hint="default"/>
      </w:rPr>
    </w:lvl>
    <w:lvl w:ilvl="4" w:tplc="04150003" w:tentative="1">
      <w:start w:val="1"/>
      <w:numFmt w:val="bullet"/>
      <w:lvlText w:val="o"/>
      <w:lvlJc w:val="left"/>
      <w:pPr>
        <w:ind w:left="4167" w:hanging="360"/>
      </w:pPr>
      <w:rPr>
        <w:rFonts w:ascii="Courier New" w:hAnsi="Courier New" w:cs="Courier New" w:hint="default"/>
      </w:rPr>
    </w:lvl>
    <w:lvl w:ilvl="5" w:tplc="04150005" w:tentative="1">
      <w:start w:val="1"/>
      <w:numFmt w:val="bullet"/>
      <w:lvlText w:val=""/>
      <w:lvlJc w:val="left"/>
      <w:pPr>
        <w:ind w:left="4887" w:hanging="360"/>
      </w:pPr>
      <w:rPr>
        <w:rFonts w:ascii="Wingdings" w:hAnsi="Wingdings" w:hint="default"/>
      </w:rPr>
    </w:lvl>
    <w:lvl w:ilvl="6" w:tplc="04150001" w:tentative="1">
      <w:start w:val="1"/>
      <w:numFmt w:val="bullet"/>
      <w:lvlText w:val=""/>
      <w:lvlJc w:val="left"/>
      <w:pPr>
        <w:ind w:left="5607" w:hanging="360"/>
      </w:pPr>
      <w:rPr>
        <w:rFonts w:ascii="Symbol" w:hAnsi="Symbol" w:hint="default"/>
      </w:rPr>
    </w:lvl>
    <w:lvl w:ilvl="7" w:tplc="04150003" w:tentative="1">
      <w:start w:val="1"/>
      <w:numFmt w:val="bullet"/>
      <w:lvlText w:val="o"/>
      <w:lvlJc w:val="left"/>
      <w:pPr>
        <w:ind w:left="6327" w:hanging="360"/>
      </w:pPr>
      <w:rPr>
        <w:rFonts w:ascii="Courier New" w:hAnsi="Courier New" w:cs="Courier New" w:hint="default"/>
      </w:rPr>
    </w:lvl>
    <w:lvl w:ilvl="8" w:tplc="04150005" w:tentative="1">
      <w:start w:val="1"/>
      <w:numFmt w:val="bullet"/>
      <w:lvlText w:val=""/>
      <w:lvlJc w:val="left"/>
      <w:pPr>
        <w:ind w:left="7047" w:hanging="360"/>
      </w:pPr>
      <w:rPr>
        <w:rFonts w:ascii="Wingdings" w:hAnsi="Wingdings" w:hint="default"/>
      </w:rPr>
    </w:lvl>
  </w:abstractNum>
  <w:abstractNum w:abstractNumId="16" w15:restartNumberingAfterBreak="0">
    <w:nsid w:val="307773DF"/>
    <w:multiLevelType w:val="hybridMultilevel"/>
    <w:tmpl w:val="F86E46B6"/>
    <w:lvl w:ilvl="0" w:tplc="04150001">
      <w:start w:val="1"/>
      <w:numFmt w:val="bullet"/>
      <w:lvlText w:val=""/>
      <w:lvlJc w:val="left"/>
      <w:pPr>
        <w:ind w:left="927" w:hanging="360"/>
      </w:pPr>
      <w:rPr>
        <w:rFonts w:ascii="Symbol" w:hAnsi="Symbol" w:hint="default"/>
      </w:rPr>
    </w:lvl>
    <w:lvl w:ilvl="1" w:tplc="04150019">
      <w:start w:val="1"/>
      <w:numFmt w:val="lowerLetter"/>
      <w:lvlText w:val="%2."/>
      <w:lvlJc w:val="left"/>
      <w:pPr>
        <w:ind w:left="1647" w:hanging="360"/>
      </w:pPr>
    </w:lvl>
    <w:lvl w:ilvl="2" w:tplc="0415001B">
      <w:start w:val="1"/>
      <w:numFmt w:val="lowerRoman"/>
      <w:lvlText w:val="%3."/>
      <w:lvlJc w:val="right"/>
      <w:pPr>
        <w:ind w:left="2367" w:hanging="180"/>
      </w:pPr>
    </w:lvl>
    <w:lvl w:ilvl="3" w:tplc="0415000F">
      <w:start w:val="1"/>
      <w:numFmt w:val="decimal"/>
      <w:lvlText w:val="%4."/>
      <w:lvlJc w:val="left"/>
      <w:pPr>
        <w:ind w:left="3087" w:hanging="360"/>
      </w:pPr>
    </w:lvl>
    <w:lvl w:ilvl="4" w:tplc="04150019">
      <w:start w:val="1"/>
      <w:numFmt w:val="lowerLetter"/>
      <w:lvlText w:val="%5."/>
      <w:lvlJc w:val="left"/>
      <w:pPr>
        <w:ind w:left="3807" w:hanging="360"/>
      </w:pPr>
    </w:lvl>
    <w:lvl w:ilvl="5" w:tplc="0415001B">
      <w:start w:val="1"/>
      <w:numFmt w:val="lowerRoman"/>
      <w:lvlText w:val="%6."/>
      <w:lvlJc w:val="right"/>
      <w:pPr>
        <w:ind w:left="4527" w:hanging="180"/>
      </w:pPr>
    </w:lvl>
    <w:lvl w:ilvl="6" w:tplc="0415000F">
      <w:start w:val="1"/>
      <w:numFmt w:val="decimal"/>
      <w:lvlText w:val="%7."/>
      <w:lvlJc w:val="left"/>
      <w:pPr>
        <w:ind w:left="5247" w:hanging="360"/>
      </w:pPr>
    </w:lvl>
    <w:lvl w:ilvl="7" w:tplc="04150019">
      <w:start w:val="1"/>
      <w:numFmt w:val="lowerLetter"/>
      <w:lvlText w:val="%8."/>
      <w:lvlJc w:val="left"/>
      <w:pPr>
        <w:ind w:left="5967" w:hanging="360"/>
      </w:pPr>
    </w:lvl>
    <w:lvl w:ilvl="8" w:tplc="0415001B">
      <w:start w:val="1"/>
      <w:numFmt w:val="lowerRoman"/>
      <w:lvlText w:val="%9."/>
      <w:lvlJc w:val="right"/>
      <w:pPr>
        <w:ind w:left="6687" w:hanging="180"/>
      </w:pPr>
    </w:lvl>
  </w:abstractNum>
  <w:abstractNum w:abstractNumId="17" w15:restartNumberingAfterBreak="0">
    <w:nsid w:val="30DF264E"/>
    <w:multiLevelType w:val="hybridMultilevel"/>
    <w:tmpl w:val="69F421C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8" w15:restartNumberingAfterBreak="0">
    <w:nsid w:val="3AB32820"/>
    <w:multiLevelType w:val="hybridMultilevel"/>
    <w:tmpl w:val="11BCD4DA"/>
    <w:lvl w:ilvl="0" w:tplc="04150011">
      <w:start w:val="1"/>
      <w:numFmt w:val="decimal"/>
      <w:lvlText w:val="%1)"/>
      <w:lvlJc w:val="left"/>
      <w:pPr>
        <w:ind w:left="360" w:hanging="360"/>
      </w:p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19" w15:restartNumberingAfterBreak="0">
    <w:nsid w:val="3C956931"/>
    <w:multiLevelType w:val="hybridMultilevel"/>
    <w:tmpl w:val="0520F65C"/>
    <w:lvl w:ilvl="0" w:tplc="CD1C64AE">
      <w:start w:val="1"/>
      <w:numFmt w:val="bullet"/>
      <w:pStyle w:val="Wypunktowanie"/>
      <w:lvlText w:val=""/>
      <w:lvlJc w:val="left"/>
      <w:pPr>
        <w:ind w:left="360" w:hanging="360"/>
      </w:pPr>
      <w:rPr>
        <w:rFonts w:ascii="Wingdings" w:hAnsi="Wingdings" w:hint="default"/>
        <w:color w:val="C00000"/>
      </w:rPr>
    </w:lvl>
    <w:lvl w:ilvl="1" w:tplc="04150003">
      <w:start w:val="1"/>
      <w:numFmt w:val="bullet"/>
      <w:lvlText w:val="o"/>
      <w:lvlJc w:val="left"/>
      <w:pPr>
        <w:ind w:left="513" w:hanging="360"/>
      </w:pPr>
      <w:rPr>
        <w:rFonts w:ascii="Courier New" w:hAnsi="Courier New" w:cs="Courier New" w:hint="default"/>
      </w:rPr>
    </w:lvl>
    <w:lvl w:ilvl="2" w:tplc="04150005">
      <w:start w:val="1"/>
      <w:numFmt w:val="bullet"/>
      <w:lvlText w:val=""/>
      <w:lvlJc w:val="left"/>
      <w:pPr>
        <w:ind w:left="1233" w:hanging="360"/>
      </w:pPr>
      <w:rPr>
        <w:rFonts w:ascii="Wingdings" w:hAnsi="Wingdings" w:hint="default"/>
      </w:rPr>
    </w:lvl>
    <w:lvl w:ilvl="3" w:tplc="04150001">
      <w:start w:val="1"/>
      <w:numFmt w:val="bullet"/>
      <w:lvlText w:val=""/>
      <w:lvlJc w:val="left"/>
      <w:pPr>
        <w:ind w:left="1953" w:hanging="360"/>
      </w:pPr>
      <w:rPr>
        <w:rFonts w:ascii="Symbol" w:hAnsi="Symbol" w:hint="default"/>
      </w:rPr>
    </w:lvl>
    <w:lvl w:ilvl="4" w:tplc="04150003" w:tentative="1">
      <w:start w:val="1"/>
      <w:numFmt w:val="bullet"/>
      <w:lvlText w:val="o"/>
      <w:lvlJc w:val="left"/>
      <w:pPr>
        <w:ind w:left="2673" w:hanging="360"/>
      </w:pPr>
      <w:rPr>
        <w:rFonts w:ascii="Courier New" w:hAnsi="Courier New" w:cs="Courier New" w:hint="default"/>
      </w:rPr>
    </w:lvl>
    <w:lvl w:ilvl="5" w:tplc="04150005" w:tentative="1">
      <w:start w:val="1"/>
      <w:numFmt w:val="bullet"/>
      <w:lvlText w:val=""/>
      <w:lvlJc w:val="left"/>
      <w:pPr>
        <w:ind w:left="3393" w:hanging="360"/>
      </w:pPr>
      <w:rPr>
        <w:rFonts w:ascii="Wingdings" w:hAnsi="Wingdings" w:hint="default"/>
      </w:rPr>
    </w:lvl>
    <w:lvl w:ilvl="6" w:tplc="04150001" w:tentative="1">
      <w:start w:val="1"/>
      <w:numFmt w:val="bullet"/>
      <w:lvlText w:val=""/>
      <w:lvlJc w:val="left"/>
      <w:pPr>
        <w:ind w:left="4113" w:hanging="360"/>
      </w:pPr>
      <w:rPr>
        <w:rFonts w:ascii="Symbol" w:hAnsi="Symbol" w:hint="default"/>
      </w:rPr>
    </w:lvl>
    <w:lvl w:ilvl="7" w:tplc="04150003" w:tentative="1">
      <w:start w:val="1"/>
      <w:numFmt w:val="bullet"/>
      <w:lvlText w:val="o"/>
      <w:lvlJc w:val="left"/>
      <w:pPr>
        <w:ind w:left="4833" w:hanging="360"/>
      </w:pPr>
      <w:rPr>
        <w:rFonts w:ascii="Courier New" w:hAnsi="Courier New" w:cs="Courier New" w:hint="default"/>
      </w:rPr>
    </w:lvl>
    <w:lvl w:ilvl="8" w:tplc="04150005" w:tentative="1">
      <w:start w:val="1"/>
      <w:numFmt w:val="bullet"/>
      <w:lvlText w:val=""/>
      <w:lvlJc w:val="left"/>
      <w:pPr>
        <w:ind w:left="5553" w:hanging="360"/>
      </w:pPr>
      <w:rPr>
        <w:rFonts w:ascii="Wingdings" w:hAnsi="Wingdings" w:hint="default"/>
      </w:rPr>
    </w:lvl>
  </w:abstractNum>
  <w:abstractNum w:abstractNumId="20" w15:restartNumberingAfterBreak="0">
    <w:nsid w:val="410519E8"/>
    <w:multiLevelType w:val="hybridMultilevel"/>
    <w:tmpl w:val="F9DC1BA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1" w15:restartNumberingAfterBreak="0">
    <w:nsid w:val="425453E9"/>
    <w:multiLevelType w:val="hybridMultilevel"/>
    <w:tmpl w:val="D10AF67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2" w15:restartNumberingAfterBreak="0">
    <w:nsid w:val="42935236"/>
    <w:multiLevelType w:val="hybridMultilevel"/>
    <w:tmpl w:val="6168724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3" w15:restartNumberingAfterBreak="0">
    <w:nsid w:val="44426459"/>
    <w:multiLevelType w:val="hybridMultilevel"/>
    <w:tmpl w:val="C9C8BC2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4" w15:restartNumberingAfterBreak="0">
    <w:nsid w:val="45E11237"/>
    <w:multiLevelType w:val="hybridMultilevel"/>
    <w:tmpl w:val="1B56344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5" w15:restartNumberingAfterBreak="0">
    <w:nsid w:val="4C261C46"/>
    <w:multiLevelType w:val="multilevel"/>
    <w:tmpl w:val="A7829A78"/>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Wingdings" w:hAnsi="Wingdings" w:hint="default"/>
        <w:sz w:val="20"/>
      </w:rPr>
    </w:lvl>
    <w:lvl w:ilvl="2">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6" w15:restartNumberingAfterBreak="0">
    <w:nsid w:val="4D822EF4"/>
    <w:multiLevelType w:val="hybridMultilevel"/>
    <w:tmpl w:val="24B8F60A"/>
    <w:lvl w:ilvl="0" w:tplc="04150001">
      <w:start w:val="1"/>
      <w:numFmt w:val="bullet"/>
      <w:lvlText w:val=""/>
      <w:lvlJc w:val="left"/>
      <w:pPr>
        <w:ind w:left="1287" w:hanging="360"/>
      </w:pPr>
      <w:rPr>
        <w:rFonts w:ascii="Symbol" w:hAnsi="Symbol" w:hint="default"/>
      </w:rPr>
    </w:lvl>
    <w:lvl w:ilvl="1" w:tplc="04150003">
      <w:start w:val="1"/>
      <w:numFmt w:val="bullet"/>
      <w:lvlText w:val="o"/>
      <w:lvlJc w:val="left"/>
      <w:pPr>
        <w:ind w:left="2007" w:hanging="360"/>
      </w:pPr>
      <w:rPr>
        <w:rFonts w:ascii="Courier New" w:hAnsi="Courier New" w:cs="Courier New" w:hint="default"/>
      </w:rPr>
    </w:lvl>
    <w:lvl w:ilvl="2" w:tplc="04150005" w:tentative="1">
      <w:start w:val="1"/>
      <w:numFmt w:val="bullet"/>
      <w:lvlText w:val=""/>
      <w:lvlJc w:val="left"/>
      <w:pPr>
        <w:ind w:left="2727" w:hanging="360"/>
      </w:pPr>
      <w:rPr>
        <w:rFonts w:ascii="Wingdings" w:hAnsi="Wingdings" w:hint="default"/>
      </w:rPr>
    </w:lvl>
    <w:lvl w:ilvl="3" w:tplc="04150001" w:tentative="1">
      <w:start w:val="1"/>
      <w:numFmt w:val="bullet"/>
      <w:lvlText w:val=""/>
      <w:lvlJc w:val="left"/>
      <w:pPr>
        <w:ind w:left="3447" w:hanging="360"/>
      </w:pPr>
      <w:rPr>
        <w:rFonts w:ascii="Symbol" w:hAnsi="Symbol" w:hint="default"/>
      </w:rPr>
    </w:lvl>
    <w:lvl w:ilvl="4" w:tplc="04150003" w:tentative="1">
      <w:start w:val="1"/>
      <w:numFmt w:val="bullet"/>
      <w:lvlText w:val="o"/>
      <w:lvlJc w:val="left"/>
      <w:pPr>
        <w:ind w:left="4167" w:hanging="360"/>
      </w:pPr>
      <w:rPr>
        <w:rFonts w:ascii="Courier New" w:hAnsi="Courier New" w:cs="Courier New" w:hint="default"/>
      </w:rPr>
    </w:lvl>
    <w:lvl w:ilvl="5" w:tplc="04150005" w:tentative="1">
      <w:start w:val="1"/>
      <w:numFmt w:val="bullet"/>
      <w:lvlText w:val=""/>
      <w:lvlJc w:val="left"/>
      <w:pPr>
        <w:ind w:left="4887" w:hanging="360"/>
      </w:pPr>
      <w:rPr>
        <w:rFonts w:ascii="Wingdings" w:hAnsi="Wingdings" w:hint="default"/>
      </w:rPr>
    </w:lvl>
    <w:lvl w:ilvl="6" w:tplc="04150001" w:tentative="1">
      <w:start w:val="1"/>
      <w:numFmt w:val="bullet"/>
      <w:lvlText w:val=""/>
      <w:lvlJc w:val="left"/>
      <w:pPr>
        <w:ind w:left="5607" w:hanging="360"/>
      </w:pPr>
      <w:rPr>
        <w:rFonts w:ascii="Symbol" w:hAnsi="Symbol" w:hint="default"/>
      </w:rPr>
    </w:lvl>
    <w:lvl w:ilvl="7" w:tplc="04150003" w:tentative="1">
      <w:start w:val="1"/>
      <w:numFmt w:val="bullet"/>
      <w:lvlText w:val="o"/>
      <w:lvlJc w:val="left"/>
      <w:pPr>
        <w:ind w:left="6327" w:hanging="360"/>
      </w:pPr>
      <w:rPr>
        <w:rFonts w:ascii="Courier New" w:hAnsi="Courier New" w:cs="Courier New" w:hint="default"/>
      </w:rPr>
    </w:lvl>
    <w:lvl w:ilvl="8" w:tplc="04150005" w:tentative="1">
      <w:start w:val="1"/>
      <w:numFmt w:val="bullet"/>
      <w:lvlText w:val=""/>
      <w:lvlJc w:val="left"/>
      <w:pPr>
        <w:ind w:left="7047" w:hanging="360"/>
      </w:pPr>
      <w:rPr>
        <w:rFonts w:ascii="Wingdings" w:hAnsi="Wingdings" w:hint="default"/>
      </w:rPr>
    </w:lvl>
  </w:abstractNum>
  <w:abstractNum w:abstractNumId="27" w15:restartNumberingAfterBreak="0">
    <w:nsid w:val="5361039E"/>
    <w:multiLevelType w:val="hybridMultilevel"/>
    <w:tmpl w:val="6F64CC64"/>
    <w:lvl w:ilvl="0" w:tplc="A4549898">
      <w:start w:val="1"/>
      <w:numFmt w:val="decimal"/>
      <w:lvlText w:val="%1."/>
      <w:lvlJc w:val="left"/>
      <w:pPr>
        <w:ind w:left="927" w:hanging="360"/>
      </w:pPr>
    </w:lvl>
    <w:lvl w:ilvl="1" w:tplc="04150019">
      <w:start w:val="1"/>
      <w:numFmt w:val="lowerLetter"/>
      <w:lvlText w:val="%2."/>
      <w:lvlJc w:val="left"/>
      <w:pPr>
        <w:ind w:left="1647" w:hanging="360"/>
      </w:pPr>
    </w:lvl>
    <w:lvl w:ilvl="2" w:tplc="0415001B">
      <w:start w:val="1"/>
      <w:numFmt w:val="lowerRoman"/>
      <w:lvlText w:val="%3."/>
      <w:lvlJc w:val="right"/>
      <w:pPr>
        <w:ind w:left="2367" w:hanging="180"/>
      </w:pPr>
    </w:lvl>
    <w:lvl w:ilvl="3" w:tplc="0415000F">
      <w:start w:val="1"/>
      <w:numFmt w:val="decimal"/>
      <w:lvlText w:val="%4."/>
      <w:lvlJc w:val="left"/>
      <w:pPr>
        <w:ind w:left="3087" w:hanging="360"/>
      </w:pPr>
    </w:lvl>
    <w:lvl w:ilvl="4" w:tplc="04150019">
      <w:start w:val="1"/>
      <w:numFmt w:val="lowerLetter"/>
      <w:lvlText w:val="%5."/>
      <w:lvlJc w:val="left"/>
      <w:pPr>
        <w:ind w:left="3807" w:hanging="360"/>
      </w:pPr>
    </w:lvl>
    <w:lvl w:ilvl="5" w:tplc="0415001B">
      <w:start w:val="1"/>
      <w:numFmt w:val="lowerRoman"/>
      <w:lvlText w:val="%6."/>
      <w:lvlJc w:val="right"/>
      <w:pPr>
        <w:ind w:left="4527" w:hanging="180"/>
      </w:pPr>
    </w:lvl>
    <w:lvl w:ilvl="6" w:tplc="0415000F">
      <w:start w:val="1"/>
      <w:numFmt w:val="decimal"/>
      <w:lvlText w:val="%7."/>
      <w:lvlJc w:val="left"/>
      <w:pPr>
        <w:ind w:left="5247" w:hanging="360"/>
      </w:pPr>
    </w:lvl>
    <w:lvl w:ilvl="7" w:tplc="04150019">
      <w:start w:val="1"/>
      <w:numFmt w:val="lowerLetter"/>
      <w:lvlText w:val="%8."/>
      <w:lvlJc w:val="left"/>
      <w:pPr>
        <w:ind w:left="5967" w:hanging="360"/>
      </w:pPr>
    </w:lvl>
    <w:lvl w:ilvl="8" w:tplc="0415001B">
      <w:start w:val="1"/>
      <w:numFmt w:val="lowerRoman"/>
      <w:lvlText w:val="%9."/>
      <w:lvlJc w:val="right"/>
      <w:pPr>
        <w:ind w:left="6687" w:hanging="180"/>
      </w:pPr>
    </w:lvl>
  </w:abstractNum>
  <w:abstractNum w:abstractNumId="28" w15:restartNumberingAfterBreak="0">
    <w:nsid w:val="5BE65517"/>
    <w:multiLevelType w:val="hybridMultilevel"/>
    <w:tmpl w:val="1026D1F6"/>
    <w:lvl w:ilvl="0" w:tplc="04150001">
      <w:start w:val="1"/>
      <w:numFmt w:val="bullet"/>
      <w:lvlText w:val=""/>
      <w:lvlJc w:val="left"/>
      <w:pPr>
        <w:ind w:left="1429" w:hanging="360"/>
      </w:pPr>
      <w:rPr>
        <w:rFonts w:ascii="Symbol" w:hAnsi="Symbol" w:hint="default"/>
      </w:rPr>
    </w:lvl>
    <w:lvl w:ilvl="1" w:tplc="04150003" w:tentative="1">
      <w:start w:val="1"/>
      <w:numFmt w:val="bullet"/>
      <w:lvlText w:val="o"/>
      <w:lvlJc w:val="left"/>
      <w:pPr>
        <w:ind w:left="2149" w:hanging="360"/>
      </w:pPr>
      <w:rPr>
        <w:rFonts w:ascii="Courier New" w:hAnsi="Courier New" w:cs="Courier New" w:hint="default"/>
      </w:rPr>
    </w:lvl>
    <w:lvl w:ilvl="2" w:tplc="04150005" w:tentative="1">
      <w:start w:val="1"/>
      <w:numFmt w:val="bullet"/>
      <w:lvlText w:val=""/>
      <w:lvlJc w:val="left"/>
      <w:pPr>
        <w:ind w:left="2869" w:hanging="360"/>
      </w:pPr>
      <w:rPr>
        <w:rFonts w:ascii="Wingdings" w:hAnsi="Wingdings" w:hint="default"/>
      </w:rPr>
    </w:lvl>
    <w:lvl w:ilvl="3" w:tplc="04150001" w:tentative="1">
      <w:start w:val="1"/>
      <w:numFmt w:val="bullet"/>
      <w:lvlText w:val=""/>
      <w:lvlJc w:val="left"/>
      <w:pPr>
        <w:ind w:left="3589" w:hanging="360"/>
      </w:pPr>
      <w:rPr>
        <w:rFonts w:ascii="Symbol" w:hAnsi="Symbol" w:hint="default"/>
      </w:rPr>
    </w:lvl>
    <w:lvl w:ilvl="4" w:tplc="04150003" w:tentative="1">
      <w:start w:val="1"/>
      <w:numFmt w:val="bullet"/>
      <w:lvlText w:val="o"/>
      <w:lvlJc w:val="left"/>
      <w:pPr>
        <w:ind w:left="4309" w:hanging="360"/>
      </w:pPr>
      <w:rPr>
        <w:rFonts w:ascii="Courier New" w:hAnsi="Courier New" w:cs="Courier New" w:hint="default"/>
      </w:rPr>
    </w:lvl>
    <w:lvl w:ilvl="5" w:tplc="04150005" w:tentative="1">
      <w:start w:val="1"/>
      <w:numFmt w:val="bullet"/>
      <w:lvlText w:val=""/>
      <w:lvlJc w:val="left"/>
      <w:pPr>
        <w:ind w:left="5029" w:hanging="360"/>
      </w:pPr>
      <w:rPr>
        <w:rFonts w:ascii="Wingdings" w:hAnsi="Wingdings" w:hint="default"/>
      </w:rPr>
    </w:lvl>
    <w:lvl w:ilvl="6" w:tplc="04150001" w:tentative="1">
      <w:start w:val="1"/>
      <w:numFmt w:val="bullet"/>
      <w:lvlText w:val=""/>
      <w:lvlJc w:val="left"/>
      <w:pPr>
        <w:ind w:left="5749" w:hanging="360"/>
      </w:pPr>
      <w:rPr>
        <w:rFonts w:ascii="Symbol" w:hAnsi="Symbol" w:hint="default"/>
      </w:rPr>
    </w:lvl>
    <w:lvl w:ilvl="7" w:tplc="04150003" w:tentative="1">
      <w:start w:val="1"/>
      <w:numFmt w:val="bullet"/>
      <w:lvlText w:val="o"/>
      <w:lvlJc w:val="left"/>
      <w:pPr>
        <w:ind w:left="6469" w:hanging="360"/>
      </w:pPr>
      <w:rPr>
        <w:rFonts w:ascii="Courier New" w:hAnsi="Courier New" w:cs="Courier New" w:hint="default"/>
      </w:rPr>
    </w:lvl>
    <w:lvl w:ilvl="8" w:tplc="04150005" w:tentative="1">
      <w:start w:val="1"/>
      <w:numFmt w:val="bullet"/>
      <w:lvlText w:val=""/>
      <w:lvlJc w:val="left"/>
      <w:pPr>
        <w:ind w:left="7189" w:hanging="360"/>
      </w:pPr>
      <w:rPr>
        <w:rFonts w:ascii="Wingdings" w:hAnsi="Wingdings" w:hint="default"/>
      </w:rPr>
    </w:lvl>
  </w:abstractNum>
  <w:abstractNum w:abstractNumId="29" w15:restartNumberingAfterBreak="0">
    <w:nsid w:val="5C09201A"/>
    <w:multiLevelType w:val="multilevel"/>
    <w:tmpl w:val="7C962D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15:restartNumberingAfterBreak="0">
    <w:nsid w:val="5CAA3DD4"/>
    <w:multiLevelType w:val="hybridMultilevel"/>
    <w:tmpl w:val="5464E46A"/>
    <w:lvl w:ilvl="0" w:tplc="04150001">
      <w:start w:val="1"/>
      <w:numFmt w:val="bullet"/>
      <w:lvlText w:val=""/>
      <w:lvlJc w:val="left"/>
      <w:pPr>
        <w:ind w:left="2139" w:hanging="360"/>
      </w:pPr>
      <w:rPr>
        <w:rFonts w:ascii="Symbol" w:hAnsi="Symbol" w:hint="default"/>
      </w:rPr>
    </w:lvl>
    <w:lvl w:ilvl="1" w:tplc="04150003" w:tentative="1">
      <w:start w:val="1"/>
      <w:numFmt w:val="bullet"/>
      <w:lvlText w:val="o"/>
      <w:lvlJc w:val="left"/>
      <w:pPr>
        <w:ind w:left="2859" w:hanging="360"/>
      </w:pPr>
      <w:rPr>
        <w:rFonts w:ascii="Courier New" w:hAnsi="Courier New" w:cs="Courier New" w:hint="default"/>
      </w:rPr>
    </w:lvl>
    <w:lvl w:ilvl="2" w:tplc="04150005" w:tentative="1">
      <w:start w:val="1"/>
      <w:numFmt w:val="bullet"/>
      <w:lvlText w:val=""/>
      <w:lvlJc w:val="left"/>
      <w:pPr>
        <w:ind w:left="3579" w:hanging="360"/>
      </w:pPr>
      <w:rPr>
        <w:rFonts w:ascii="Wingdings" w:hAnsi="Wingdings" w:hint="default"/>
      </w:rPr>
    </w:lvl>
    <w:lvl w:ilvl="3" w:tplc="04150001" w:tentative="1">
      <w:start w:val="1"/>
      <w:numFmt w:val="bullet"/>
      <w:lvlText w:val=""/>
      <w:lvlJc w:val="left"/>
      <w:pPr>
        <w:ind w:left="4299" w:hanging="360"/>
      </w:pPr>
      <w:rPr>
        <w:rFonts w:ascii="Symbol" w:hAnsi="Symbol" w:hint="default"/>
      </w:rPr>
    </w:lvl>
    <w:lvl w:ilvl="4" w:tplc="04150003" w:tentative="1">
      <w:start w:val="1"/>
      <w:numFmt w:val="bullet"/>
      <w:lvlText w:val="o"/>
      <w:lvlJc w:val="left"/>
      <w:pPr>
        <w:ind w:left="5019" w:hanging="360"/>
      </w:pPr>
      <w:rPr>
        <w:rFonts w:ascii="Courier New" w:hAnsi="Courier New" w:cs="Courier New" w:hint="default"/>
      </w:rPr>
    </w:lvl>
    <w:lvl w:ilvl="5" w:tplc="04150005" w:tentative="1">
      <w:start w:val="1"/>
      <w:numFmt w:val="bullet"/>
      <w:lvlText w:val=""/>
      <w:lvlJc w:val="left"/>
      <w:pPr>
        <w:ind w:left="5739" w:hanging="360"/>
      </w:pPr>
      <w:rPr>
        <w:rFonts w:ascii="Wingdings" w:hAnsi="Wingdings" w:hint="default"/>
      </w:rPr>
    </w:lvl>
    <w:lvl w:ilvl="6" w:tplc="04150001" w:tentative="1">
      <w:start w:val="1"/>
      <w:numFmt w:val="bullet"/>
      <w:lvlText w:val=""/>
      <w:lvlJc w:val="left"/>
      <w:pPr>
        <w:ind w:left="6459" w:hanging="360"/>
      </w:pPr>
      <w:rPr>
        <w:rFonts w:ascii="Symbol" w:hAnsi="Symbol" w:hint="default"/>
      </w:rPr>
    </w:lvl>
    <w:lvl w:ilvl="7" w:tplc="04150003" w:tentative="1">
      <w:start w:val="1"/>
      <w:numFmt w:val="bullet"/>
      <w:lvlText w:val="o"/>
      <w:lvlJc w:val="left"/>
      <w:pPr>
        <w:ind w:left="7179" w:hanging="360"/>
      </w:pPr>
      <w:rPr>
        <w:rFonts w:ascii="Courier New" w:hAnsi="Courier New" w:cs="Courier New" w:hint="default"/>
      </w:rPr>
    </w:lvl>
    <w:lvl w:ilvl="8" w:tplc="04150005" w:tentative="1">
      <w:start w:val="1"/>
      <w:numFmt w:val="bullet"/>
      <w:lvlText w:val=""/>
      <w:lvlJc w:val="left"/>
      <w:pPr>
        <w:ind w:left="7899" w:hanging="360"/>
      </w:pPr>
      <w:rPr>
        <w:rFonts w:ascii="Wingdings" w:hAnsi="Wingdings" w:hint="default"/>
      </w:rPr>
    </w:lvl>
  </w:abstractNum>
  <w:abstractNum w:abstractNumId="31" w15:restartNumberingAfterBreak="0">
    <w:nsid w:val="61A707D8"/>
    <w:multiLevelType w:val="hybridMultilevel"/>
    <w:tmpl w:val="268E91E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2" w15:restartNumberingAfterBreak="0">
    <w:nsid w:val="62372489"/>
    <w:multiLevelType w:val="hybridMultilevel"/>
    <w:tmpl w:val="8C92233A"/>
    <w:lvl w:ilvl="0" w:tplc="CB4A734C">
      <w:start w:val="1"/>
      <w:numFmt w:val="decimal"/>
      <w:lvlText w:val="%1."/>
      <w:lvlJc w:val="left"/>
      <w:pPr>
        <w:ind w:left="927" w:hanging="360"/>
      </w:pPr>
      <w:rPr>
        <w:rFonts w:hint="default"/>
      </w:rPr>
    </w:lvl>
    <w:lvl w:ilvl="1" w:tplc="04150019">
      <w:start w:val="1"/>
      <w:numFmt w:val="lowerLetter"/>
      <w:lvlText w:val="%2."/>
      <w:lvlJc w:val="left"/>
      <w:pPr>
        <w:ind w:left="1647" w:hanging="360"/>
      </w:pPr>
    </w:lvl>
    <w:lvl w:ilvl="2" w:tplc="0415001B">
      <w:start w:val="1"/>
      <w:numFmt w:val="lowerRoman"/>
      <w:lvlText w:val="%3."/>
      <w:lvlJc w:val="right"/>
      <w:pPr>
        <w:ind w:left="2367" w:hanging="180"/>
      </w:pPr>
    </w:lvl>
    <w:lvl w:ilvl="3" w:tplc="0415000F">
      <w:start w:val="1"/>
      <w:numFmt w:val="decimal"/>
      <w:lvlText w:val="%4."/>
      <w:lvlJc w:val="left"/>
      <w:pPr>
        <w:ind w:left="3087" w:hanging="360"/>
      </w:pPr>
    </w:lvl>
    <w:lvl w:ilvl="4" w:tplc="04150019">
      <w:start w:val="1"/>
      <w:numFmt w:val="lowerLetter"/>
      <w:lvlText w:val="%5."/>
      <w:lvlJc w:val="left"/>
      <w:pPr>
        <w:ind w:left="3807" w:hanging="360"/>
      </w:pPr>
    </w:lvl>
    <w:lvl w:ilvl="5" w:tplc="0415001B">
      <w:start w:val="1"/>
      <w:numFmt w:val="lowerRoman"/>
      <w:lvlText w:val="%6."/>
      <w:lvlJc w:val="right"/>
      <w:pPr>
        <w:ind w:left="4527" w:hanging="180"/>
      </w:pPr>
    </w:lvl>
    <w:lvl w:ilvl="6" w:tplc="0415000F">
      <w:start w:val="1"/>
      <w:numFmt w:val="decimal"/>
      <w:lvlText w:val="%7."/>
      <w:lvlJc w:val="left"/>
      <w:pPr>
        <w:ind w:left="5247" w:hanging="360"/>
      </w:pPr>
    </w:lvl>
    <w:lvl w:ilvl="7" w:tplc="04150019">
      <w:start w:val="1"/>
      <w:numFmt w:val="lowerLetter"/>
      <w:lvlText w:val="%8."/>
      <w:lvlJc w:val="left"/>
      <w:pPr>
        <w:ind w:left="5967" w:hanging="360"/>
      </w:pPr>
    </w:lvl>
    <w:lvl w:ilvl="8" w:tplc="0415001B">
      <w:start w:val="1"/>
      <w:numFmt w:val="lowerRoman"/>
      <w:lvlText w:val="%9."/>
      <w:lvlJc w:val="right"/>
      <w:pPr>
        <w:ind w:left="6687" w:hanging="180"/>
      </w:pPr>
    </w:lvl>
  </w:abstractNum>
  <w:abstractNum w:abstractNumId="33" w15:restartNumberingAfterBreak="0">
    <w:nsid w:val="67DC3EAE"/>
    <w:multiLevelType w:val="hybridMultilevel"/>
    <w:tmpl w:val="A0F8DE98"/>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4" w15:restartNumberingAfterBreak="0">
    <w:nsid w:val="68F435C2"/>
    <w:multiLevelType w:val="hybridMultilevel"/>
    <w:tmpl w:val="3F30728C"/>
    <w:lvl w:ilvl="0" w:tplc="31CCBAB8">
      <w:numFmt w:val="bullet"/>
      <w:lvlText w:val="•"/>
      <w:lvlJc w:val="left"/>
      <w:pPr>
        <w:ind w:left="1287" w:hanging="360"/>
      </w:pPr>
      <w:rPr>
        <w:rFonts w:ascii="Calibri" w:eastAsiaTheme="minorHAnsi" w:hAnsi="Calibri" w:cstheme="minorBidi" w:hint="default"/>
      </w:rPr>
    </w:lvl>
    <w:lvl w:ilvl="1" w:tplc="04150003" w:tentative="1">
      <w:start w:val="1"/>
      <w:numFmt w:val="bullet"/>
      <w:lvlText w:val="o"/>
      <w:lvlJc w:val="left"/>
      <w:pPr>
        <w:ind w:left="2007" w:hanging="360"/>
      </w:pPr>
      <w:rPr>
        <w:rFonts w:ascii="Courier New" w:hAnsi="Courier New" w:cs="Courier New" w:hint="default"/>
      </w:rPr>
    </w:lvl>
    <w:lvl w:ilvl="2" w:tplc="04150005" w:tentative="1">
      <w:start w:val="1"/>
      <w:numFmt w:val="bullet"/>
      <w:lvlText w:val=""/>
      <w:lvlJc w:val="left"/>
      <w:pPr>
        <w:ind w:left="2727" w:hanging="360"/>
      </w:pPr>
      <w:rPr>
        <w:rFonts w:ascii="Wingdings" w:hAnsi="Wingdings" w:hint="default"/>
      </w:rPr>
    </w:lvl>
    <w:lvl w:ilvl="3" w:tplc="04150001" w:tentative="1">
      <w:start w:val="1"/>
      <w:numFmt w:val="bullet"/>
      <w:lvlText w:val=""/>
      <w:lvlJc w:val="left"/>
      <w:pPr>
        <w:ind w:left="3447" w:hanging="360"/>
      </w:pPr>
      <w:rPr>
        <w:rFonts w:ascii="Symbol" w:hAnsi="Symbol" w:hint="default"/>
      </w:rPr>
    </w:lvl>
    <w:lvl w:ilvl="4" w:tplc="04150003" w:tentative="1">
      <w:start w:val="1"/>
      <w:numFmt w:val="bullet"/>
      <w:lvlText w:val="o"/>
      <w:lvlJc w:val="left"/>
      <w:pPr>
        <w:ind w:left="4167" w:hanging="360"/>
      </w:pPr>
      <w:rPr>
        <w:rFonts w:ascii="Courier New" w:hAnsi="Courier New" w:cs="Courier New" w:hint="default"/>
      </w:rPr>
    </w:lvl>
    <w:lvl w:ilvl="5" w:tplc="04150005" w:tentative="1">
      <w:start w:val="1"/>
      <w:numFmt w:val="bullet"/>
      <w:lvlText w:val=""/>
      <w:lvlJc w:val="left"/>
      <w:pPr>
        <w:ind w:left="4887" w:hanging="360"/>
      </w:pPr>
      <w:rPr>
        <w:rFonts w:ascii="Wingdings" w:hAnsi="Wingdings" w:hint="default"/>
      </w:rPr>
    </w:lvl>
    <w:lvl w:ilvl="6" w:tplc="04150001" w:tentative="1">
      <w:start w:val="1"/>
      <w:numFmt w:val="bullet"/>
      <w:lvlText w:val=""/>
      <w:lvlJc w:val="left"/>
      <w:pPr>
        <w:ind w:left="5607" w:hanging="360"/>
      </w:pPr>
      <w:rPr>
        <w:rFonts w:ascii="Symbol" w:hAnsi="Symbol" w:hint="default"/>
      </w:rPr>
    </w:lvl>
    <w:lvl w:ilvl="7" w:tplc="04150003" w:tentative="1">
      <w:start w:val="1"/>
      <w:numFmt w:val="bullet"/>
      <w:lvlText w:val="o"/>
      <w:lvlJc w:val="left"/>
      <w:pPr>
        <w:ind w:left="6327" w:hanging="360"/>
      </w:pPr>
      <w:rPr>
        <w:rFonts w:ascii="Courier New" w:hAnsi="Courier New" w:cs="Courier New" w:hint="default"/>
      </w:rPr>
    </w:lvl>
    <w:lvl w:ilvl="8" w:tplc="04150005" w:tentative="1">
      <w:start w:val="1"/>
      <w:numFmt w:val="bullet"/>
      <w:lvlText w:val=""/>
      <w:lvlJc w:val="left"/>
      <w:pPr>
        <w:ind w:left="7047" w:hanging="360"/>
      </w:pPr>
      <w:rPr>
        <w:rFonts w:ascii="Wingdings" w:hAnsi="Wingdings" w:hint="default"/>
      </w:rPr>
    </w:lvl>
  </w:abstractNum>
  <w:abstractNum w:abstractNumId="35" w15:restartNumberingAfterBreak="0">
    <w:nsid w:val="6C1D6B91"/>
    <w:multiLevelType w:val="hybridMultilevel"/>
    <w:tmpl w:val="E80A6F6E"/>
    <w:lvl w:ilvl="0" w:tplc="31CCBAB8">
      <w:numFmt w:val="bullet"/>
      <w:lvlText w:val="•"/>
      <w:lvlJc w:val="left"/>
      <w:pPr>
        <w:ind w:left="1287" w:hanging="360"/>
      </w:pPr>
      <w:rPr>
        <w:rFonts w:ascii="Calibri" w:eastAsiaTheme="minorHAnsi" w:hAnsi="Calibri" w:cstheme="minorBidi" w:hint="default"/>
      </w:rPr>
    </w:lvl>
    <w:lvl w:ilvl="1" w:tplc="04150003" w:tentative="1">
      <w:start w:val="1"/>
      <w:numFmt w:val="bullet"/>
      <w:lvlText w:val="o"/>
      <w:lvlJc w:val="left"/>
      <w:pPr>
        <w:ind w:left="2007" w:hanging="360"/>
      </w:pPr>
      <w:rPr>
        <w:rFonts w:ascii="Courier New" w:hAnsi="Courier New" w:cs="Courier New" w:hint="default"/>
      </w:rPr>
    </w:lvl>
    <w:lvl w:ilvl="2" w:tplc="04150005" w:tentative="1">
      <w:start w:val="1"/>
      <w:numFmt w:val="bullet"/>
      <w:lvlText w:val=""/>
      <w:lvlJc w:val="left"/>
      <w:pPr>
        <w:ind w:left="2727" w:hanging="360"/>
      </w:pPr>
      <w:rPr>
        <w:rFonts w:ascii="Wingdings" w:hAnsi="Wingdings" w:hint="default"/>
      </w:rPr>
    </w:lvl>
    <w:lvl w:ilvl="3" w:tplc="04150001" w:tentative="1">
      <w:start w:val="1"/>
      <w:numFmt w:val="bullet"/>
      <w:lvlText w:val=""/>
      <w:lvlJc w:val="left"/>
      <w:pPr>
        <w:ind w:left="3447" w:hanging="360"/>
      </w:pPr>
      <w:rPr>
        <w:rFonts w:ascii="Symbol" w:hAnsi="Symbol" w:hint="default"/>
      </w:rPr>
    </w:lvl>
    <w:lvl w:ilvl="4" w:tplc="04150003" w:tentative="1">
      <w:start w:val="1"/>
      <w:numFmt w:val="bullet"/>
      <w:lvlText w:val="o"/>
      <w:lvlJc w:val="left"/>
      <w:pPr>
        <w:ind w:left="4167" w:hanging="360"/>
      </w:pPr>
      <w:rPr>
        <w:rFonts w:ascii="Courier New" w:hAnsi="Courier New" w:cs="Courier New" w:hint="default"/>
      </w:rPr>
    </w:lvl>
    <w:lvl w:ilvl="5" w:tplc="04150005" w:tentative="1">
      <w:start w:val="1"/>
      <w:numFmt w:val="bullet"/>
      <w:lvlText w:val=""/>
      <w:lvlJc w:val="left"/>
      <w:pPr>
        <w:ind w:left="4887" w:hanging="360"/>
      </w:pPr>
      <w:rPr>
        <w:rFonts w:ascii="Wingdings" w:hAnsi="Wingdings" w:hint="default"/>
      </w:rPr>
    </w:lvl>
    <w:lvl w:ilvl="6" w:tplc="04150001" w:tentative="1">
      <w:start w:val="1"/>
      <w:numFmt w:val="bullet"/>
      <w:lvlText w:val=""/>
      <w:lvlJc w:val="left"/>
      <w:pPr>
        <w:ind w:left="5607" w:hanging="360"/>
      </w:pPr>
      <w:rPr>
        <w:rFonts w:ascii="Symbol" w:hAnsi="Symbol" w:hint="default"/>
      </w:rPr>
    </w:lvl>
    <w:lvl w:ilvl="7" w:tplc="04150003" w:tentative="1">
      <w:start w:val="1"/>
      <w:numFmt w:val="bullet"/>
      <w:lvlText w:val="o"/>
      <w:lvlJc w:val="left"/>
      <w:pPr>
        <w:ind w:left="6327" w:hanging="360"/>
      </w:pPr>
      <w:rPr>
        <w:rFonts w:ascii="Courier New" w:hAnsi="Courier New" w:cs="Courier New" w:hint="default"/>
      </w:rPr>
    </w:lvl>
    <w:lvl w:ilvl="8" w:tplc="04150005" w:tentative="1">
      <w:start w:val="1"/>
      <w:numFmt w:val="bullet"/>
      <w:lvlText w:val=""/>
      <w:lvlJc w:val="left"/>
      <w:pPr>
        <w:ind w:left="7047" w:hanging="360"/>
      </w:pPr>
      <w:rPr>
        <w:rFonts w:ascii="Wingdings" w:hAnsi="Wingdings" w:hint="default"/>
      </w:rPr>
    </w:lvl>
  </w:abstractNum>
  <w:abstractNum w:abstractNumId="36" w15:restartNumberingAfterBreak="0">
    <w:nsid w:val="6D275204"/>
    <w:multiLevelType w:val="hybridMultilevel"/>
    <w:tmpl w:val="567670F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7" w15:restartNumberingAfterBreak="0">
    <w:nsid w:val="732941CD"/>
    <w:multiLevelType w:val="hybridMultilevel"/>
    <w:tmpl w:val="B1A6D912"/>
    <w:lvl w:ilvl="0" w:tplc="31CCBAB8">
      <w:numFmt w:val="bullet"/>
      <w:lvlText w:val="•"/>
      <w:lvlJc w:val="left"/>
      <w:pPr>
        <w:ind w:left="720" w:hanging="360"/>
      </w:pPr>
      <w:rPr>
        <w:rFonts w:ascii="Calibri" w:eastAsiaTheme="minorHAnsi" w:hAnsi="Calibri" w:cstheme="minorBidi" w:hint="default"/>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8" w15:restartNumberingAfterBreak="0">
    <w:nsid w:val="745B278E"/>
    <w:multiLevelType w:val="hybridMultilevel"/>
    <w:tmpl w:val="63B4858A"/>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39" w15:restartNumberingAfterBreak="0">
    <w:nsid w:val="78AD61E7"/>
    <w:multiLevelType w:val="hybridMultilevel"/>
    <w:tmpl w:val="2EB65FBE"/>
    <w:lvl w:ilvl="0" w:tplc="04150001">
      <w:start w:val="1"/>
      <w:numFmt w:val="bullet"/>
      <w:lvlText w:val=""/>
      <w:lvlJc w:val="left"/>
      <w:pPr>
        <w:ind w:left="1287" w:hanging="360"/>
      </w:pPr>
      <w:rPr>
        <w:rFonts w:ascii="Symbol" w:hAnsi="Symbol" w:hint="default"/>
      </w:rPr>
    </w:lvl>
    <w:lvl w:ilvl="1" w:tplc="04150003" w:tentative="1">
      <w:start w:val="1"/>
      <w:numFmt w:val="bullet"/>
      <w:lvlText w:val="o"/>
      <w:lvlJc w:val="left"/>
      <w:pPr>
        <w:ind w:left="2007" w:hanging="360"/>
      </w:pPr>
      <w:rPr>
        <w:rFonts w:ascii="Courier New" w:hAnsi="Courier New" w:cs="Courier New" w:hint="default"/>
      </w:rPr>
    </w:lvl>
    <w:lvl w:ilvl="2" w:tplc="04150005" w:tentative="1">
      <w:start w:val="1"/>
      <w:numFmt w:val="bullet"/>
      <w:lvlText w:val=""/>
      <w:lvlJc w:val="left"/>
      <w:pPr>
        <w:ind w:left="2727" w:hanging="360"/>
      </w:pPr>
      <w:rPr>
        <w:rFonts w:ascii="Wingdings" w:hAnsi="Wingdings" w:hint="default"/>
      </w:rPr>
    </w:lvl>
    <w:lvl w:ilvl="3" w:tplc="04150001" w:tentative="1">
      <w:start w:val="1"/>
      <w:numFmt w:val="bullet"/>
      <w:lvlText w:val=""/>
      <w:lvlJc w:val="left"/>
      <w:pPr>
        <w:ind w:left="3447" w:hanging="360"/>
      </w:pPr>
      <w:rPr>
        <w:rFonts w:ascii="Symbol" w:hAnsi="Symbol" w:hint="default"/>
      </w:rPr>
    </w:lvl>
    <w:lvl w:ilvl="4" w:tplc="04150003" w:tentative="1">
      <w:start w:val="1"/>
      <w:numFmt w:val="bullet"/>
      <w:lvlText w:val="o"/>
      <w:lvlJc w:val="left"/>
      <w:pPr>
        <w:ind w:left="4167" w:hanging="360"/>
      </w:pPr>
      <w:rPr>
        <w:rFonts w:ascii="Courier New" w:hAnsi="Courier New" w:cs="Courier New" w:hint="default"/>
      </w:rPr>
    </w:lvl>
    <w:lvl w:ilvl="5" w:tplc="04150005" w:tentative="1">
      <w:start w:val="1"/>
      <w:numFmt w:val="bullet"/>
      <w:lvlText w:val=""/>
      <w:lvlJc w:val="left"/>
      <w:pPr>
        <w:ind w:left="4887" w:hanging="360"/>
      </w:pPr>
      <w:rPr>
        <w:rFonts w:ascii="Wingdings" w:hAnsi="Wingdings" w:hint="default"/>
      </w:rPr>
    </w:lvl>
    <w:lvl w:ilvl="6" w:tplc="04150001" w:tentative="1">
      <w:start w:val="1"/>
      <w:numFmt w:val="bullet"/>
      <w:lvlText w:val=""/>
      <w:lvlJc w:val="left"/>
      <w:pPr>
        <w:ind w:left="5607" w:hanging="360"/>
      </w:pPr>
      <w:rPr>
        <w:rFonts w:ascii="Symbol" w:hAnsi="Symbol" w:hint="default"/>
      </w:rPr>
    </w:lvl>
    <w:lvl w:ilvl="7" w:tplc="04150003" w:tentative="1">
      <w:start w:val="1"/>
      <w:numFmt w:val="bullet"/>
      <w:lvlText w:val="o"/>
      <w:lvlJc w:val="left"/>
      <w:pPr>
        <w:ind w:left="6327" w:hanging="360"/>
      </w:pPr>
      <w:rPr>
        <w:rFonts w:ascii="Courier New" w:hAnsi="Courier New" w:cs="Courier New" w:hint="default"/>
      </w:rPr>
    </w:lvl>
    <w:lvl w:ilvl="8" w:tplc="04150005" w:tentative="1">
      <w:start w:val="1"/>
      <w:numFmt w:val="bullet"/>
      <w:lvlText w:val=""/>
      <w:lvlJc w:val="left"/>
      <w:pPr>
        <w:ind w:left="7047" w:hanging="360"/>
      </w:pPr>
      <w:rPr>
        <w:rFonts w:ascii="Wingdings" w:hAnsi="Wingdings" w:hint="default"/>
      </w:rPr>
    </w:lvl>
  </w:abstractNum>
  <w:abstractNum w:abstractNumId="40" w15:restartNumberingAfterBreak="0">
    <w:nsid w:val="79950FF0"/>
    <w:multiLevelType w:val="multilevel"/>
    <w:tmpl w:val="9CD8A806"/>
    <w:lvl w:ilvl="0">
      <w:start w:val="1"/>
      <w:numFmt w:val="decimal"/>
      <w:pStyle w:val="Nagwek1"/>
      <w:lvlText w:val="%1."/>
      <w:lvlJc w:val="left"/>
      <w:pPr>
        <w:ind w:left="720" w:hanging="360"/>
      </w:pPr>
    </w:lvl>
    <w:lvl w:ilvl="1">
      <w:start w:val="2"/>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41" w15:restartNumberingAfterBreak="0">
    <w:nsid w:val="7C8C652A"/>
    <w:multiLevelType w:val="hybridMultilevel"/>
    <w:tmpl w:val="842CFEAC"/>
    <w:lvl w:ilvl="0" w:tplc="04150001">
      <w:start w:val="1"/>
      <w:numFmt w:val="bullet"/>
      <w:lvlText w:val=""/>
      <w:lvlJc w:val="left"/>
      <w:pPr>
        <w:ind w:left="1287" w:hanging="360"/>
      </w:pPr>
      <w:rPr>
        <w:rFonts w:ascii="Symbol" w:hAnsi="Symbol" w:hint="default"/>
      </w:rPr>
    </w:lvl>
    <w:lvl w:ilvl="1" w:tplc="04150003" w:tentative="1">
      <w:start w:val="1"/>
      <w:numFmt w:val="bullet"/>
      <w:lvlText w:val="o"/>
      <w:lvlJc w:val="left"/>
      <w:pPr>
        <w:ind w:left="2007" w:hanging="360"/>
      </w:pPr>
      <w:rPr>
        <w:rFonts w:ascii="Courier New" w:hAnsi="Courier New" w:cs="Courier New" w:hint="default"/>
      </w:rPr>
    </w:lvl>
    <w:lvl w:ilvl="2" w:tplc="04150005" w:tentative="1">
      <w:start w:val="1"/>
      <w:numFmt w:val="bullet"/>
      <w:lvlText w:val=""/>
      <w:lvlJc w:val="left"/>
      <w:pPr>
        <w:ind w:left="2727" w:hanging="360"/>
      </w:pPr>
      <w:rPr>
        <w:rFonts w:ascii="Wingdings" w:hAnsi="Wingdings" w:hint="default"/>
      </w:rPr>
    </w:lvl>
    <w:lvl w:ilvl="3" w:tplc="04150001" w:tentative="1">
      <w:start w:val="1"/>
      <w:numFmt w:val="bullet"/>
      <w:lvlText w:val=""/>
      <w:lvlJc w:val="left"/>
      <w:pPr>
        <w:ind w:left="3447" w:hanging="360"/>
      </w:pPr>
      <w:rPr>
        <w:rFonts w:ascii="Symbol" w:hAnsi="Symbol" w:hint="default"/>
      </w:rPr>
    </w:lvl>
    <w:lvl w:ilvl="4" w:tplc="04150003" w:tentative="1">
      <w:start w:val="1"/>
      <w:numFmt w:val="bullet"/>
      <w:lvlText w:val="o"/>
      <w:lvlJc w:val="left"/>
      <w:pPr>
        <w:ind w:left="4167" w:hanging="360"/>
      </w:pPr>
      <w:rPr>
        <w:rFonts w:ascii="Courier New" w:hAnsi="Courier New" w:cs="Courier New" w:hint="default"/>
      </w:rPr>
    </w:lvl>
    <w:lvl w:ilvl="5" w:tplc="04150005" w:tentative="1">
      <w:start w:val="1"/>
      <w:numFmt w:val="bullet"/>
      <w:lvlText w:val=""/>
      <w:lvlJc w:val="left"/>
      <w:pPr>
        <w:ind w:left="4887" w:hanging="360"/>
      </w:pPr>
      <w:rPr>
        <w:rFonts w:ascii="Wingdings" w:hAnsi="Wingdings" w:hint="default"/>
      </w:rPr>
    </w:lvl>
    <w:lvl w:ilvl="6" w:tplc="04150001" w:tentative="1">
      <w:start w:val="1"/>
      <w:numFmt w:val="bullet"/>
      <w:lvlText w:val=""/>
      <w:lvlJc w:val="left"/>
      <w:pPr>
        <w:ind w:left="5607" w:hanging="360"/>
      </w:pPr>
      <w:rPr>
        <w:rFonts w:ascii="Symbol" w:hAnsi="Symbol" w:hint="default"/>
      </w:rPr>
    </w:lvl>
    <w:lvl w:ilvl="7" w:tplc="04150003" w:tentative="1">
      <w:start w:val="1"/>
      <w:numFmt w:val="bullet"/>
      <w:lvlText w:val="o"/>
      <w:lvlJc w:val="left"/>
      <w:pPr>
        <w:ind w:left="6327" w:hanging="360"/>
      </w:pPr>
      <w:rPr>
        <w:rFonts w:ascii="Courier New" w:hAnsi="Courier New" w:cs="Courier New" w:hint="default"/>
      </w:rPr>
    </w:lvl>
    <w:lvl w:ilvl="8" w:tplc="04150005" w:tentative="1">
      <w:start w:val="1"/>
      <w:numFmt w:val="bullet"/>
      <w:lvlText w:val=""/>
      <w:lvlJc w:val="left"/>
      <w:pPr>
        <w:ind w:left="7047" w:hanging="360"/>
      </w:pPr>
      <w:rPr>
        <w:rFonts w:ascii="Wingdings" w:hAnsi="Wingdings" w:hint="default"/>
      </w:rPr>
    </w:lvl>
  </w:abstractNum>
  <w:abstractNum w:abstractNumId="42" w15:restartNumberingAfterBreak="0">
    <w:nsid w:val="7E8F1338"/>
    <w:multiLevelType w:val="multilevel"/>
    <w:tmpl w:val="E69C84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19"/>
  </w:num>
  <w:num w:numId="2">
    <w:abstractNumId w:val="11"/>
  </w:num>
  <w:num w:numId="3">
    <w:abstractNumId w:val="9"/>
  </w:num>
  <w:num w:numId="4">
    <w:abstractNumId w:val="31"/>
  </w:num>
  <w:num w:numId="5">
    <w:abstractNumId w:val="24"/>
  </w:num>
  <w:num w:numId="6">
    <w:abstractNumId w:val="21"/>
  </w:num>
  <w:num w:numId="7">
    <w:abstractNumId w:val="36"/>
  </w:num>
  <w:num w:numId="8">
    <w:abstractNumId w:val="25"/>
  </w:num>
  <w:num w:numId="9">
    <w:abstractNumId w:val="8"/>
  </w:num>
  <w:num w:numId="10">
    <w:abstractNumId w:val="6"/>
  </w:num>
  <w:num w:numId="11">
    <w:abstractNumId w:val="33"/>
  </w:num>
  <w:num w:numId="12">
    <w:abstractNumId w:val="22"/>
  </w:num>
  <w:num w:numId="13">
    <w:abstractNumId w:val="37"/>
  </w:num>
  <w:num w:numId="14">
    <w:abstractNumId w:val="10"/>
  </w:num>
  <w:num w:numId="15">
    <w:abstractNumId w:val="1"/>
  </w:num>
  <w:num w:numId="16">
    <w:abstractNumId w:val="38"/>
  </w:num>
  <w:num w:numId="17">
    <w:abstractNumId w:val="2"/>
  </w:num>
  <w:num w:numId="18">
    <w:abstractNumId w:val="4"/>
  </w:num>
  <w:num w:numId="19">
    <w:abstractNumId w:val="26"/>
  </w:num>
  <w:num w:numId="20">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32"/>
  </w:num>
  <w:num w:numId="22">
    <w:abstractNumId w:val="5"/>
  </w:num>
  <w:num w:numId="23">
    <w:abstractNumId w:val="28"/>
  </w:num>
  <w:num w:numId="24">
    <w:abstractNumId w:val="15"/>
  </w:num>
  <w:num w:numId="25">
    <w:abstractNumId w:val="35"/>
  </w:num>
  <w:num w:numId="26">
    <w:abstractNumId w:val="29"/>
  </w:num>
  <w:num w:numId="27">
    <w:abstractNumId w:val="20"/>
  </w:num>
  <w:num w:numId="28">
    <w:abstractNumId w:val="42"/>
  </w:num>
  <w:num w:numId="29">
    <w:abstractNumId w:val="13"/>
  </w:num>
  <w:num w:numId="30">
    <w:abstractNumId w:val="41"/>
  </w:num>
  <w:num w:numId="31">
    <w:abstractNumId w:val="14"/>
  </w:num>
  <w:num w:numId="32">
    <w:abstractNumId w:val="7"/>
  </w:num>
  <w:num w:numId="33">
    <w:abstractNumId w:val="39"/>
  </w:num>
  <w:num w:numId="34">
    <w:abstractNumId w:val="34"/>
  </w:num>
  <w:num w:numId="35">
    <w:abstractNumId w:val="16"/>
  </w:num>
  <w:num w:numId="36">
    <w:abstractNumId w:val="40"/>
  </w:num>
  <w:num w:numId="37">
    <w:abstractNumId w:val="17"/>
  </w:num>
  <w:num w:numId="38">
    <w:abstractNumId w:val="12"/>
  </w:num>
  <w:num w:numId="39">
    <w:abstractNumId w:val="3"/>
  </w:num>
  <w:num w:numId="40">
    <w:abstractNumId w:val="23"/>
  </w:num>
  <w:num w:numId="41">
    <w:abstractNumId w:val="30"/>
  </w:num>
  <w:num w:numId="42">
    <w:abstractNumId w:val="18"/>
  </w:num>
  <w:numIdMacAtCleanup w:val="4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60"/>
  <w:displayBackgroundShape/>
  <w:embedTrueTypeFonts/>
  <w:defaultTabStop w:val="709"/>
  <w:hyphenationZone w:val="425"/>
  <w:characterSpacingControl w:val="doNotCompress"/>
  <w:hdrShapeDefaults>
    <o:shapedefaults v:ext="edit" spidmax="2049" style="mso-position-horizontal-relative:margin;mso-position-vertical-relative:margin;mso-width-percent:950;mso-height-percent:950" fillcolor="white">
      <v:fill color="white"/>
    </o:shapedefaults>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__Grammarly_42____i" w:val="H4sIAAAAAAAEAKtWckksSQxILCpxzi/NK1GyMqwFAAEhoTITAAAA"/>
    <w:docVar w:name="__Grammarly_42___1" w:val="H4sIAAAAAAAEAKtWcslP9kxRslIyNDYyMzWyNDC0sLA0MDIxMzdX0lEKTi0uzszPAykwMq4FAPKKTbktAAAA"/>
  </w:docVars>
  <w:rsids>
    <w:rsidRoot w:val="00771E06"/>
    <w:rsid w:val="0000004D"/>
    <w:rsid w:val="0000009A"/>
    <w:rsid w:val="00000590"/>
    <w:rsid w:val="00001218"/>
    <w:rsid w:val="000013A3"/>
    <w:rsid w:val="00001CA4"/>
    <w:rsid w:val="00001DE8"/>
    <w:rsid w:val="000020A2"/>
    <w:rsid w:val="00002459"/>
    <w:rsid w:val="00003557"/>
    <w:rsid w:val="000036E0"/>
    <w:rsid w:val="00003788"/>
    <w:rsid w:val="000040E2"/>
    <w:rsid w:val="0000412D"/>
    <w:rsid w:val="000044B4"/>
    <w:rsid w:val="000047BF"/>
    <w:rsid w:val="00004AC4"/>
    <w:rsid w:val="00004C32"/>
    <w:rsid w:val="00004C35"/>
    <w:rsid w:val="00004F31"/>
    <w:rsid w:val="00005033"/>
    <w:rsid w:val="000054E7"/>
    <w:rsid w:val="00005DB4"/>
    <w:rsid w:val="00005F30"/>
    <w:rsid w:val="00006A0E"/>
    <w:rsid w:val="00006AAE"/>
    <w:rsid w:val="00006BBA"/>
    <w:rsid w:val="00006E21"/>
    <w:rsid w:val="00006E72"/>
    <w:rsid w:val="00007066"/>
    <w:rsid w:val="000074D8"/>
    <w:rsid w:val="0000766D"/>
    <w:rsid w:val="00007A3A"/>
    <w:rsid w:val="00007C42"/>
    <w:rsid w:val="00007D6A"/>
    <w:rsid w:val="00007FCF"/>
    <w:rsid w:val="00010171"/>
    <w:rsid w:val="0001044A"/>
    <w:rsid w:val="00010DEA"/>
    <w:rsid w:val="0001102C"/>
    <w:rsid w:val="0001188C"/>
    <w:rsid w:val="00011BA5"/>
    <w:rsid w:val="00011E4D"/>
    <w:rsid w:val="00011EB1"/>
    <w:rsid w:val="0001245C"/>
    <w:rsid w:val="00012920"/>
    <w:rsid w:val="00012A76"/>
    <w:rsid w:val="00012BCE"/>
    <w:rsid w:val="00012D2A"/>
    <w:rsid w:val="00012E9B"/>
    <w:rsid w:val="0001315F"/>
    <w:rsid w:val="000133DC"/>
    <w:rsid w:val="0001346A"/>
    <w:rsid w:val="00013F50"/>
    <w:rsid w:val="000141C3"/>
    <w:rsid w:val="000145C7"/>
    <w:rsid w:val="00014CF3"/>
    <w:rsid w:val="00014D96"/>
    <w:rsid w:val="00014EB9"/>
    <w:rsid w:val="00014F66"/>
    <w:rsid w:val="00015011"/>
    <w:rsid w:val="0001514A"/>
    <w:rsid w:val="000151EC"/>
    <w:rsid w:val="00015A9C"/>
    <w:rsid w:val="00015D15"/>
    <w:rsid w:val="00015F1F"/>
    <w:rsid w:val="00015FE7"/>
    <w:rsid w:val="00016725"/>
    <w:rsid w:val="000168AE"/>
    <w:rsid w:val="00016B7E"/>
    <w:rsid w:val="00016C41"/>
    <w:rsid w:val="0001736C"/>
    <w:rsid w:val="0001747D"/>
    <w:rsid w:val="000178DA"/>
    <w:rsid w:val="00017DE7"/>
    <w:rsid w:val="00020130"/>
    <w:rsid w:val="000204B0"/>
    <w:rsid w:val="00020818"/>
    <w:rsid w:val="00020D6F"/>
    <w:rsid w:val="0002100A"/>
    <w:rsid w:val="000212B9"/>
    <w:rsid w:val="00021326"/>
    <w:rsid w:val="000214A3"/>
    <w:rsid w:val="00021506"/>
    <w:rsid w:val="000217D6"/>
    <w:rsid w:val="00021CD9"/>
    <w:rsid w:val="00021D02"/>
    <w:rsid w:val="00021D85"/>
    <w:rsid w:val="00021FCE"/>
    <w:rsid w:val="00021FFF"/>
    <w:rsid w:val="000220A9"/>
    <w:rsid w:val="00022263"/>
    <w:rsid w:val="00022387"/>
    <w:rsid w:val="0002256E"/>
    <w:rsid w:val="00022653"/>
    <w:rsid w:val="00023160"/>
    <w:rsid w:val="00023162"/>
    <w:rsid w:val="000239A8"/>
    <w:rsid w:val="00023AF9"/>
    <w:rsid w:val="00023D66"/>
    <w:rsid w:val="00023E85"/>
    <w:rsid w:val="0002415B"/>
    <w:rsid w:val="0002437C"/>
    <w:rsid w:val="00024463"/>
    <w:rsid w:val="000244BC"/>
    <w:rsid w:val="000244F6"/>
    <w:rsid w:val="00024A4B"/>
    <w:rsid w:val="000250AB"/>
    <w:rsid w:val="000250EA"/>
    <w:rsid w:val="000258AE"/>
    <w:rsid w:val="00025ABA"/>
    <w:rsid w:val="00025CBC"/>
    <w:rsid w:val="000260DE"/>
    <w:rsid w:val="0002633A"/>
    <w:rsid w:val="00026593"/>
    <w:rsid w:val="000265CD"/>
    <w:rsid w:val="00026793"/>
    <w:rsid w:val="00026826"/>
    <w:rsid w:val="00026FBB"/>
    <w:rsid w:val="00027010"/>
    <w:rsid w:val="00027681"/>
    <w:rsid w:val="0002786B"/>
    <w:rsid w:val="00027A19"/>
    <w:rsid w:val="0003035B"/>
    <w:rsid w:val="0003061A"/>
    <w:rsid w:val="00030786"/>
    <w:rsid w:val="00030820"/>
    <w:rsid w:val="000313D4"/>
    <w:rsid w:val="00031463"/>
    <w:rsid w:val="000314B8"/>
    <w:rsid w:val="0003182F"/>
    <w:rsid w:val="0003191F"/>
    <w:rsid w:val="0003194F"/>
    <w:rsid w:val="00031B17"/>
    <w:rsid w:val="00031BD4"/>
    <w:rsid w:val="00031CB7"/>
    <w:rsid w:val="0003204C"/>
    <w:rsid w:val="00032107"/>
    <w:rsid w:val="0003226E"/>
    <w:rsid w:val="00032C25"/>
    <w:rsid w:val="00032E1D"/>
    <w:rsid w:val="00032E90"/>
    <w:rsid w:val="00032FE3"/>
    <w:rsid w:val="0003302D"/>
    <w:rsid w:val="00033065"/>
    <w:rsid w:val="0003330F"/>
    <w:rsid w:val="0003334E"/>
    <w:rsid w:val="0003359E"/>
    <w:rsid w:val="000335A1"/>
    <w:rsid w:val="00034204"/>
    <w:rsid w:val="00034357"/>
    <w:rsid w:val="000344D5"/>
    <w:rsid w:val="000346E5"/>
    <w:rsid w:val="000347A5"/>
    <w:rsid w:val="00034A49"/>
    <w:rsid w:val="00035164"/>
    <w:rsid w:val="0003561C"/>
    <w:rsid w:val="00035675"/>
    <w:rsid w:val="00035B71"/>
    <w:rsid w:val="00035BC3"/>
    <w:rsid w:val="00035BC4"/>
    <w:rsid w:val="00035E27"/>
    <w:rsid w:val="00036080"/>
    <w:rsid w:val="000361CB"/>
    <w:rsid w:val="00036493"/>
    <w:rsid w:val="00036993"/>
    <w:rsid w:val="00036D05"/>
    <w:rsid w:val="00036FAE"/>
    <w:rsid w:val="0003721C"/>
    <w:rsid w:val="00037864"/>
    <w:rsid w:val="00037B35"/>
    <w:rsid w:val="00037C0F"/>
    <w:rsid w:val="00037C57"/>
    <w:rsid w:val="000401AE"/>
    <w:rsid w:val="000401B6"/>
    <w:rsid w:val="00040400"/>
    <w:rsid w:val="00040493"/>
    <w:rsid w:val="000404B5"/>
    <w:rsid w:val="0004053C"/>
    <w:rsid w:val="00040FBD"/>
    <w:rsid w:val="000414C8"/>
    <w:rsid w:val="00041543"/>
    <w:rsid w:val="00041952"/>
    <w:rsid w:val="00041B2D"/>
    <w:rsid w:val="00041C22"/>
    <w:rsid w:val="000422F2"/>
    <w:rsid w:val="000424FE"/>
    <w:rsid w:val="000428C7"/>
    <w:rsid w:val="0004294E"/>
    <w:rsid w:val="00042966"/>
    <w:rsid w:val="000429AC"/>
    <w:rsid w:val="00042ABA"/>
    <w:rsid w:val="00042CA0"/>
    <w:rsid w:val="0004316B"/>
    <w:rsid w:val="000431F9"/>
    <w:rsid w:val="00043363"/>
    <w:rsid w:val="000433C7"/>
    <w:rsid w:val="00043682"/>
    <w:rsid w:val="000438B5"/>
    <w:rsid w:val="00043CBF"/>
    <w:rsid w:val="00043FD9"/>
    <w:rsid w:val="000443F6"/>
    <w:rsid w:val="000444EE"/>
    <w:rsid w:val="00044739"/>
    <w:rsid w:val="00044C71"/>
    <w:rsid w:val="0004500D"/>
    <w:rsid w:val="00045074"/>
    <w:rsid w:val="0004514C"/>
    <w:rsid w:val="000451DC"/>
    <w:rsid w:val="0004539F"/>
    <w:rsid w:val="0004556C"/>
    <w:rsid w:val="00045F1E"/>
    <w:rsid w:val="0004602E"/>
    <w:rsid w:val="000461A2"/>
    <w:rsid w:val="000461FD"/>
    <w:rsid w:val="00046833"/>
    <w:rsid w:val="00046905"/>
    <w:rsid w:val="00046B26"/>
    <w:rsid w:val="00046E0C"/>
    <w:rsid w:val="00047305"/>
    <w:rsid w:val="00047624"/>
    <w:rsid w:val="00047846"/>
    <w:rsid w:val="000479AD"/>
    <w:rsid w:val="00047A36"/>
    <w:rsid w:val="00047BE8"/>
    <w:rsid w:val="00050885"/>
    <w:rsid w:val="00050C64"/>
    <w:rsid w:val="00051041"/>
    <w:rsid w:val="000510CC"/>
    <w:rsid w:val="00051491"/>
    <w:rsid w:val="0005178E"/>
    <w:rsid w:val="00051CC8"/>
    <w:rsid w:val="0005221C"/>
    <w:rsid w:val="00052269"/>
    <w:rsid w:val="000523BE"/>
    <w:rsid w:val="000525A8"/>
    <w:rsid w:val="000531A4"/>
    <w:rsid w:val="000532FB"/>
    <w:rsid w:val="00053A6C"/>
    <w:rsid w:val="00053BF7"/>
    <w:rsid w:val="00053CE9"/>
    <w:rsid w:val="000541D0"/>
    <w:rsid w:val="00054368"/>
    <w:rsid w:val="000543C7"/>
    <w:rsid w:val="000543CF"/>
    <w:rsid w:val="0005443F"/>
    <w:rsid w:val="000548DE"/>
    <w:rsid w:val="00054E6A"/>
    <w:rsid w:val="0005577C"/>
    <w:rsid w:val="00055787"/>
    <w:rsid w:val="000557C1"/>
    <w:rsid w:val="00055808"/>
    <w:rsid w:val="000558DE"/>
    <w:rsid w:val="00055E11"/>
    <w:rsid w:val="00055F38"/>
    <w:rsid w:val="00056318"/>
    <w:rsid w:val="00056546"/>
    <w:rsid w:val="0005686D"/>
    <w:rsid w:val="000571D0"/>
    <w:rsid w:val="000572C9"/>
    <w:rsid w:val="000572F8"/>
    <w:rsid w:val="000573C0"/>
    <w:rsid w:val="00057878"/>
    <w:rsid w:val="00060284"/>
    <w:rsid w:val="000608CE"/>
    <w:rsid w:val="00060EF8"/>
    <w:rsid w:val="00060F37"/>
    <w:rsid w:val="000617FE"/>
    <w:rsid w:val="00061BA3"/>
    <w:rsid w:val="00061D40"/>
    <w:rsid w:val="00061DA8"/>
    <w:rsid w:val="00061FAE"/>
    <w:rsid w:val="0006223E"/>
    <w:rsid w:val="0006259A"/>
    <w:rsid w:val="000625C1"/>
    <w:rsid w:val="00062819"/>
    <w:rsid w:val="00062C17"/>
    <w:rsid w:val="00062C44"/>
    <w:rsid w:val="00062E0E"/>
    <w:rsid w:val="00062EAF"/>
    <w:rsid w:val="0006308F"/>
    <w:rsid w:val="00063100"/>
    <w:rsid w:val="000632A7"/>
    <w:rsid w:val="00063F8D"/>
    <w:rsid w:val="00063F96"/>
    <w:rsid w:val="00064076"/>
    <w:rsid w:val="000643B0"/>
    <w:rsid w:val="00064BBD"/>
    <w:rsid w:val="00065195"/>
    <w:rsid w:val="0006546F"/>
    <w:rsid w:val="000654D9"/>
    <w:rsid w:val="000655AD"/>
    <w:rsid w:val="00065A17"/>
    <w:rsid w:val="00065B88"/>
    <w:rsid w:val="00065DEF"/>
    <w:rsid w:val="0006609C"/>
    <w:rsid w:val="00066A1B"/>
    <w:rsid w:val="00066AAF"/>
    <w:rsid w:val="00066D31"/>
    <w:rsid w:val="000671A8"/>
    <w:rsid w:val="00067387"/>
    <w:rsid w:val="00067701"/>
    <w:rsid w:val="000679CD"/>
    <w:rsid w:val="00067C0F"/>
    <w:rsid w:val="00067C76"/>
    <w:rsid w:val="00067CDA"/>
    <w:rsid w:val="00070265"/>
    <w:rsid w:val="00070516"/>
    <w:rsid w:val="00071430"/>
    <w:rsid w:val="000714C1"/>
    <w:rsid w:val="0007153E"/>
    <w:rsid w:val="00071A08"/>
    <w:rsid w:val="000728D6"/>
    <w:rsid w:val="00072937"/>
    <w:rsid w:val="00072E5E"/>
    <w:rsid w:val="00073050"/>
    <w:rsid w:val="00073078"/>
    <w:rsid w:val="0007307F"/>
    <w:rsid w:val="0007320D"/>
    <w:rsid w:val="00073358"/>
    <w:rsid w:val="000736B6"/>
    <w:rsid w:val="000736FC"/>
    <w:rsid w:val="00073712"/>
    <w:rsid w:val="0007376E"/>
    <w:rsid w:val="00073C6E"/>
    <w:rsid w:val="00073FA6"/>
    <w:rsid w:val="000741D9"/>
    <w:rsid w:val="000749FA"/>
    <w:rsid w:val="000750A1"/>
    <w:rsid w:val="00075742"/>
    <w:rsid w:val="00075829"/>
    <w:rsid w:val="000759E0"/>
    <w:rsid w:val="00075B58"/>
    <w:rsid w:val="000760DF"/>
    <w:rsid w:val="0007642E"/>
    <w:rsid w:val="00076B79"/>
    <w:rsid w:val="00076CB3"/>
    <w:rsid w:val="00077066"/>
    <w:rsid w:val="000774F6"/>
    <w:rsid w:val="0008025F"/>
    <w:rsid w:val="000807E4"/>
    <w:rsid w:val="00080CF0"/>
    <w:rsid w:val="00080EB0"/>
    <w:rsid w:val="00081057"/>
    <w:rsid w:val="000811D9"/>
    <w:rsid w:val="00081A0B"/>
    <w:rsid w:val="00081CA3"/>
    <w:rsid w:val="00081DDE"/>
    <w:rsid w:val="000824A8"/>
    <w:rsid w:val="000826C5"/>
    <w:rsid w:val="00082B42"/>
    <w:rsid w:val="00082F3E"/>
    <w:rsid w:val="000832A6"/>
    <w:rsid w:val="000832B7"/>
    <w:rsid w:val="000835A0"/>
    <w:rsid w:val="000836F1"/>
    <w:rsid w:val="000838E5"/>
    <w:rsid w:val="00083C6E"/>
    <w:rsid w:val="0008402F"/>
    <w:rsid w:val="00084641"/>
    <w:rsid w:val="00084D75"/>
    <w:rsid w:val="00085242"/>
    <w:rsid w:val="0008569E"/>
    <w:rsid w:val="000858FD"/>
    <w:rsid w:val="00085D61"/>
    <w:rsid w:val="00085F21"/>
    <w:rsid w:val="00086193"/>
    <w:rsid w:val="00086AE9"/>
    <w:rsid w:val="00086C10"/>
    <w:rsid w:val="000870FA"/>
    <w:rsid w:val="00087418"/>
    <w:rsid w:val="0008746A"/>
    <w:rsid w:val="000878FD"/>
    <w:rsid w:val="00087D13"/>
    <w:rsid w:val="00090107"/>
    <w:rsid w:val="000902E9"/>
    <w:rsid w:val="00090A7F"/>
    <w:rsid w:val="00090B48"/>
    <w:rsid w:val="000910D1"/>
    <w:rsid w:val="000918EE"/>
    <w:rsid w:val="00091929"/>
    <w:rsid w:val="00091D43"/>
    <w:rsid w:val="00091F2C"/>
    <w:rsid w:val="00091FEF"/>
    <w:rsid w:val="0009219C"/>
    <w:rsid w:val="00092276"/>
    <w:rsid w:val="00092306"/>
    <w:rsid w:val="0009240B"/>
    <w:rsid w:val="000926A4"/>
    <w:rsid w:val="000927D6"/>
    <w:rsid w:val="0009296E"/>
    <w:rsid w:val="00093057"/>
    <w:rsid w:val="0009309C"/>
    <w:rsid w:val="00093147"/>
    <w:rsid w:val="000931A7"/>
    <w:rsid w:val="00093345"/>
    <w:rsid w:val="000935D6"/>
    <w:rsid w:val="00093D71"/>
    <w:rsid w:val="00093D98"/>
    <w:rsid w:val="00093E17"/>
    <w:rsid w:val="0009416B"/>
    <w:rsid w:val="00094219"/>
    <w:rsid w:val="0009425A"/>
    <w:rsid w:val="0009465B"/>
    <w:rsid w:val="00094CBD"/>
    <w:rsid w:val="00094CD9"/>
    <w:rsid w:val="00094E8C"/>
    <w:rsid w:val="00094ED5"/>
    <w:rsid w:val="00095297"/>
    <w:rsid w:val="00095383"/>
    <w:rsid w:val="00095D30"/>
    <w:rsid w:val="00095EB8"/>
    <w:rsid w:val="000960DC"/>
    <w:rsid w:val="00096124"/>
    <w:rsid w:val="0009635A"/>
    <w:rsid w:val="0009704C"/>
    <w:rsid w:val="0009714E"/>
    <w:rsid w:val="00097C73"/>
    <w:rsid w:val="00097DA2"/>
    <w:rsid w:val="000A06DD"/>
    <w:rsid w:val="000A08BA"/>
    <w:rsid w:val="000A0994"/>
    <w:rsid w:val="000A0B5F"/>
    <w:rsid w:val="000A0CBC"/>
    <w:rsid w:val="000A0DA4"/>
    <w:rsid w:val="000A0DCA"/>
    <w:rsid w:val="000A0FBF"/>
    <w:rsid w:val="000A0FF2"/>
    <w:rsid w:val="000A15A9"/>
    <w:rsid w:val="000A1850"/>
    <w:rsid w:val="000A258B"/>
    <w:rsid w:val="000A258C"/>
    <w:rsid w:val="000A2F97"/>
    <w:rsid w:val="000A32E0"/>
    <w:rsid w:val="000A33C2"/>
    <w:rsid w:val="000A38BB"/>
    <w:rsid w:val="000A3A2A"/>
    <w:rsid w:val="000A3AAD"/>
    <w:rsid w:val="000A3B9C"/>
    <w:rsid w:val="000A44B6"/>
    <w:rsid w:val="000A4751"/>
    <w:rsid w:val="000A482E"/>
    <w:rsid w:val="000A4D0E"/>
    <w:rsid w:val="000A50A8"/>
    <w:rsid w:val="000A5399"/>
    <w:rsid w:val="000A565E"/>
    <w:rsid w:val="000A56E5"/>
    <w:rsid w:val="000A58C0"/>
    <w:rsid w:val="000A5A62"/>
    <w:rsid w:val="000A5F68"/>
    <w:rsid w:val="000A6240"/>
    <w:rsid w:val="000A6324"/>
    <w:rsid w:val="000A63BC"/>
    <w:rsid w:val="000A65D1"/>
    <w:rsid w:val="000A66A9"/>
    <w:rsid w:val="000A67D4"/>
    <w:rsid w:val="000A6AFC"/>
    <w:rsid w:val="000A6B50"/>
    <w:rsid w:val="000A6D43"/>
    <w:rsid w:val="000A6FD7"/>
    <w:rsid w:val="000A7983"/>
    <w:rsid w:val="000A7B0C"/>
    <w:rsid w:val="000A7C1E"/>
    <w:rsid w:val="000A7E1C"/>
    <w:rsid w:val="000B01E6"/>
    <w:rsid w:val="000B0203"/>
    <w:rsid w:val="000B03C7"/>
    <w:rsid w:val="000B0CC2"/>
    <w:rsid w:val="000B0D11"/>
    <w:rsid w:val="000B0D86"/>
    <w:rsid w:val="000B0E36"/>
    <w:rsid w:val="000B0F0A"/>
    <w:rsid w:val="000B0F4D"/>
    <w:rsid w:val="000B1078"/>
    <w:rsid w:val="000B119E"/>
    <w:rsid w:val="000B17D9"/>
    <w:rsid w:val="000B1A45"/>
    <w:rsid w:val="000B1C6B"/>
    <w:rsid w:val="000B1D77"/>
    <w:rsid w:val="000B1DAB"/>
    <w:rsid w:val="000B2384"/>
    <w:rsid w:val="000B2396"/>
    <w:rsid w:val="000B2476"/>
    <w:rsid w:val="000B2629"/>
    <w:rsid w:val="000B26B0"/>
    <w:rsid w:val="000B27D4"/>
    <w:rsid w:val="000B2BF4"/>
    <w:rsid w:val="000B2E73"/>
    <w:rsid w:val="000B2F08"/>
    <w:rsid w:val="000B30B9"/>
    <w:rsid w:val="000B31DA"/>
    <w:rsid w:val="000B32B6"/>
    <w:rsid w:val="000B3303"/>
    <w:rsid w:val="000B340B"/>
    <w:rsid w:val="000B3946"/>
    <w:rsid w:val="000B3BE2"/>
    <w:rsid w:val="000B3C98"/>
    <w:rsid w:val="000B414C"/>
    <w:rsid w:val="000B482A"/>
    <w:rsid w:val="000B4A95"/>
    <w:rsid w:val="000B4BF2"/>
    <w:rsid w:val="000B4DD6"/>
    <w:rsid w:val="000B503A"/>
    <w:rsid w:val="000B539C"/>
    <w:rsid w:val="000B55F4"/>
    <w:rsid w:val="000B563A"/>
    <w:rsid w:val="000B60DC"/>
    <w:rsid w:val="000B60FB"/>
    <w:rsid w:val="000B61DF"/>
    <w:rsid w:val="000B6336"/>
    <w:rsid w:val="000B63DF"/>
    <w:rsid w:val="000B6486"/>
    <w:rsid w:val="000B6811"/>
    <w:rsid w:val="000B6E76"/>
    <w:rsid w:val="000B6EA0"/>
    <w:rsid w:val="000B6F6A"/>
    <w:rsid w:val="000B7382"/>
    <w:rsid w:val="000B7606"/>
    <w:rsid w:val="000B76DA"/>
    <w:rsid w:val="000B7A82"/>
    <w:rsid w:val="000B7D4C"/>
    <w:rsid w:val="000C021F"/>
    <w:rsid w:val="000C0472"/>
    <w:rsid w:val="000C04C4"/>
    <w:rsid w:val="000C04D2"/>
    <w:rsid w:val="000C082B"/>
    <w:rsid w:val="000C0BED"/>
    <w:rsid w:val="000C0D06"/>
    <w:rsid w:val="000C0DDC"/>
    <w:rsid w:val="000C1564"/>
    <w:rsid w:val="000C1870"/>
    <w:rsid w:val="000C1876"/>
    <w:rsid w:val="000C1A8F"/>
    <w:rsid w:val="000C1D67"/>
    <w:rsid w:val="000C1DAC"/>
    <w:rsid w:val="000C1F26"/>
    <w:rsid w:val="000C2230"/>
    <w:rsid w:val="000C24D8"/>
    <w:rsid w:val="000C2945"/>
    <w:rsid w:val="000C2A56"/>
    <w:rsid w:val="000C2C95"/>
    <w:rsid w:val="000C2CB5"/>
    <w:rsid w:val="000C2F3F"/>
    <w:rsid w:val="000C32DE"/>
    <w:rsid w:val="000C35B1"/>
    <w:rsid w:val="000C367C"/>
    <w:rsid w:val="000C36D3"/>
    <w:rsid w:val="000C38E2"/>
    <w:rsid w:val="000C3B78"/>
    <w:rsid w:val="000C40BA"/>
    <w:rsid w:val="000C4699"/>
    <w:rsid w:val="000C47A2"/>
    <w:rsid w:val="000C4AEB"/>
    <w:rsid w:val="000C4DA3"/>
    <w:rsid w:val="000C549D"/>
    <w:rsid w:val="000C54B8"/>
    <w:rsid w:val="000C566D"/>
    <w:rsid w:val="000C56B7"/>
    <w:rsid w:val="000C570B"/>
    <w:rsid w:val="000C5797"/>
    <w:rsid w:val="000C5A0B"/>
    <w:rsid w:val="000C5B2D"/>
    <w:rsid w:val="000C63E1"/>
    <w:rsid w:val="000C67EA"/>
    <w:rsid w:val="000C6DE2"/>
    <w:rsid w:val="000C7172"/>
    <w:rsid w:val="000C7541"/>
    <w:rsid w:val="000C7F82"/>
    <w:rsid w:val="000D025B"/>
    <w:rsid w:val="000D05CA"/>
    <w:rsid w:val="000D07FD"/>
    <w:rsid w:val="000D085B"/>
    <w:rsid w:val="000D0CD5"/>
    <w:rsid w:val="000D0E90"/>
    <w:rsid w:val="000D1006"/>
    <w:rsid w:val="000D16A7"/>
    <w:rsid w:val="000D17BA"/>
    <w:rsid w:val="000D1847"/>
    <w:rsid w:val="000D1A7E"/>
    <w:rsid w:val="000D1B5D"/>
    <w:rsid w:val="000D1C74"/>
    <w:rsid w:val="000D2350"/>
    <w:rsid w:val="000D2744"/>
    <w:rsid w:val="000D275D"/>
    <w:rsid w:val="000D34E9"/>
    <w:rsid w:val="000D396E"/>
    <w:rsid w:val="000D39D1"/>
    <w:rsid w:val="000D3AF6"/>
    <w:rsid w:val="000D3C08"/>
    <w:rsid w:val="000D42BD"/>
    <w:rsid w:val="000D4673"/>
    <w:rsid w:val="000D46F0"/>
    <w:rsid w:val="000D4775"/>
    <w:rsid w:val="000D47F8"/>
    <w:rsid w:val="000D4825"/>
    <w:rsid w:val="000D4F14"/>
    <w:rsid w:val="000D515E"/>
    <w:rsid w:val="000D5804"/>
    <w:rsid w:val="000D5901"/>
    <w:rsid w:val="000D599B"/>
    <w:rsid w:val="000D5ACD"/>
    <w:rsid w:val="000D5EC3"/>
    <w:rsid w:val="000D60F7"/>
    <w:rsid w:val="000D63CC"/>
    <w:rsid w:val="000D63DD"/>
    <w:rsid w:val="000D68C7"/>
    <w:rsid w:val="000D7517"/>
    <w:rsid w:val="000D7637"/>
    <w:rsid w:val="000D7919"/>
    <w:rsid w:val="000D7B79"/>
    <w:rsid w:val="000D7C97"/>
    <w:rsid w:val="000D7D79"/>
    <w:rsid w:val="000E028C"/>
    <w:rsid w:val="000E03A8"/>
    <w:rsid w:val="000E040B"/>
    <w:rsid w:val="000E062B"/>
    <w:rsid w:val="000E0A62"/>
    <w:rsid w:val="000E1355"/>
    <w:rsid w:val="000E1655"/>
    <w:rsid w:val="000E19A2"/>
    <w:rsid w:val="000E1D75"/>
    <w:rsid w:val="000E1FB6"/>
    <w:rsid w:val="000E2858"/>
    <w:rsid w:val="000E2CAB"/>
    <w:rsid w:val="000E2D89"/>
    <w:rsid w:val="000E3354"/>
    <w:rsid w:val="000E3558"/>
    <w:rsid w:val="000E38DA"/>
    <w:rsid w:val="000E4088"/>
    <w:rsid w:val="000E4201"/>
    <w:rsid w:val="000E4632"/>
    <w:rsid w:val="000E49F6"/>
    <w:rsid w:val="000E4D4E"/>
    <w:rsid w:val="000E517B"/>
    <w:rsid w:val="000E54A5"/>
    <w:rsid w:val="000E59F1"/>
    <w:rsid w:val="000E5EB2"/>
    <w:rsid w:val="000E5F26"/>
    <w:rsid w:val="000E5FB9"/>
    <w:rsid w:val="000E62F8"/>
    <w:rsid w:val="000E6560"/>
    <w:rsid w:val="000E695F"/>
    <w:rsid w:val="000E6A4E"/>
    <w:rsid w:val="000E6AE6"/>
    <w:rsid w:val="000E6C46"/>
    <w:rsid w:val="000E7014"/>
    <w:rsid w:val="000E705B"/>
    <w:rsid w:val="000E729B"/>
    <w:rsid w:val="000E72D5"/>
    <w:rsid w:val="000E7CC8"/>
    <w:rsid w:val="000E7EB2"/>
    <w:rsid w:val="000E7EFD"/>
    <w:rsid w:val="000F053F"/>
    <w:rsid w:val="000F0F9E"/>
    <w:rsid w:val="000F1936"/>
    <w:rsid w:val="000F1C91"/>
    <w:rsid w:val="000F1F97"/>
    <w:rsid w:val="000F200F"/>
    <w:rsid w:val="000F24F8"/>
    <w:rsid w:val="000F2804"/>
    <w:rsid w:val="000F2864"/>
    <w:rsid w:val="000F29A6"/>
    <w:rsid w:val="000F2A44"/>
    <w:rsid w:val="000F2B7A"/>
    <w:rsid w:val="000F2C84"/>
    <w:rsid w:val="000F2C8B"/>
    <w:rsid w:val="000F2EF5"/>
    <w:rsid w:val="000F2F7C"/>
    <w:rsid w:val="000F2FAE"/>
    <w:rsid w:val="000F3041"/>
    <w:rsid w:val="000F3383"/>
    <w:rsid w:val="000F3389"/>
    <w:rsid w:val="000F37F5"/>
    <w:rsid w:val="000F47D4"/>
    <w:rsid w:val="000F4A2E"/>
    <w:rsid w:val="000F4B86"/>
    <w:rsid w:val="000F4BD2"/>
    <w:rsid w:val="000F537F"/>
    <w:rsid w:val="000F5555"/>
    <w:rsid w:val="000F570B"/>
    <w:rsid w:val="000F5C4D"/>
    <w:rsid w:val="000F5FFE"/>
    <w:rsid w:val="000F65D9"/>
    <w:rsid w:val="000F6769"/>
    <w:rsid w:val="000F6780"/>
    <w:rsid w:val="000F6905"/>
    <w:rsid w:val="000F6F15"/>
    <w:rsid w:val="000F72D3"/>
    <w:rsid w:val="000F748E"/>
    <w:rsid w:val="000F755F"/>
    <w:rsid w:val="000F76F3"/>
    <w:rsid w:val="000F79BE"/>
    <w:rsid w:val="00100534"/>
    <w:rsid w:val="00100686"/>
    <w:rsid w:val="00100B2F"/>
    <w:rsid w:val="00100C9C"/>
    <w:rsid w:val="00100EDB"/>
    <w:rsid w:val="001010D9"/>
    <w:rsid w:val="001019A9"/>
    <w:rsid w:val="00101EDC"/>
    <w:rsid w:val="00101F8B"/>
    <w:rsid w:val="00102482"/>
    <w:rsid w:val="0010269E"/>
    <w:rsid w:val="001026A5"/>
    <w:rsid w:val="001027BB"/>
    <w:rsid w:val="00102A7C"/>
    <w:rsid w:val="00102D1E"/>
    <w:rsid w:val="0010312B"/>
    <w:rsid w:val="00103141"/>
    <w:rsid w:val="001031D4"/>
    <w:rsid w:val="001032B5"/>
    <w:rsid w:val="00103582"/>
    <w:rsid w:val="00103D94"/>
    <w:rsid w:val="00103F19"/>
    <w:rsid w:val="00103F51"/>
    <w:rsid w:val="001043C3"/>
    <w:rsid w:val="0010441D"/>
    <w:rsid w:val="001044C8"/>
    <w:rsid w:val="00104C35"/>
    <w:rsid w:val="001051CE"/>
    <w:rsid w:val="001051FD"/>
    <w:rsid w:val="00105319"/>
    <w:rsid w:val="00105433"/>
    <w:rsid w:val="00105895"/>
    <w:rsid w:val="0010593E"/>
    <w:rsid w:val="00105C1E"/>
    <w:rsid w:val="00105CD3"/>
    <w:rsid w:val="00105E49"/>
    <w:rsid w:val="00105F44"/>
    <w:rsid w:val="00105FD8"/>
    <w:rsid w:val="0010631C"/>
    <w:rsid w:val="001064A1"/>
    <w:rsid w:val="00106514"/>
    <w:rsid w:val="00107552"/>
    <w:rsid w:val="00107715"/>
    <w:rsid w:val="00107901"/>
    <w:rsid w:val="00107CC6"/>
    <w:rsid w:val="00107F77"/>
    <w:rsid w:val="00107FC2"/>
    <w:rsid w:val="001100A5"/>
    <w:rsid w:val="00110150"/>
    <w:rsid w:val="001101FF"/>
    <w:rsid w:val="0011030A"/>
    <w:rsid w:val="001106DC"/>
    <w:rsid w:val="00110AF3"/>
    <w:rsid w:val="00111045"/>
    <w:rsid w:val="001110F0"/>
    <w:rsid w:val="001116C7"/>
    <w:rsid w:val="00111AAC"/>
    <w:rsid w:val="00111D08"/>
    <w:rsid w:val="00111EDD"/>
    <w:rsid w:val="00112262"/>
    <w:rsid w:val="001122DD"/>
    <w:rsid w:val="00112650"/>
    <w:rsid w:val="00112F8D"/>
    <w:rsid w:val="00113034"/>
    <w:rsid w:val="001130A1"/>
    <w:rsid w:val="001135D9"/>
    <w:rsid w:val="00113A1D"/>
    <w:rsid w:val="001142E6"/>
    <w:rsid w:val="00114495"/>
    <w:rsid w:val="0011475B"/>
    <w:rsid w:val="00114B5F"/>
    <w:rsid w:val="00114E2A"/>
    <w:rsid w:val="00114E90"/>
    <w:rsid w:val="00115085"/>
    <w:rsid w:val="0011561E"/>
    <w:rsid w:val="00115B01"/>
    <w:rsid w:val="00115B2C"/>
    <w:rsid w:val="00115B52"/>
    <w:rsid w:val="00115EA6"/>
    <w:rsid w:val="001163A1"/>
    <w:rsid w:val="001168D7"/>
    <w:rsid w:val="00116D06"/>
    <w:rsid w:val="00116F74"/>
    <w:rsid w:val="001171A3"/>
    <w:rsid w:val="001176BA"/>
    <w:rsid w:val="00117750"/>
    <w:rsid w:val="00117954"/>
    <w:rsid w:val="001179AE"/>
    <w:rsid w:val="00117C2E"/>
    <w:rsid w:val="00117D44"/>
    <w:rsid w:val="0012087D"/>
    <w:rsid w:val="00120C5D"/>
    <w:rsid w:val="001211C9"/>
    <w:rsid w:val="00121681"/>
    <w:rsid w:val="00121A3E"/>
    <w:rsid w:val="00121FE1"/>
    <w:rsid w:val="001227E6"/>
    <w:rsid w:val="001227F4"/>
    <w:rsid w:val="00122B11"/>
    <w:rsid w:val="00122DF5"/>
    <w:rsid w:val="00122ED6"/>
    <w:rsid w:val="001234C0"/>
    <w:rsid w:val="001237F3"/>
    <w:rsid w:val="00123AA9"/>
    <w:rsid w:val="001240EC"/>
    <w:rsid w:val="00124628"/>
    <w:rsid w:val="00124650"/>
    <w:rsid w:val="00124DC4"/>
    <w:rsid w:val="00125AB7"/>
    <w:rsid w:val="00125CE8"/>
    <w:rsid w:val="00126724"/>
    <w:rsid w:val="00126844"/>
    <w:rsid w:val="00126EE2"/>
    <w:rsid w:val="0012722A"/>
    <w:rsid w:val="001272B2"/>
    <w:rsid w:val="001273AE"/>
    <w:rsid w:val="0012797F"/>
    <w:rsid w:val="00127A56"/>
    <w:rsid w:val="00127E01"/>
    <w:rsid w:val="00127E94"/>
    <w:rsid w:val="001301FD"/>
    <w:rsid w:val="00130408"/>
    <w:rsid w:val="0013048D"/>
    <w:rsid w:val="00130890"/>
    <w:rsid w:val="00130B69"/>
    <w:rsid w:val="001312D3"/>
    <w:rsid w:val="00131569"/>
    <w:rsid w:val="00131D31"/>
    <w:rsid w:val="00132246"/>
    <w:rsid w:val="001323B5"/>
    <w:rsid w:val="001324BA"/>
    <w:rsid w:val="00132A23"/>
    <w:rsid w:val="00132F58"/>
    <w:rsid w:val="00132F5A"/>
    <w:rsid w:val="001333B1"/>
    <w:rsid w:val="001335F1"/>
    <w:rsid w:val="00133AB6"/>
    <w:rsid w:val="00133DFC"/>
    <w:rsid w:val="00133F02"/>
    <w:rsid w:val="001344B0"/>
    <w:rsid w:val="001349A7"/>
    <w:rsid w:val="00134C7B"/>
    <w:rsid w:val="00134F71"/>
    <w:rsid w:val="0013502D"/>
    <w:rsid w:val="00135424"/>
    <w:rsid w:val="00135ADA"/>
    <w:rsid w:val="00135DA6"/>
    <w:rsid w:val="00135F0D"/>
    <w:rsid w:val="00136304"/>
    <w:rsid w:val="00136356"/>
    <w:rsid w:val="001369A9"/>
    <w:rsid w:val="00136A73"/>
    <w:rsid w:val="00136B48"/>
    <w:rsid w:val="00136F02"/>
    <w:rsid w:val="00137011"/>
    <w:rsid w:val="0013714B"/>
    <w:rsid w:val="00137499"/>
    <w:rsid w:val="00137898"/>
    <w:rsid w:val="00137B42"/>
    <w:rsid w:val="00137C25"/>
    <w:rsid w:val="0014030A"/>
    <w:rsid w:val="00141218"/>
    <w:rsid w:val="001413D0"/>
    <w:rsid w:val="00141496"/>
    <w:rsid w:val="00141758"/>
    <w:rsid w:val="0014182F"/>
    <w:rsid w:val="001418BB"/>
    <w:rsid w:val="00141B07"/>
    <w:rsid w:val="00141D78"/>
    <w:rsid w:val="00141F18"/>
    <w:rsid w:val="00142033"/>
    <w:rsid w:val="001432AA"/>
    <w:rsid w:val="00143551"/>
    <w:rsid w:val="00143576"/>
    <w:rsid w:val="00143647"/>
    <w:rsid w:val="0014365E"/>
    <w:rsid w:val="001436AB"/>
    <w:rsid w:val="001436C3"/>
    <w:rsid w:val="0014374E"/>
    <w:rsid w:val="00143763"/>
    <w:rsid w:val="00143B81"/>
    <w:rsid w:val="00143BD0"/>
    <w:rsid w:val="00143C17"/>
    <w:rsid w:val="00143DC5"/>
    <w:rsid w:val="00143EE1"/>
    <w:rsid w:val="00144035"/>
    <w:rsid w:val="0014428F"/>
    <w:rsid w:val="001445EF"/>
    <w:rsid w:val="00144852"/>
    <w:rsid w:val="001448C8"/>
    <w:rsid w:val="00144C93"/>
    <w:rsid w:val="00144E8B"/>
    <w:rsid w:val="00144EAF"/>
    <w:rsid w:val="00144F09"/>
    <w:rsid w:val="00145194"/>
    <w:rsid w:val="00145720"/>
    <w:rsid w:val="001457FA"/>
    <w:rsid w:val="00145905"/>
    <w:rsid w:val="00146120"/>
    <w:rsid w:val="0014639F"/>
    <w:rsid w:val="001463EF"/>
    <w:rsid w:val="001464BE"/>
    <w:rsid w:val="0014655C"/>
    <w:rsid w:val="00146771"/>
    <w:rsid w:val="00146BCB"/>
    <w:rsid w:val="00146DC4"/>
    <w:rsid w:val="00146E31"/>
    <w:rsid w:val="001470FF"/>
    <w:rsid w:val="0014724D"/>
    <w:rsid w:val="00147603"/>
    <w:rsid w:val="00147707"/>
    <w:rsid w:val="00147B50"/>
    <w:rsid w:val="00147DCA"/>
    <w:rsid w:val="0015011F"/>
    <w:rsid w:val="00150351"/>
    <w:rsid w:val="00150F1A"/>
    <w:rsid w:val="00151E8B"/>
    <w:rsid w:val="001521EF"/>
    <w:rsid w:val="00152305"/>
    <w:rsid w:val="0015258D"/>
    <w:rsid w:val="00152C0A"/>
    <w:rsid w:val="00152C0F"/>
    <w:rsid w:val="0015321C"/>
    <w:rsid w:val="00153658"/>
    <w:rsid w:val="00153930"/>
    <w:rsid w:val="00153DA6"/>
    <w:rsid w:val="00153F27"/>
    <w:rsid w:val="00153F5C"/>
    <w:rsid w:val="00153FD0"/>
    <w:rsid w:val="001543BB"/>
    <w:rsid w:val="00154626"/>
    <w:rsid w:val="001546EF"/>
    <w:rsid w:val="0015495E"/>
    <w:rsid w:val="00154E19"/>
    <w:rsid w:val="00154E9F"/>
    <w:rsid w:val="00155307"/>
    <w:rsid w:val="00155371"/>
    <w:rsid w:val="00155597"/>
    <w:rsid w:val="00155704"/>
    <w:rsid w:val="00155BBB"/>
    <w:rsid w:val="00155D01"/>
    <w:rsid w:val="00155D23"/>
    <w:rsid w:val="00155D24"/>
    <w:rsid w:val="00155F65"/>
    <w:rsid w:val="00156163"/>
    <w:rsid w:val="001567E4"/>
    <w:rsid w:val="00157519"/>
    <w:rsid w:val="0015763A"/>
    <w:rsid w:val="00157B6E"/>
    <w:rsid w:val="00157EBC"/>
    <w:rsid w:val="00160199"/>
    <w:rsid w:val="001601C7"/>
    <w:rsid w:val="00160287"/>
    <w:rsid w:val="001604DF"/>
    <w:rsid w:val="00160615"/>
    <w:rsid w:val="001606FA"/>
    <w:rsid w:val="0016075D"/>
    <w:rsid w:val="00160EFB"/>
    <w:rsid w:val="00161589"/>
    <w:rsid w:val="00161919"/>
    <w:rsid w:val="0016197C"/>
    <w:rsid w:val="00162508"/>
    <w:rsid w:val="001625EA"/>
    <w:rsid w:val="001630CE"/>
    <w:rsid w:val="00163320"/>
    <w:rsid w:val="001635E0"/>
    <w:rsid w:val="00163831"/>
    <w:rsid w:val="00163869"/>
    <w:rsid w:val="0016399B"/>
    <w:rsid w:val="001639C8"/>
    <w:rsid w:val="001639CC"/>
    <w:rsid w:val="00163BD0"/>
    <w:rsid w:val="00163C45"/>
    <w:rsid w:val="00163F45"/>
    <w:rsid w:val="001643A1"/>
    <w:rsid w:val="001645C1"/>
    <w:rsid w:val="0016471A"/>
    <w:rsid w:val="00164FBF"/>
    <w:rsid w:val="001653EE"/>
    <w:rsid w:val="001655D9"/>
    <w:rsid w:val="001657F7"/>
    <w:rsid w:val="00165B3A"/>
    <w:rsid w:val="0016624B"/>
    <w:rsid w:val="00166559"/>
    <w:rsid w:val="0016666F"/>
    <w:rsid w:val="001666D8"/>
    <w:rsid w:val="0016674B"/>
    <w:rsid w:val="00166821"/>
    <w:rsid w:val="001668AF"/>
    <w:rsid w:val="00166B3C"/>
    <w:rsid w:val="00166CC5"/>
    <w:rsid w:val="0016722B"/>
    <w:rsid w:val="0016729A"/>
    <w:rsid w:val="001672E0"/>
    <w:rsid w:val="0016760B"/>
    <w:rsid w:val="00167CA7"/>
    <w:rsid w:val="00167DE0"/>
    <w:rsid w:val="00167E9C"/>
    <w:rsid w:val="00167F71"/>
    <w:rsid w:val="00170A8A"/>
    <w:rsid w:val="00170D64"/>
    <w:rsid w:val="00170EAF"/>
    <w:rsid w:val="00171473"/>
    <w:rsid w:val="0017183C"/>
    <w:rsid w:val="0017183D"/>
    <w:rsid w:val="00171AFE"/>
    <w:rsid w:val="00171EBC"/>
    <w:rsid w:val="001725F7"/>
    <w:rsid w:val="001728FF"/>
    <w:rsid w:val="0017293C"/>
    <w:rsid w:val="00173548"/>
    <w:rsid w:val="00173CB2"/>
    <w:rsid w:val="00173DCB"/>
    <w:rsid w:val="001744D9"/>
    <w:rsid w:val="001745F1"/>
    <w:rsid w:val="001745FA"/>
    <w:rsid w:val="001749CD"/>
    <w:rsid w:val="00174A20"/>
    <w:rsid w:val="00174B3A"/>
    <w:rsid w:val="00174E34"/>
    <w:rsid w:val="00174ED5"/>
    <w:rsid w:val="00174FF5"/>
    <w:rsid w:val="0017564D"/>
    <w:rsid w:val="00175690"/>
    <w:rsid w:val="001757B8"/>
    <w:rsid w:val="00175BC3"/>
    <w:rsid w:val="00175C1B"/>
    <w:rsid w:val="00175D6C"/>
    <w:rsid w:val="00175E7C"/>
    <w:rsid w:val="00175EB1"/>
    <w:rsid w:val="00175EF7"/>
    <w:rsid w:val="001762EA"/>
    <w:rsid w:val="0017688D"/>
    <w:rsid w:val="00176E32"/>
    <w:rsid w:val="00176E62"/>
    <w:rsid w:val="00177228"/>
    <w:rsid w:val="001774C5"/>
    <w:rsid w:val="001775E9"/>
    <w:rsid w:val="001776CE"/>
    <w:rsid w:val="00177711"/>
    <w:rsid w:val="0017793E"/>
    <w:rsid w:val="00177C5A"/>
    <w:rsid w:val="001801AB"/>
    <w:rsid w:val="00180875"/>
    <w:rsid w:val="0018092C"/>
    <w:rsid w:val="00180A2F"/>
    <w:rsid w:val="00180C9B"/>
    <w:rsid w:val="001812B5"/>
    <w:rsid w:val="00181525"/>
    <w:rsid w:val="00181593"/>
    <w:rsid w:val="0018162B"/>
    <w:rsid w:val="00181853"/>
    <w:rsid w:val="0018203B"/>
    <w:rsid w:val="00182260"/>
    <w:rsid w:val="001829C0"/>
    <w:rsid w:val="001829F7"/>
    <w:rsid w:val="00182BA2"/>
    <w:rsid w:val="00182F78"/>
    <w:rsid w:val="00183145"/>
    <w:rsid w:val="0018337B"/>
    <w:rsid w:val="0018343F"/>
    <w:rsid w:val="001834E0"/>
    <w:rsid w:val="001837BF"/>
    <w:rsid w:val="00183823"/>
    <w:rsid w:val="001842A4"/>
    <w:rsid w:val="001843A3"/>
    <w:rsid w:val="0018443C"/>
    <w:rsid w:val="00185219"/>
    <w:rsid w:val="0018591F"/>
    <w:rsid w:val="00185AC2"/>
    <w:rsid w:val="00185F4E"/>
    <w:rsid w:val="001861B8"/>
    <w:rsid w:val="00186334"/>
    <w:rsid w:val="00186566"/>
    <w:rsid w:val="00186591"/>
    <w:rsid w:val="00186656"/>
    <w:rsid w:val="001868C2"/>
    <w:rsid w:val="00186917"/>
    <w:rsid w:val="00186EDE"/>
    <w:rsid w:val="00187237"/>
    <w:rsid w:val="00187671"/>
    <w:rsid w:val="0018788C"/>
    <w:rsid w:val="00187DE6"/>
    <w:rsid w:val="0019008F"/>
    <w:rsid w:val="0019018F"/>
    <w:rsid w:val="0019031F"/>
    <w:rsid w:val="00190812"/>
    <w:rsid w:val="001908F9"/>
    <w:rsid w:val="00190AF7"/>
    <w:rsid w:val="00190B49"/>
    <w:rsid w:val="00190C50"/>
    <w:rsid w:val="00190DE1"/>
    <w:rsid w:val="0019108A"/>
    <w:rsid w:val="0019111D"/>
    <w:rsid w:val="0019133C"/>
    <w:rsid w:val="00191355"/>
    <w:rsid w:val="00191A80"/>
    <w:rsid w:val="00192027"/>
    <w:rsid w:val="001921FF"/>
    <w:rsid w:val="00192535"/>
    <w:rsid w:val="00192830"/>
    <w:rsid w:val="00193431"/>
    <w:rsid w:val="00194473"/>
    <w:rsid w:val="00194491"/>
    <w:rsid w:val="001947AD"/>
    <w:rsid w:val="001948BE"/>
    <w:rsid w:val="001948C2"/>
    <w:rsid w:val="00194AA2"/>
    <w:rsid w:val="00194B9D"/>
    <w:rsid w:val="00194BE8"/>
    <w:rsid w:val="00194CA4"/>
    <w:rsid w:val="001950E3"/>
    <w:rsid w:val="00195633"/>
    <w:rsid w:val="00195743"/>
    <w:rsid w:val="00195810"/>
    <w:rsid w:val="00195AFD"/>
    <w:rsid w:val="00195C4E"/>
    <w:rsid w:val="0019664F"/>
    <w:rsid w:val="00196A5E"/>
    <w:rsid w:val="00196F87"/>
    <w:rsid w:val="0019707E"/>
    <w:rsid w:val="00197118"/>
    <w:rsid w:val="0019722E"/>
    <w:rsid w:val="00197279"/>
    <w:rsid w:val="0019735E"/>
    <w:rsid w:val="00197472"/>
    <w:rsid w:val="00197C84"/>
    <w:rsid w:val="00197EC9"/>
    <w:rsid w:val="00197F82"/>
    <w:rsid w:val="001A028A"/>
    <w:rsid w:val="001A0544"/>
    <w:rsid w:val="001A0569"/>
    <w:rsid w:val="001A065D"/>
    <w:rsid w:val="001A09F0"/>
    <w:rsid w:val="001A0E9C"/>
    <w:rsid w:val="001A106B"/>
    <w:rsid w:val="001A15FA"/>
    <w:rsid w:val="001A18E9"/>
    <w:rsid w:val="001A1A76"/>
    <w:rsid w:val="001A1AC2"/>
    <w:rsid w:val="001A1B9C"/>
    <w:rsid w:val="001A1CE9"/>
    <w:rsid w:val="001A1D81"/>
    <w:rsid w:val="001A1E48"/>
    <w:rsid w:val="001A1FBE"/>
    <w:rsid w:val="001A2A4F"/>
    <w:rsid w:val="001A2F7A"/>
    <w:rsid w:val="001A2FDA"/>
    <w:rsid w:val="001A4022"/>
    <w:rsid w:val="001A4466"/>
    <w:rsid w:val="001A4A0F"/>
    <w:rsid w:val="001A4AEE"/>
    <w:rsid w:val="001A4CE7"/>
    <w:rsid w:val="001A4D35"/>
    <w:rsid w:val="001A58C5"/>
    <w:rsid w:val="001A5D33"/>
    <w:rsid w:val="001A64B9"/>
    <w:rsid w:val="001A6BDA"/>
    <w:rsid w:val="001A6C63"/>
    <w:rsid w:val="001A6D58"/>
    <w:rsid w:val="001A7089"/>
    <w:rsid w:val="001A71AD"/>
    <w:rsid w:val="001A7255"/>
    <w:rsid w:val="001A72FE"/>
    <w:rsid w:val="001A7E82"/>
    <w:rsid w:val="001A7F0C"/>
    <w:rsid w:val="001B00E2"/>
    <w:rsid w:val="001B01FC"/>
    <w:rsid w:val="001B020F"/>
    <w:rsid w:val="001B0215"/>
    <w:rsid w:val="001B03D3"/>
    <w:rsid w:val="001B0530"/>
    <w:rsid w:val="001B07FB"/>
    <w:rsid w:val="001B08C4"/>
    <w:rsid w:val="001B0BCB"/>
    <w:rsid w:val="001B0CB3"/>
    <w:rsid w:val="001B0D0F"/>
    <w:rsid w:val="001B0F1A"/>
    <w:rsid w:val="001B13D3"/>
    <w:rsid w:val="001B14BF"/>
    <w:rsid w:val="001B1B41"/>
    <w:rsid w:val="001B1E7F"/>
    <w:rsid w:val="001B1F5D"/>
    <w:rsid w:val="001B2087"/>
    <w:rsid w:val="001B280E"/>
    <w:rsid w:val="001B2955"/>
    <w:rsid w:val="001B2DD4"/>
    <w:rsid w:val="001B34D4"/>
    <w:rsid w:val="001B39F2"/>
    <w:rsid w:val="001B3EF6"/>
    <w:rsid w:val="001B4644"/>
    <w:rsid w:val="001B4693"/>
    <w:rsid w:val="001B488B"/>
    <w:rsid w:val="001B496D"/>
    <w:rsid w:val="001B4B9A"/>
    <w:rsid w:val="001B4CF8"/>
    <w:rsid w:val="001B4E08"/>
    <w:rsid w:val="001B53D5"/>
    <w:rsid w:val="001B5496"/>
    <w:rsid w:val="001B5778"/>
    <w:rsid w:val="001B5B94"/>
    <w:rsid w:val="001B5E6F"/>
    <w:rsid w:val="001B5E98"/>
    <w:rsid w:val="001B63C2"/>
    <w:rsid w:val="001B6674"/>
    <w:rsid w:val="001B7054"/>
    <w:rsid w:val="001B79CB"/>
    <w:rsid w:val="001B7D72"/>
    <w:rsid w:val="001B7D7F"/>
    <w:rsid w:val="001C008C"/>
    <w:rsid w:val="001C02C3"/>
    <w:rsid w:val="001C03D7"/>
    <w:rsid w:val="001C0945"/>
    <w:rsid w:val="001C0E52"/>
    <w:rsid w:val="001C114C"/>
    <w:rsid w:val="001C16D6"/>
    <w:rsid w:val="001C1A6E"/>
    <w:rsid w:val="001C1D40"/>
    <w:rsid w:val="001C1DA1"/>
    <w:rsid w:val="001C1EFA"/>
    <w:rsid w:val="001C1F70"/>
    <w:rsid w:val="001C2066"/>
    <w:rsid w:val="001C2497"/>
    <w:rsid w:val="001C24BD"/>
    <w:rsid w:val="001C26B4"/>
    <w:rsid w:val="001C2872"/>
    <w:rsid w:val="001C2A6E"/>
    <w:rsid w:val="001C2AA8"/>
    <w:rsid w:val="001C32AF"/>
    <w:rsid w:val="001C3442"/>
    <w:rsid w:val="001C36D6"/>
    <w:rsid w:val="001C390A"/>
    <w:rsid w:val="001C3998"/>
    <w:rsid w:val="001C3B2D"/>
    <w:rsid w:val="001C4209"/>
    <w:rsid w:val="001C4340"/>
    <w:rsid w:val="001C442D"/>
    <w:rsid w:val="001C494A"/>
    <w:rsid w:val="001C4BBF"/>
    <w:rsid w:val="001C5380"/>
    <w:rsid w:val="001C56C8"/>
    <w:rsid w:val="001C574D"/>
    <w:rsid w:val="001C58A3"/>
    <w:rsid w:val="001C59A4"/>
    <w:rsid w:val="001C5CD9"/>
    <w:rsid w:val="001C5F60"/>
    <w:rsid w:val="001C60B2"/>
    <w:rsid w:val="001C60F5"/>
    <w:rsid w:val="001C63E9"/>
    <w:rsid w:val="001C6DE4"/>
    <w:rsid w:val="001C6E83"/>
    <w:rsid w:val="001C7168"/>
    <w:rsid w:val="001C717C"/>
    <w:rsid w:val="001C721C"/>
    <w:rsid w:val="001C76AB"/>
    <w:rsid w:val="001C78F1"/>
    <w:rsid w:val="001C78F2"/>
    <w:rsid w:val="001C7959"/>
    <w:rsid w:val="001D017C"/>
    <w:rsid w:val="001D0188"/>
    <w:rsid w:val="001D0216"/>
    <w:rsid w:val="001D0911"/>
    <w:rsid w:val="001D09F0"/>
    <w:rsid w:val="001D0AC1"/>
    <w:rsid w:val="001D12D4"/>
    <w:rsid w:val="001D21CC"/>
    <w:rsid w:val="001D24C3"/>
    <w:rsid w:val="001D26A1"/>
    <w:rsid w:val="001D2C7F"/>
    <w:rsid w:val="001D2C91"/>
    <w:rsid w:val="001D2D3F"/>
    <w:rsid w:val="001D31CA"/>
    <w:rsid w:val="001D3CAF"/>
    <w:rsid w:val="001D3F80"/>
    <w:rsid w:val="001D471F"/>
    <w:rsid w:val="001D4A3B"/>
    <w:rsid w:val="001D502A"/>
    <w:rsid w:val="001D50AA"/>
    <w:rsid w:val="001D563E"/>
    <w:rsid w:val="001D57ED"/>
    <w:rsid w:val="001D5E3E"/>
    <w:rsid w:val="001D5F27"/>
    <w:rsid w:val="001D62FC"/>
    <w:rsid w:val="001D6450"/>
    <w:rsid w:val="001D6532"/>
    <w:rsid w:val="001D69C2"/>
    <w:rsid w:val="001D75AB"/>
    <w:rsid w:val="001D769D"/>
    <w:rsid w:val="001D7B27"/>
    <w:rsid w:val="001D7BAC"/>
    <w:rsid w:val="001D7C4C"/>
    <w:rsid w:val="001D7D1C"/>
    <w:rsid w:val="001D7DCB"/>
    <w:rsid w:val="001E0128"/>
    <w:rsid w:val="001E01E9"/>
    <w:rsid w:val="001E0403"/>
    <w:rsid w:val="001E06A0"/>
    <w:rsid w:val="001E0D03"/>
    <w:rsid w:val="001E10DC"/>
    <w:rsid w:val="001E1450"/>
    <w:rsid w:val="001E15D5"/>
    <w:rsid w:val="001E15D7"/>
    <w:rsid w:val="001E1614"/>
    <w:rsid w:val="001E189C"/>
    <w:rsid w:val="001E1D53"/>
    <w:rsid w:val="001E2310"/>
    <w:rsid w:val="001E24C0"/>
    <w:rsid w:val="001E2563"/>
    <w:rsid w:val="001E27D9"/>
    <w:rsid w:val="001E2A9C"/>
    <w:rsid w:val="001E2AFD"/>
    <w:rsid w:val="001E2FBE"/>
    <w:rsid w:val="001E34BF"/>
    <w:rsid w:val="001E37FE"/>
    <w:rsid w:val="001E4106"/>
    <w:rsid w:val="001E432A"/>
    <w:rsid w:val="001E463A"/>
    <w:rsid w:val="001E4B3E"/>
    <w:rsid w:val="001E4BFA"/>
    <w:rsid w:val="001E4C6D"/>
    <w:rsid w:val="001E4D28"/>
    <w:rsid w:val="001E53B7"/>
    <w:rsid w:val="001E5CAA"/>
    <w:rsid w:val="001E5CB9"/>
    <w:rsid w:val="001E6FC0"/>
    <w:rsid w:val="001E77E3"/>
    <w:rsid w:val="001E7905"/>
    <w:rsid w:val="001E7D79"/>
    <w:rsid w:val="001E7D89"/>
    <w:rsid w:val="001F0495"/>
    <w:rsid w:val="001F04D5"/>
    <w:rsid w:val="001F05B5"/>
    <w:rsid w:val="001F07DC"/>
    <w:rsid w:val="001F0B66"/>
    <w:rsid w:val="001F11A9"/>
    <w:rsid w:val="001F1486"/>
    <w:rsid w:val="001F178E"/>
    <w:rsid w:val="001F1BE8"/>
    <w:rsid w:val="001F1C82"/>
    <w:rsid w:val="001F1D1C"/>
    <w:rsid w:val="001F1D25"/>
    <w:rsid w:val="001F227D"/>
    <w:rsid w:val="001F227E"/>
    <w:rsid w:val="001F2313"/>
    <w:rsid w:val="001F2B5E"/>
    <w:rsid w:val="001F2C14"/>
    <w:rsid w:val="001F3056"/>
    <w:rsid w:val="001F3188"/>
    <w:rsid w:val="001F3336"/>
    <w:rsid w:val="001F333D"/>
    <w:rsid w:val="001F365B"/>
    <w:rsid w:val="001F3B61"/>
    <w:rsid w:val="001F3F58"/>
    <w:rsid w:val="001F441C"/>
    <w:rsid w:val="001F45A9"/>
    <w:rsid w:val="001F4B36"/>
    <w:rsid w:val="001F4EF6"/>
    <w:rsid w:val="001F5009"/>
    <w:rsid w:val="001F56BB"/>
    <w:rsid w:val="001F59C2"/>
    <w:rsid w:val="001F5CF9"/>
    <w:rsid w:val="001F5FBB"/>
    <w:rsid w:val="001F61A2"/>
    <w:rsid w:val="001F6A3E"/>
    <w:rsid w:val="001F7285"/>
    <w:rsid w:val="001F77C4"/>
    <w:rsid w:val="002000D6"/>
    <w:rsid w:val="0020026F"/>
    <w:rsid w:val="002002E1"/>
    <w:rsid w:val="00200373"/>
    <w:rsid w:val="0020080D"/>
    <w:rsid w:val="00200D5C"/>
    <w:rsid w:val="00200DC5"/>
    <w:rsid w:val="002013ED"/>
    <w:rsid w:val="002015A8"/>
    <w:rsid w:val="00201964"/>
    <w:rsid w:val="002019D3"/>
    <w:rsid w:val="00201D27"/>
    <w:rsid w:val="00201DE1"/>
    <w:rsid w:val="00201FE3"/>
    <w:rsid w:val="002020D6"/>
    <w:rsid w:val="00202513"/>
    <w:rsid w:val="00202565"/>
    <w:rsid w:val="00202619"/>
    <w:rsid w:val="00202B27"/>
    <w:rsid w:val="00202C54"/>
    <w:rsid w:val="00202EFC"/>
    <w:rsid w:val="00203392"/>
    <w:rsid w:val="00203827"/>
    <w:rsid w:val="0020474F"/>
    <w:rsid w:val="0020488E"/>
    <w:rsid w:val="002055A2"/>
    <w:rsid w:val="00205608"/>
    <w:rsid w:val="00205CEB"/>
    <w:rsid w:val="00205EB5"/>
    <w:rsid w:val="00206424"/>
    <w:rsid w:val="0020649B"/>
    <w:rsid w:val="00206677"/>
    <w:rsid w:val="002068CA"/>
    <w:rsid w:val="00206B83"/>
    <w:rsid w:val="00206C24"/>
    <w:rsid w:val="00206F5F"/>
    <w:rsid w:val="0020716F"/>
    <w:rsid w:val="002074BF"/>
    <w:rsid w:val="002077F3"/>
    <w:rsid w:val="00207C20"/>
    <w:rsid w:val="00207F53"/>
    <w:rsid w:val="00207FAA"/>
    <w:rsid w:val="00207FF3"/>
    <w:rsid w:val="00210038"/>
    <w:rsid w:val="002100FE"/>
    <w:rsid w:val="002104FF"/>
    <w:rsid w:val="002105EC"/>
    <w:rsid w:val="002105FE"/>
    <w:rsid w:val="00210D42"/>
    <w:rsid w:val="00210E0A"/>
    <w:rsid w:val="00211079"/>
    <w:rsid w:val="00211245"/>
    <w:rsid w:val="002112FB"/>
    <w:rsid w:val="0021190C"/>
    <w:rsid w:val="002121A8"/>
    <w:rsid w:val="00212B75"/>
    <w:rsid w:val="0021310F"/>
    <w:rsid w:val="002131C8"/>
    <w:rsid w:val="0021361E"/>
    <w:rsid w:val="002137E8"/>
    <w:rsid w:val="002138B6"/>
    <w:rsid w:val="00213975"/>
    <w:rsid w:val="00213B13"/>
    <w:rsid w:val="00213BDD"/>
    <w:rsid w:val="00213BF7"/>
    <w:rsid w:val="002145C5"/>
    <w:rsid w:val="00214622"/>
    <w:rsid w:val="00214846"/>
    <w:rsid w:val="00214AD8"/>
    <w:rsid w:val="00214B72"/>
    <w:rsid w:val="00214DA6"/>
    <w:rsid w:val="002150D3"/>
    <w:rsid w:val="00215272"/>
    <w:rsid w:val="00215616"/>
    <w:rsid w:val="00215AE7"/>
    <w:rsid w:val="00215BEA"/>
    <w:rsid w:val="00215F12"/>
    <w:rsid w:val="00216022"/>
    <w:rsid w:val="002169C6"/>
    <w:rsid w:val="002174F9"/>
    <w:rsid w:val="00217568"/>
    <w:rsid w:val="00217686"/>
    <w:rsid w:val="00217695"/>
    <w:rsid w:val="00217794"/>
    <w:rsid w:val="00217899"/>
    <w:rsid w:val="00217B8D"/>
    <w:rsid w:val="00220195"/>
    <w:rsid w:val="00220498"/>
    <w:rsid w:val="00220679"/>
    <w:rsid w:val="00220A51"/>
    <w:rsid w:val="00220AAF"/>
    <w:rsid w:val="00220DE7"/>
    <w:rsid w:val="00220EE9"/>
    <w:rsid w:val="002214E9"/>
    <w:rsid w:val="00221764"/>
    <w:rsid w:val="00221B82"/>
    <w:rsid w:val="00221FB8"/>
    <w:rsid w:val="00221FDB"/>
    <w:rsid w:val="002224C3"/>
    <w:rsid w:val="00222B6F"/>
    <w:rsid w:val="0022302D"/>
    <w:rsid w:val="00223372"/>
    <w:rsid w:val="00223612"/>
    <w:rsid w:val="00223637"/>
    <w:rsid w:val="00223787"/>
    <w:rsid w:val="00223D90"/>
    <w:rsid w:val="00223DF7"/>
    <w:rsid w:val="00223FC2"/>
    <w:rsid w:val="00224040"/>
    <w:rsid w:val="002241F2"/>
    <w:rsid w:val="002245E3"/>
    <w:rsid w:val="00224682"/>
    <w:rsid w:val="0022468A"/>
    <w:rsid w:val="00224745"/>
    <w:rsid w:val="002247FE"/>
    <w:rsid w:val="00224A34"/>
    <w:rsid w:val="00224AAF"/>
    <w:rsid w:val="00224FAD"/>
    <w:rsid w:val="0022502B"/>
    <w:rsid w:val="00225231"/>
    <w:rsid w:val="0022530D"/>
    <w:rsid w:val="00225734"/>
    <w:rsid w:val="002258C2"/>
    <w:rsid w:val="00225AAC"/>
    <w:rsid w:val="00226015"/>
    <w:rsid w:val="0022606A"/>
    <w:rsid w:val="00226756"/>
    <w:rsid w:val="00226E89"/>
    <w:rsid w:val="00226ED2"/>
    <w:rsid w:val="002270BA"/>
    <w:rsid w:val="00227298"/>
    <w:rsid w:val="00227356"/>
    <w:rsid w:val="002277E4"/>
    <w:rsid w:val="002279D0"/>
    <w:rsid w:val="00227F31"/>
    <w:rsid w:val="0023030B"/>
    <w:rsid w:val="00230319"/>
    <w:rsid w:val="002304D1"/>
    <w:rsid w:val="0023094F"/>
    <w:rsid w:val="00230A29"/>
    <w:rsid w:val="00230B57"/>
    <w:rsid w:val="002314B1"/>
    <w:rsid w:val="00231729"/>
    <w:rsid w:val="00231754"/>
    <w:rsid w:val="002318D6"/>
    <w:rsid w:val="00231ECB"/>
    <w:rsid w:val="002323C0"/>
    <w:rsid w:val="002324ED"/>
    <w:rsid w:val="002327F0"/>
    <w:rsid w:val="00232CE3"/>
    <w:rsid w:val="00232E8C"/>
    <w:rsid w:val="0023323B"/>
    <w:rsid w:val="0023327D"/>
    <w:rsid w:val="0023354C"/>
    <w:rsid w:val="00233630"/>
    <w:rsid w:val="0023392C"/>
    <w:rsid w:val="00233CD8"/>
    <w:rsid w:val="0023417F"/>
    <w:rsid w:val="00234478"/>
    <w:rsid w:val="002345FD"/>
    <w:rsid w:val="002346F8"/>
    <w:rsid w:val="00234A63"/>
    <w:rsid w:val="00234B85"/>
    <w:rsid w:val="00234E5C"/>
    <w:rsid w:val="00234E9A"/>
    <w:rsid w:val="0023504B"/>
    <w:rsid w:val="00235637"/>
    <w:rsid w:val="002356B1"/>
    <w:rsid w:val="002358C5"/>
    <w:rsid w:val="00235B73"/>
    <w:rsid w:val="00236071"/>
    <w:rsid w:val="0023610D"/>
    <w:rsid w:val="002364FB"/>
    <w:rsid w:val="00236655"/>
    <w:rsid w:val="00236672"/>
    <w:rsid w:val="00236846"/>
    <w:rsid w:val="00236890"/>
    <w:rsid w:val="00236E3D"/>
    <w:rsid w:val="00237367"/>
    <w:rsid w:val="0023780A"/>
    <w:rsid w:val="00237856"/>
    <w:rsid w:val="00237E83"/>
    <w:rsid w:val="00237FF4"/>
    <w:rsid w:val="0024017E"/>
    <w:rsid w:val="0024021B"/>
    <w:rsid w:val="002402AB"/>
    <w:rsid w:val="00240685"/>
    <w:rsid w:val="00240D7E"/>
    <w:rsid w:val="00241107"/>
    <w:rsid w:val="0024110C"/>
    <w:rsid w:val="0024113D"/>
    <w:rsid w:val="002411B2"/>
    <w:rsid w:val="002416E1"/>
    <w:rsid w:val="00241AFC"/>
    <w:rsid w:val="00241BC3"/>
    <w:rsid w:val="00241C4F"/>
    <w:rsid w:val="00242034"/>
    <w:rsid w:val="002422F6"/>
    <w:rsid w:val="00242415"/>
    <w:rsid w:val="00242586"/>
    <w:rsid w:val="002426F8"/>
    <w:rsid w:val="002427EA"/>
    <w:rsid w:val="00242CBC"/>
    <w:rsid w:val="00242F68"/>
    <w:rsid w:val="00243186"/>
    <w:rsid w:val="00243218"/>
    <w:rsid w:val="00243328"/>
    <w:rsid w:val="00243818"/>
    <w:rsid w:val="00243E7F"/>
    <w:rsid w:val="0024426C"/>
    <w:rsid w:val="0024427D"/>
    <w:rsid w:val="00244489"/>
    <w:rsid w:val="00244750"/>
    <w:rsid w:val="00244BF0"/>
    <w:rsid w:val="00244DA7"/>
    <w:rsid w:val="00244E16"/>
    <w:rsid w:val="0024505D"/>
    <w:rsid w:val="002459E2"/>
    <w:rsid w:val="00246026"/>
    <w:rsid w:val="002463C5"/>
    <w:rsid w:val="00246DF8"/>
    <w:rsid w:val="00246E29"/>
    <w:rsid w:val="00247202"/>
    <w:rsid w:val="002478C6"/>
    <w:rsid w:val="00247B4F"/>
    <w:rsid w:val="00247DFA"/>
    <w:rsid w:val="002500DD"/>
    <w:rsid w:val="0025058B"/>
    <w:rsid w:val="002507DB"/>
    <w:rsid w:val="00250939"/>
    <w:rsid w:val="00250CB0"/>
    <w:rsid w:val="00250CD0"/>
    <w:rsid w:val="00250D1C"/>
    <w:rsid w:val="00250EFC"/>
    <w:rsid w:val="00251A71"/>
    <w:rsid w:val="00251C62"/>
    <w:rsid w:val="00251CA1"/>
    <w:rsid w:val="00251CEC"/>
    <w:rsid w:val="0025212D"/>
    <w:rsid w:val="002524AE"/>
    <w:rsid w:val="00252705"/>
    <w:rsid w:val="002529EB"/>
    <w:rsid w:val="00252C50"/>
    <w:rsid w:val="00252F61"/>
    <w:rsid w:val="00253ED2"/>
    <w:rsid w:val="002540EF"/>
    <w:rsid w:val="00254A86"/>
    <w:rsid w:val="00254E42"/>
    <w:rsid w:val="00254F32"/>
    <w:rsid w:val="00254FEA"/>
    <w:rsid w:val="00255210"/>
    <w:rsid w:val="00255457"/>
    <w:rsid w:val="00256272"/>
    <w:rsid w:val="00256912"/>
    <w:rsid w:val="00256AD8"/>
    <w:rsid w:val="00257212"/>
    <w:rsid w:val="00257438"/>
    <w:rsid w:val="002608D5"/>
    <w:rsid w:val="002608DD"/>
    <w:rsid w:val="002609D2"/>
    <w:rsid w:val="00260B55"/>
    <w:rsid w:val="00260BE1"/>
    <w:rsid w:val="00261186"/>
    <w:rsid w:val="0026127F"/>
    <w:rsid w:val="00261417"/>
    <w:rsid w:val="00261A3A"/>
    <w:rsid w:val="002621D0"/>
    <w:rsid w:val="0026229E"/>
    <w:rsid w:val="00262550"/>
    <w:rsid w:val="002627C0"/>
    <w:rsid w:val="00263116"/>
    <w:rsid w:val="0026360F"/>
    <w:rsid w:val="00263A1B"/>
    <w:rsid w:val="00263A84"/>
    <w:rsid w:val="00263A92"/>
    <w:rsid w:val="00263C81"/>
    <w:rsid w:val="00265543"/>
    <w:rsid w:val="00265607"/>
    <w:rsid w:val="0026578D"/>
    <w:rsid w:val="00265DCC"/>
    <w:rsid w:val="00265DF5"/>
    <w:rsid w:val="00265E19"/>
    <w:rsid w:val="00266718"/>
    <w:rsid w:val="00266967"/>
    <w:rsid w:val="002669BB"/>
    <w:rsid w:val="00267385"/>
    <w:rsid w:val="00267AC8"/>
    <w:rsid w:val="00267BA8"/>
    <w:rsid w:val="00267E61"/>
    <w:rsid w:val="002701E6"/>
    <w:rsid w:val="002702AA"/>
    <w:rsid w:val="002703A3"/>
    <w:rsid w:val="002708DF"/>
    <w:rsid w:val="0027109A"/>
    <w:rsid w:val="0027145F"/>
    <w:rsid w:val="00271595"/>
    <w:rsid w:val="0027177B"/>
    <w:rsid w:val="00271854"/>
    <w:rsid w:val="00271EE4"/>
    <w:rsid w:val="0027257E"/>
    <w:rsid w:val="00272A52"/>
    <w:rsid w:val="00272F54"/>
    <w:rsid w:val="00272F93"/>
    <w:rsid w:val="002732E1"/>
    <w:rsid w:val="00273EBD"/>
    <w:rsid w:val="0027409F"/>
    <w:rsid w:val="002742C3"/>
    <w:rsid w:val="00274BE3"/>
    <w:rsid w:val="00274C27"/>
    <w:rsid w:val="002751B4"/>
    <w:rsid w:val="0027531B"/>
    <w:rsid w:val="002753DF"/>
    <w:rsid w:val="00275573"/>
    <w:rsid w:val="00275574"/>
    <w:rsid w:val="002758E8"/>
    <w:rsid w:val="002758EA"/>
    <w:rsid w:val="00275990"/>
    <w:rsid w:val="00275A53"/>
    <w:rsid w:val="00275B3E"/>
    <w:rsid w:val="00275BB3"/>
    <w:rsid w:val="00275D5B"/>
    <w:rsid w:val="002763BE"/>
    <w:rsid w:val="00276582"/>
    <w:rsid w:val="0027790C"/>
    <w:rsid w:val="00277FE3"/>
    <w:rsid w:val="00280779"/>
    <w:rsid w:val="00280F47"/>
    <w:rsid w:val="00281682"/>
    <w:rsid w:val="00281685"/>
    <w:rsid w:val="00281A3C"/>
    <w:rsid w:val="00281D61"/>
    <w:rsid w:val="0028274B"/>
    <w:rsid w:val="00282A2E"/>
    <w:rsid w:val="00282A4C"/>
    <w:rsid w:val="00282A63"/>
    <w:rsid w:val="00282DF7"/>
    <w:rsid w:val="002830A5"/>
    <w:rsid w:val="00283682"/>
    <w:rsid w:val="002838FF"/>
    <w:rsid w:val="0028396B"/>
    <w:rsid w:val="00283972"/>
    <w:rsid w:val="00283992"/>
    <w:rsid w:val="00284194"/>
    <w:rsid w:val="002847A5"/>
    <w:rsid w:val="00284CAD"/>
    <w:rsid w:val="002855CC"/>
    <w:rsid w:val="00285D5A"/>
    <w:rsid w:val="00286169"/>
    <w:rsid w:val="002863C4"/>
    <w:rsid w:val="002867E4"/>
    <w:rsid w:val="00286A0C"/>
    <w:rsid w:val="00286D82"/>
    <w:rsid w:val="00286E5D"/>
    <w:rsid w:val="00287DD9"/>
    <w:rsid w:val="00287DF9"/>
    <w:rsid w:val="00290259"/>
    <w:rsid w:val="00290896"/>
    <w:rsid w:val="0029097F"/>
    <w:rsid w:val="002909EA"/>
    <w:rsid w:val="00290B72"/>
    <w:rsid w:val="00290DB7"/>
    <w:rsid w:val="002910B1"/>
    <w:rsid w:val="00291600"/>
    <w:rsid w:val="00291AA4"/>
    <w:rsid w:val="00291B38"/>
    <w:rsid w:val="002921E8"/>
    <w:rsid w:val="002922A6"/>
    <w:rsid w:val="002925B1"/>
    <w:rsid w:val="002927F2"/>
    <w:rsid w:val="002929DE"/>
    <w:rsid w:val="00292ABB"/>
    <w:rsid w:val="00292B27"/>
    <w:rsid w:val="00292B6D"/>
    <w:rsid w:val="00292BA6"/>
    <w:rsid w:val="00292C3F"/>
    <w:rsid w:val="002939BD"/>
    <w:rsid w:val="00293C7B"/>
    <w:rsid w:val="00293E82"/>
    <w:rsid w:val="00294623"/>
    <w:rsid w:val="00294880"/>
    <w:rsid w:val="002948F1"/>
    <w:rsid w:val="0029503C"/>
    <w:rsid w:val="00295065"/>
    <w:rsid w:val="002950E7"/>
    <w:rsid w:val="002951F2"/>
    <w:rsid w:val="002955E1"/>
    <w:rsid w:val="002959C2"/>
    <w:rsid w:val="002959D5"/>
    <w:rsid w:val="00295A16"/>
    <w:rsid w:val="00295BAD"/>
    <w:rsid w:val="00295BCD"/>
    <w:rsid w:val="00295C5C"/>
    <w:rsid w:val="00295D47"/>
    <w:rsid w:val="00296849"/>
    <w:rsid w:val="00296D9F"/>
    <w:rsid w:val="00296F2B"/>
    <w:rsid w:val="00297002"/>
    <w:rsid w:val="00297082"/>
    <w:rsid w:val="0029720A"/>
    <w:rsid w:val="00297254"/>
    <w:rsid w:val="00297743"/>
    <w:rsid w:val="00297F74"/>
    <w:rsid w:val="002A0845"/>
    <w:rsid w:val="002A13B3"/>
    <w:rsid w:val="002A1492"/>
    <w:rsid w:val="002A153B"/>
    <w:rsid w:val="002A1624"/>
    <w:rsid w:val="002A17D4"/>
    <w:rsid w:val="002A1B67"/>
    <w:rsid w:val="002A1E36"/>
    <w:rsid w:val="002A1F63"/>
    <w:rsid w:val="002A277A"/>
    <w:rsid w:val="002A2852"/>
    <w:rsid w:val="002A2D05"/>
    <w:rsid w:val="002A3215"/>
    <w:rsid w:val="002A3939"/>
    <w:rsid w:val="002A3CCF"/>
    <w:rsid w:val="002A3D72"/>
    <w:rsid w:val="002A3D85"/>
    <w:rsid w:val="002A3E5C"/>
    <w:rsid w:val="002A3F65"/>
    <w:rsid w:val="002A4150"/>
    <w:rsid w:val="002A4164"/>
    <w:rsid w:val="002A419F"/>
    <w:rsid w:val="002A4483"/>
    <w:rsid w:val="002A4C0D"/>
    <w:rsid w:val="002A4D20"/>
    <w:rsid w:val="002A4ED7"/>
    <w:rsid w:val="002A4F19"/>
    <w:rsid w:val="002A50CF"/>
    <w:rsid w:val="002A55EE"/>
    <w:rsid w:val="002A5AD5"/>
    <w:rsid w:val="002A5F80"/>
    <w:rsid w:val="002A6520"/>
    <w:rsid w:val="002A6818"/>
    <w:rsid w:val="002A6845"/>
    <w:rsid w:val="002A69D6"/>
    <w:rsid w:val="002A708F"/>
    <w:rsid w:val="002A71D0"/>
    <w:rsid w:val="002A7817"/>
    <w:rsid w:val="002A7CA1"/>
    <w:rsid w:val="002A7CCA"/>
    <w:rsid w:val="002A7FB6"/>
    <w:rsid w:val="002B009E"/>
    <w:rsid w:val="002B024D"/>
    <w:rsid w:val="002B034E"/>
    <w:rsid w:val="002B0384"/>
    <w:rsid w:val="002B060F"/>
    <w:rsid w:val="002B0695"/>
    <w:rsid w:val="002B07F6"/>
    <w:rsid w:val="002B0C08"/>
    <w:rsid w:val="002B112C"/>
    <w:rsid w:val="002B1444"/>
    <w:rsid w:val="002B1A96"/>
    <w:rsid w:val="002B1F29"/>
    <w:rsid w:val="002B2B5F"/>
    <w:rsid w:val="002B2B7B"/>
    <w:rsid w:val="002B2B9E"/>
    <w:rsid w:val="002B2D2F"/>
    <w:rsid w:val="002B2F76"/>
    <w:rsid w:val="002B31C5"/>
    <w:rsid w:val="002B320F"/>
    <w:rsid w:val="002B3344"/>
    <w:rsid w:val="002B3965"/>
    <w:rsid w:val="002B48D1"/>
    <w:rsid w:val="002B4A0A"/>
    <w:rsid w:val="002B4B34"/>
    <w:rsid w:val="002B4C7F"/>
    <w:rsid w:val="002B4C9C"/>
    <w:rsid w:val="002B5082"/>
    <w:rsid w:val="002B51EE"/>
    <w:rsid w:val="002B5380"/>
    <w:rsid w:val="002B57F3"/>
    <w:rsid w:val="002B5A18"/>
    <w:rsid w:val="002B66AB"/>
    <w:rsid w:val="002B6AA4"/>
    <w:rsid w:val="002B6AB4"/>
    <w:rsid w:val="002B7085"/>
    <w:rsid w:val="002B7149"/>
    <w:rsid w:val="002B71D4"/>
    <w:rsid w:val="002B74A6"/>
    <w:rsid w:val="002B77A6"/>
    <w:rsid w:val="002B7BAB"/>
    <w:rsid w:val="002C0251"/>
    <w:rsid w:val="002C03B8"/>
    <w:rsid w:val="002C056A"/>
    <w:rsid w:val="002C0AD9"/>
    <w:rsid w:val="002C0F55"/>
    <w:rsid w:val="002C17AB"/>
    <w:rsid w:val="002C17DD"/>
    <w:rsid w:val="002C1988"/>
    <w:rsid w:val="002C1CFC"/>
    <w:rsid w:val="002C213C"/>
    <w:rsid w:val="002C24A3"/>
    <w:rsid w:val="002C274B"/>
    <w:rsid w:val="002C2A35"/>
    <w:rsid w:val="002C2B9D"/>
    <w:rsid w:val="002C2C28"/>
    <w:rsid w:val="002C3065"/>
    <w:rsid w:val="002C33F5"/>
    <w:rsid w:val="002C3938"/>
    <w:rsid w:val="002C3C48"/>
    <w:rsid w:val="002C3C7E"/>
    <w:rsid w:val="002C4373"/>
    <w:rsid w:val="002C4385"/>
    <w:rsid w:val="002C48C9"/>
    <w:rsid w:val="002C4B3F"/>
    <w:rsid w:val="002C4B7D"/>
    <w:rsid w:val="002C543F"/>
    <w:rsid w:val="002C5745"/>
    <w:rsid w:val="002C5A63"/>
    <w:rsid w:val="002C5B22"/>
    <w:rsid w:val="002C5DC2"/>
    <w:rsid w:val="002C5DE2"/>
    <w:rsid w:val="002C6336"/>
    <w:rsid w:val="002C662C"/>
    <w:rsid w:val="002C6CAE"/>
    <w:rsid w:val="002C7461"/>
    <w:rsid w:val="002C7585"/>
    <w:rsid w:val="002C7B4A"/>
    <w:rsid w:val="002D098A"/>
    <w:rsid w:val="002D0AD8"/>
    <w:rsid w:val="002D1511"/>
    <w:rsid w:val="002D19D6"/>
    <w:rsid w:val="002D1C4E"/>
    <w:rsid w:val="002D1F0E"/>
    <w:rsid w:val="002D1FA8"/>
    <w:rsid w:val="002D2593"/>
    <w:rsid w:val="002D271E"/>
    <w:rsid w:val="002D2929"/>
    <w:rsid w:val="002D2932"/>
    <w:rsid w:val="002D2AE8"/>
    <w:rsid w:val="002D2BBC"/>
    <w:rsid w:val="002D2BF6"/>
    <w:rsid w:val="002D2E8E"/>
    <w:rsid w:val="002D2EA6"/>
    <w:rsid w:val="002D30B2"/>
    <w:rsid w:val="002D340E"/>
    <w:rsid w:val="002D3D7F"/>
    <w:rsid w:val="002D3F25"/>
    <w:rsid w:val="002D3F8B"/>
    <w:rsid w:val="002D3F90"/>
    <w:rsid w:val="002D4021"/>
    <w:rsid w:val="002D4070"/>
    <w:rsid w:val="002D46C3"/>
    <w:rsid w:val="002D4BA4"/>
    <w:rsid w:val="002D4D1E"/>
    <w:rsid w:val="002D5095"/>
    <w:rsid w:val="002D5303"/>
    <w:rsid w:val="002D5824"/>
    <w:rsid w:val="002D5996"/>
    <w:rsid w:val="002D5A46"/>
    <w:rsid w:val="002D5BDB"/>
    <w:rsid w:val="002D5EE2"/>
    <w:rsid w:val="002D6231"/>
    <w:rsid w:val="002D62EF"/>
    <w:rsid w:val="002D6350"/>
    <w:rsid w:val="002D6426"/>
    <w:rsid w:val="002D65A7"/>
    <w:rsid w:val="002D6856"/>
    <w:rsid w:val="002D68AA"/>
    <w:rsid w:val="002D70B2"/>
    <w:rsid w:val="002D70CF"/>
    <w:rsid w:val="002D754A"/>
    <w:rsid w:val="002D7581"/>
    <w:rsid w:val="002D7F3E"/>
    <w:rsid w:val="002E0495"/>
    <w:rsid w:val="002E04C8"/>
    <w:rsid w:val="002E0679"/>
    <w:rsid w:val="002E094B"/>
    <w:rsid w:val="002E2129"/>
    <w:rsid w:val="002E26C7"/>
    <w:rsid w:val="002E298A"/>
    <w:rsid w:val="002E2B29"/>
    <w:rsid w:val="002E2C98"/>
    <w:rsid w:val="002E2D04"/>
    <w:rsid w:val="002E2D77"/>
    <w:rsid w:val="002E34BE"/>
    <w:rsid w:val="002E34F1"/>
    <w:rsid w:val="002E3A7D"/>
    <w:rsid w:val="002E3DB6"/>
    <w:rsid w:val="002E3ECC"/>
    <w:rsid w:val="002E3F72"/>
    <w:rsid w:val="002E4457"/>
    <w:rsid w:val="002E48A2"/>
    <w:rsid w:val="002E4A00"/>
    <w:rsid w:val="002E4AAB"/>
    <w:rsid w:val="002E4CBF"/>
    <w:rsid w:val="002E4E9B"/>
    <w:rsid w:val="002E5384"/>
    <w:rsid w:val="002E5776"/>
    <w:rsid w:val="002E5799"/>
    <w:rsid w:val="002E5CBE"/>
    <w:rsid w:val="002E6125"/>
    <w:rsid w:val="002E61DB"/>
    <w:rsid w:val="002E6BE5"/>
    <w:rsid w:val="002E6E6F"/>
    <w:rsid w:val="002E71DE"/>
    <w:rsid w:val="002E7428"/>
    <w:rsid w:val="002E78E3"/>
    <w:rsid w:val="002E7B49"/>
    <w:rsid w:val="002E7C07"/>
    <w:rsid w:val="002E7D99"/>
    <w:rsid w:val="002F00C4"/>
    <w:rsid w:val="002F0180"/>
    <w:rsid w:val="002F0190"/>
    <w:rsid w:val="002F02C2"/>
    <w:rsid w:val="002F09E2"/>
    <w:rsid w:val="002F157D"/>
    <w:rsid w:val="002F1B1B"/>
    <w:rsid w:val="002F1BA0"/>
    <w:rsid w:val="002F1DD7"/>
    <w:rsid w:val="002F1FC0"/>
    <w:rsid w:val="002F2149"/>
    <w:rsid w:val="002F23C5"/>
    <w:rsid w:val="002F2740"/>
    <w:rsid w:val="002F276C"/>
    <w:rsid w:val="002F2804"/>
    <w:rsid w:val="002F2968"/>
    <w:rsid w:val="002F2E2E"/>
    <w:rsid w:val="002F3189"/>
    <w:rsid w:val="002F3360"/>
    <w:rsid w:val="002F3371"/>
    <w:rsid w:val="002F477D"/>
    <w:rsid w:val="002F4810"/>
    <w:rsid w:val="002F4E8E"/>
    <w:rsid w:val="002F53D6"/>
    <w:rsid w:val="002F5D35"/>
    <w:rsid w:val="002F65B6"/>
    <w:rsid w:val="002F679D"/>
    <w:rsid w:val="002F6E5D"/>
    <w:rsid w:val="002F7014"/>
    <w:rsid w:val="002F736F"/>
    <w:rsid w:val="002F7AC2"/>
    <w:rsid w:val="002F7C77"/>
    <w:rsid w:val="002F7CBD"/>
    <w:rsid w:val="002F7D0E"/>
    <w:rsid w:val="002F7DB2"/>
    <w:rsid w:val="00300433"/>
    <w:rsid w:val="003004C9"/>
    <w:rsid w:val="00300619"/>
    <w:rsid w:val="003006D9"/>
    <w:rsid w:val="003008DB"/>
    <w:rsid w:val="00300A81"/>
    <w:rsid w:val="00300D69"/>
    <w:rsid w:val="0030101D"/>
    <w:rsid w:val="0030138D"/>
    <w:rsid w:val="00301A7F"/>
    <w:rsid w:val="00301BC1"/>
    <w:rsid w:val="00301E6B"/>
    <w:rsid w:val="00302065"/>
    <w:rsid w:val="003020BC"/>
    <w:rsid w:val="003021E0"/>
    <w:rsid w:val="0030230C"/>
    <w:rsid w:val="00302CDF"/>
    <w:rsid w:val="00302E87"/>
    <w:rsid w:val="00303153"/>
    <w:rsid w:val="003031FA"/>
    <w:rsid w:val="003042A3"/>
    <w:rsid w:val="003043B4"/>
    <w:rsid w:val="00304461"/>
    <w:rsid w:val="003048AF"/>
    <w:rsid w:val="003048C6"/>
    <w:rsid w:val="0030493D"/>
    <w:rsid w:val="0030499C"/>
    <w:rsid w:val="00304E67"/>
    <w:rsid w:val="00304E6C"/>
    <w:rsid w:val="00304E8D"/>
    <w:rsid w:val="00305284"/>
    <w:rsid w:val="003052C7"/>
    <w:rsid w:val="0030564B"/>
    <w:rsid w:val="0030568C"/>
    <w:rsid w:val="0030598A"/>
    <w:rsid w:val="00305BAD"/>
    <w:rsid w:val="003060DE"/>
    <w:rsid w:val="00306151"/>
    <w:rsid w:val="0030623E"/>
    <w:rsid w:val="0030639A"/>
    <w:rsid w:val="003064C4"/>
    <w:rsid w:val="0030660E"/>
    <w:rsid w:val="003067FA"/>
    <w:rsid w:val="00306E1B"/>
    <w:rsid w:val="00306FF6"/>
    <w:rsid w:val="003076EC"/>
    <w:rsid w:val="0030770C"/>
    <w:rsid w:val="00307877"/>
    <w:rsid w:val="00307D0E"/>
    <w:rsid w:val="00307F1B"/>
    <w:rsid w:val="00310081"/>
    <w:rsid w:val="003101E9"/>
    <w:rsid w:val="00310289"/>
    <w:rsid w:val="0031040C"/>
    <w:rsid w:val="0031056B"/>
    <w:rsid w:val="00310703"/>
    <w:rsid w:val="00310AA4"/>
    <w:rsid w:val="00310C47"/>
    <w:rsid w:val="003111F1"/>
    <w:rsid w:val="003114B1"/>
    <w:rsid w:val="00312576"/>
    <w:rsid w:val="00312816"/>
    <w:rsid w:val="00312869"/>
    <w:rsid w:val="0031332C"/>
    <w:rsid w:val="003136E2"/>
    <w:rsid w:val="00313889"/>
    <w:rsid w:val="00313977"/>
    <w:rsid w:val="003139A8"/>
    <w:rsid w:val="00313B56"/>
    <w:rsid w:val="00313BD3"/>
    <w:rsid w:val="00313F35"/>
    <w:rsid w:val="00313FF9"/>
    <w:rsid w:val="0031427E"/>
    <w:rsid w:val="00314536"/>
    <w:rsid w:val="00314993"/>
    <w:rsid w:val="00314C9A"/>
    <w:rsid w:val="00314CCA"/>
    <w:rsid w:val="00314CD2"/>
    <w:rsid w:val="0031540F"/>
    <w:rsid w:val="003155A4"/>
    <w:rsid w:val="003158CF"/>
    <w:rsid w:val="00315E68"/>
    <w:rsid w:val="0031604E"/>
    <w:rsid w:val="00316B94"/>
    <w:rsid w:val="00316E9A"/>
    <w:rsid w:val="00317499"/>
    <w:rsid w:val="0031762D"/>
    <w:rsid w:val="00317A39"/>
    <w:rsid w:val="0032020C"/>
    <w:rsid w:val="0032021F"/>
    <w:rsid w:val="003203E8"/>
    <w:rsid w:val="00320A6D"/>
    <w:rsid w:val="00320E22"/>
    <w:rsid w:val="003213B4"/>
    <w:rsid w:val="00321F4F"/>
    <w:rsid w:val="00321FE7"/>
    <w:rsid w:val="003221DF"/>
    <w:rsid w:val="003221FD"/>
    <w:rsid w:val="0032254A"/>
    <w:rsid w:val="00322649"/>
    <w:rsid w:val="00322660"/>
    <w:rsid w:val="003227C6"/>
    <w:rsid w:val="003227E7"/>
    <w:rsid w:val="003228CE"/>
    <w:rsid w:val="00322BFB"/>
    <w:rsid w:val="0032332C"/>
    <w:rsid w:val="003237AA"/>
    <w:rsid w:val="00323954"/>
    <w:rsid w:val="00323AD8"/>
    <w:rsid w:val="003243C0"/>
    <w:rsid w:val="00324C8C"/>
    <w:rsid w:val="00324DB1"/>
    <w:rsid w:val="003250E7"/>
    <w:rsid w:val="003251F2"/>
    <w:rsid w:val="0032532D"/>
    <w:rsid w:val="00325424"/>
    <w:rsid w:val="0032567A"/>
    <w:rsid w:val="003257A3"/>
    <w:rsid w:val="00325994"/>
    <w:rsid w:val="003259F3"/>
    <w:rsid w:val="00325CFE"/>
    <w:rsid w:val="00325EF6"/>
    <w:rsid w:val="0032604C"/>
    <w:rsid w:val="00326AB5"/>
    <w:rsid w:val="00326DC5"/>
    <w:rsid w:val="0032706C"/>
    <w:rsid w:val="00327688"/>
    <w:rsid w:val="003278D2"/>
    <w:rsid w:val="00327992"/>
    <w:rsid w:val="00327FAA"/>
    <w:rsid w:val="00330088"/>
    <w:rsid w:val="0033048D"/>
    <w:rsid w:val="00330599"/>
    <w:rsid w:val="00330750"/>
    <w:rsid w:val="00330982"/>
    <w:rsid w:val="00330D17"/>
    <w:rsid w:val="00330EBC"/>
    <w:rsid w:val="00330FA7"/>
    <w:rsid w:val="003312B4"/>
    <w:rsid w:val="00331568"/>
    <w:rsid w:val="00331A6F"/>
    <w:rsid w:val="00331B26"/>
    <w:rsid w:val="00331B62"/>
    <w:rsid w:val="00331EDD"/>
    <w:rsid w:val="00332048"/>
    <w:rsid w:val="0033229E"/>
    <w:rsid w:val="00332A04"/>
    <w:rsid w:val="003331FA"/>
    <w:rsid w:val="00333274"/>
    <w:rsid w:val="003335A0"/>
    <w:rsid w:val="0033369C"/>
    <w:rsid w:val="00333736"/>
    <w:rsid w:val="00333C02"/>
    <w:rsid w:val="00333F25"/>
    <w:rsid w:val="00333F46"/>
    <w:rsid w:val="003346E5"/>
    <w:rsid w:val="003347A9"/>
    <w:rsid w:val="003349D8"/>
    <w:rsid w:val="00334B64"/>
    <w:rsid w:val="00335526"/>
    <w:rsid w:val="0033633D"/>
    <w:rsid w:val="00336358"/>
    <w:rsid w:val="00336483"/>
    <w:rsid w:val="00336492"/>
    <w:rsid w:val="00336505"/>
    <w:rsid w:val="00336630"/>
    <w:rsid w:val="00336687"/>
    <w:rsid w:val="0033679D"/>
    <w:rsid w:val="00336E0D"/>
    <w:rsid w:val="0033738D"/>
    <w:rsid w:val="003373CC"/>
    <w:rsid w:val="00337A3E"/>
    <w:rsid w:val="0034013A"/>
    <w:rsid w:val="0034033A"/>
    <w:rsid w:val="003403EE"/>
    <w:rsid w:val="0034045A"/>
    <w:rsid w:val="003405DD"/>
    <w:rsid w:val="00340832"/>
    <w:rsid w:val="00340834"/>
    <w:rsid w:val="00340C5F"/>
    <w:rsid w:val="00341064"/>
    <w:rsid w:val="003417E9"/>
    <w:rsid w:val="00341B03"/>
    <w:rsid w:val="00341E5D"/>
    <w:rsid w:val="003420CA"/>
    <w:rsid w:val="00342263"/>
    <w:rsid w:val="003422BF"/>
    <w:rsid w:val="003425CC"/>
    <w:rsid w:val="00342687"/>
    <w:rsid w:val="003428BD"/>
    <w:rsid w:val="00342E5C"/>
    <w:rsid w:val="00342F05"/>
    <w:rsid w:val="00342FD4"/>
    <w:rsid w:val="00342FDE"/>
    <w:rsid w:val="0034305D"/>
    <w:rsid w:val="00343353"/>
    <w:rsid w:val="003436B0"/>
    <w:rsid w:val="0034377E"/>
    <w:rsid w:val="003437F5"/>
    <w:rsid w:val="00343AD9"/>
    <w:rsid w:val="00343F54"/>
    <w:rsid w:val="00343F82"/>
    <w:rsid w:val="00344326"/>
    <w:rsid w:val="00344526"/>
    <w:rsid w:val="00344643"/>
    <w:rsid w:val="003447A7"/>
    <w:rsid w:val="003448CA"/>
    <w:rsid w:val="00344A15"/>
    <w:rsid w:val="00344E4C"/>
    <w:rsid w:val="00344ED5"/>
    <w:rsid w:val="0034512B"/>
    <w:rsid w:val="00345246"/>
    <w:rsid w:val="003452AD"/>
    <w:rsid w:val="00345879"/>
    <w:rsid w:val="003458BA"/>
    <w:rsid w:val="0034594E"/>
    <w:rsid w:val="0034597D"/>
    <w:rsid w:val="003464A2"/>
    <w:rsid w:val="0034696C"/>
    <w:rsid w:val="00346E62"/>
    <w:rsid w:val="00346EAB"/>
    <w:rsid w:val="00346F05"/>
    <w:rsid w:val="0034721A"/>
    <w:rsid w:val="003472D8"/>
    <w:rsid w:val="00347459"/>
    <w:rsid w:val="003474E1"/>
    <w:rsid w:val="003475AD"/>
    <w:rsid w:val="00347623"/>
    <w:rsid w:val="0034762B"/>
    <w:rsid w:val="003477C7"/>
    <w:rsid w:val="003478AF"/>
    <w:rsid w:val="00347EB1"/>
    <w:rsid w:val="0035046E"/>
    <w:rsid w:val="00350488"/>
    <w:rsid w:val="003508D8"/>
    <w:rsid w:val="00350E1E"/>
    <w:rsid w:val="00350E82"/>
    <w:rsid w:val="00350F70"/>
    <w:rsid w:val="003510F0"/>
    <w:rsid w:val="0035122F"/>
    <w:rsid w:val="0035123E"/>
    <w:rsid w:val="00351448"/>
    <w:rsid w:val="003514F8"/>
    <w:rsid w:val="00351831"/>
    <w:rsid w:val="00351E6D"/>
    <w:rsid w:val="00352004"/>
    <w:rsid w:val="0035252C"/>
    <w:rsid w:val="00352AED"/>
    <w:rsid w:val="00353883"/>
    <w:rsid w:val="00353BE0"/>
    <w:rsid w:val="00353BE6"/>
    <w:rsid w:val="003540E3"/>
    <w:rsid w:val="003544B2"/>
    <w:rsid w:val="0035452F"/>
    <w:rsid w:val="00354AAB"/>
    <w:rsid w:val="00354B15"/>
    <w:rsid w:val="00354B31"/>
    <w:rsid w:val="00354B89"/>
    <w:rsid w:val="0035576F"/>
    <w:rsid w:val="003560B9"/>
    <w:rsid w:val="00356311"/>
    <w:rsid w:val="003567EE"/>
    <w:rsid w:val="003568B5"/>
    <w:rsid w:val="00357158"/>
    <w:rsid w:val="003571FB"/>
    <w:rsid w:val="0035739C"/>
    <w:rsid w:val="00357537"/>
    <w:rsid w:val="003575AA"/>
    <w:rsid w:val="003578DF"/>
    <w:rsid w:val="00357C18"/>
    <w:rsid w:val="00357D2D"/>
    <w:rsid w:val="00357FCF"/>
    <w:rsid w:val="0036029B"/>
    <w:rsid w:val="0036116E"/>
    <w:rsid w:val="0036154D"/>
    <w:rsid w:val="00361A93"/>
    <w:rsid w:val="00361BA9"/>
    <w:rsid w:val="00361FEB"/>
    <w:rsid w:val="0036224C"/>
    <w:rsid w:val="003628E8"/>
    <w:rsid w:val="00362E21"/>
    <w:rsid w:val="003632D7"/>
    <w:rsid w:val="00363513"/>
    <w:rsid w:val="00363517"/>
    <w:rsid w:val="003636D5"/>
    <w:rsid w:val="0036397D"/>
    <w:rsid w:val="003639E2"/>
    <w:rsid w:val="00363C83"/>
    <w:rsid w:val="0036498B"/>
    <w:rsid w:val="00364F29"/>
    <w:rsid w:val="003650EC"/>
    <w:rsid w:val="00365324"/>
    <w:rsid w:val="00365A9A"/>
    <w:rsid w:val="00365AF3"/>
    <w:rsid w:val="00365B14"/>
    <w:rsid w:val="00365C71"/>
    <w:rsid w:val="003662B4"/>
    <w:rsid w:val="003663CA"/>
    <w:rsid w:val="0036692C"/>
    <w:rsid w:val="00366BE4"/>
    <w:rsid w:val="003670B6"/>
    <w:rsid w:val="003672A1"/>
    <w:rsid w:val="00367477"/>
    <w:rsid w:val="003674E6"/>
    <w:rsid w:val="0036776C"/>
    <w:rsid w:val="00367A68"/>
    <w:rsid w:val="00367D7F"/>
    <w:rsid w:val="00367F06"/>
    <w:rsid w:val="003703CB"/>
    <w:rsid w:val="0037046A"/>
    <w:rsid w:val="003704B8"/>
    <w:rsid w:val="003705C4"/>
    <w:rsid w:val="003706DD"/>
    <w:rsid w:val="003710AF"/>
    <w:rsid w:val="003711E0"/>
    <w:rsid w:val="00371415"/>
    <w:rsid w:val="003715E7"/>
    <w:rsid w:val="00371A00"/>
    <w:rsid w:val="00372C63"/>
    <w:rsid w:val="00372CCF"/>
    <w:rsid w:val="00372E90"/>
    <w:rsid w:val="00372F83"/>
    <w:rsid w:val="0037363C"/>
    <w:rsid w:val="00373AA5"/>
    <w:rsid w:val="00373D7A"/>
    <w:rsid w:val="00373E91"/>
    <w:rsid w:val="003742B4"/>
    <w:rsid w:val="00374347"/>
    <w:rsid w:val="0037439E"/>
    <w:rsid w:val="00374D82"/>
    <w:rsid w:val="00374E79"/>
    <w:rsid w:val="00375258"/>
    <w:rsid w:val="00375379"/>
    <w:rsid w:val="00375BDC"/>
    <w:rsid w:val="00375D9F"/>
    <w:rsid w:val="00375E40"/>
    <w:rsid w:val="00375E53"/>
    <w:rsid w:val="00375F57"/>
    <w:rsid w:val="003762A6"/>
    <w:rsid w:val="00376526"/>
    <w:rsid w:val="0037675B"/>
    <w:rsid w:val="003769F9"/>
    <w:rsid w:val="00376B70"/>
    <w:rsid w:val="00377269"/>
    <w:rsid w:val="00377343"/>
    <w:rsid w:val="003779F0"/>
    <w:rsid w:val="00377CF2"/>
    <w:rsid w:val="00377D50"/>
    <w:rsid w:val="0038005C"/>
    <w:rsid w:val="00380138"/>
    <w:rsid w:val="003807C3"/>
    <w:rsid w:val="003811A6"/>
    <w:rsid w:val="0038135B"/>
    <w:rsid w:val="00381971"/>
    <w:rsid w:val="00381B8C"/>
    <w:rsid w:val="00381CAB"/>
    <w:rsid w:val="00382033"/>
    <w:rsid w:val="00382964"/>
    <w:rsid w:val="00382A22"/>
    <w:rsid w:val="00382A65"/>
    <w:rsid w:val="00382BBE"/>
    <w:rsid w:val="00382DE8"/>
    <w:rsid w:val="003830D2"/>
    <w:rsid w:val="0038317B"/>
    <w:rsid w:val="0038319C"/>
    <w:rsid w:val="00383454"/>
    <w:rsid w:val="0038370F"/>
    <w:rsid w:val="00383E22"/>
    <w:rsid w:val="00383F7B"/>
    <w:rsid w:val="0038425A"/>
    <w:rsid w:val="003844E7"/>
    <w:rsid w:val="003848A1"/>
    <w:rsid w:val="00384CA4"/>
    <w:rsid w:val="00384EF1"/>
    <w:rsid w:val="0038509C"/>
    <w:rsid w:val="003852D9"/>
    <w:rsid w:val="00385484"/>
    <w:rsid w:val="00385674"/>
    <w:rsid w:val="0038592B"/>
    <w:rsid w:val="003859B0"/>
    <w:rsid w:val="00385ACE"/>
    <w:rsid w:val="00385AED"/>
    <w:rsid w:val="00385F82"/>
    <w:rsid w:val="00385FE7"/>
    <w:rsid w:val="003862A2"/>
    <w:rsid w:val="00386795"/>
    <w:rsid w:val="003869FC"/>
    <w:rsid w:val="00386E5E"/>
    <w:rsid w:val="00386ED6"/>
    <w:rsid w:val="00387060"/>
    <w:rsid w:val="003870BC"/>
    <w:rsid w:val="0038745D"/>
    <w:rsid w:val="003874A9"/>
    <w:rsid w:val="00387584"/>
    <w:rsid w:val="003875FC"/>
    <w:rsid w:val="003877CE"/>
    <w:rsid w:val="00387DD1"/>
    <w:rsid w:val="00390035"/>
    <w:rsid w:val="003907A2"/>
    <w:rsid w:val="003907B6"/>
    <w:rsid w:val="00390AF0"/>
    <w:rsid w:val="00390E1E"/>
    <w:rsid w:val="00391121"/>
    <w:rsid w:val="00391436"/>
    <w:rsid w:val="00391669"/>
    <w:rsid w:val="00391CFA"/>
    <w:rsid w:val="00391D55"/>
    <w:rsid w:val="003921CD"/>
    <w:rsid w:val="003925D5"/>
    <w:rsid w:val="00392BAF"/>
    <w:rsid w:val="003934C6"/>
    <w:rsid w:val="003935EC"/>
    <w:rsid w:val="003942ED"/>
    <w:rsid w:val="003945F8"/>
    <w:rsid w:val="00394972"/>
    <w:rsid w:val="00394B57"/>
    <w:rsid w:val="00394C93"/>
    <w:rsid w:val="00394E04"/>
    <w:rsid w:val="003952D4"/>
    <w:rsid w:val="00395A71"/>
    <w:rsid w:val="00395C76"/>
    <w:rsid w:val="00395DF8"/>
    <w:rsid w:val="00395E84"/>
    <w:rsid w:val="003961F2"/>
    <w:rsid w:val="003962AC"/>
    <w:rsid w:val="00396818"/>
    <w:rsid w:val="00396C09"/>
    <w:rsid w:val="00396C92"/>
    <w:rsid w:val="003972C3"/>
    <w:rsid w:val="003973FC"/>
    <w:rsid w:val="00397ACE"/>
    <w:rsid w:val="00397DE2"/>
    <w:rsid w:val="003A043E"/>
    <w:rsid w:val="003A04FD"/>
    <w:rsid w:val="003A04FE"/>
    <w:rsid w:val="003A0A42"/>
    <w:rsid w:val="003A0AF9"/>
    <w:rsid w:val="003A0B3E"/>
    <w:rsid w:val="003A1336"/>
    <w:rsid w:val="003A199E"/>
    <w:rsid w:val="003A1BED"/>
    <w:rsid w:val="003A1CE4"/>
    <w:rsid w:val="003A1DA6"/>
    <w:rsid w:val="003A1F5C"/>
    <w:rsid w:val="003A29C5"/>
    <w:rsid w:val="003A2A65"/>
    <w:rsid w:val="003A2BB9"/>
    <w:rsid w:val="003A2E56"/>
    <w:rsid w:val="003A30DE"/>
    <w:rsid w:val="003A313F"/>
    <w:rsid w:val="003A3940"/>
    <w:rsid w:val="003A3A39"/>
    <w:rsid w:val="003A3B14"/>
    <w:rsid w:val="003A4041"/>
    <w:rsid w:val="003A41F8"/>
    <w:rsid w:val="003A4C40"/>
    <w:rsid w:val="003A4F12"/>
    <w:rsid w:val="003A577B"/>
    <w:rsid w:val="003A5925"/>
    <w:rsid w:val="003A5E9B"/>
    <w:rsid w:val="003A5F17"/>
    <w:rsid w:val="003A5FA2"/>
    <w:rsid w:val="003A63DC"/>
    <w:rsid w:val="003A643B"/>
    <w:rsid w:val="003A661A"/>
    <w:rsid w:val="003A67C4"/>
    <w:rsid w:val="003A685A"/>
    <w:rsid w:val="003A6EBA"/>
    <w:rsid w:val="003A6F8B"/>
    <w:rsid w:val="003A72AD"/>
    <w:rsid w:val="003A74B9"/>
    <w:rsid w:val="003A75EF"/>
    <w:rsid w:val="003A7E45"/>
    <w:rsid w:val="003A7F3A"/>
    <w:rsid w:val="003B01F9"/>
    <w:rsid w:val="003B0274"/>
    <w:rsid w:val="003B0D7A"/>
    <w:rsid w:val="003B0E61"/>
    <w:rsid w:val="003B1618"/>
    <w:rsid w:val="003B19B0"/>
    <w:rsid w:val="003B224F"/>
    <w:rsid w:val="003B280C"/>
    <w:rsid w:val="003B2895"/>
    <w:rsid w:val="003B2DDF"/>
    <w:rsid w:val="003B32E9"/>
    <w:rsid w:val="003B3483"/>
    <w:rsid w:val="003B3C5E"/>
    <w:rsid w:val="003B3EA5"/>
    <w:rsid w:val="003B3EE0"/>
    <w:rsid w:val="003B3FAD"/>
    <w:rsid w:val="003B48FA"/>
    <w:rsid w:val="003B4A6A"/>
    <w:rsid w:val="003B4C37"/>
    <w:rsid w:val="003B4E12"/>
    <w:rsid w:val="003B568C"/>
    <w:rsid w:val="003B599D"/>
    <w:rsid w:val="003B5CE5"/>
    <w:rsid w:val="003B5D28"/>
    <w:rsid w:val="003B6070"/>
    <w:rsid w:val="003B60B6"/>
    <w:rsid w:val="003B65E1"/>
    <w:rsid w:val="003B666A"/>
    <w:rsid w:val="003B6738"/>
    <w:rsid w:val="003B6917"/>
    <w:rsid w:val="003B6B14"/>
    <w:rsid w:val="003B6C83"/>
    <w:rsid w:val="003B6D23"/>
    <w:rsid w:val="003B6DA2"/>
    <w:rsid w:val="003B6F3E"/>
    <w:rsid w:val="003B71A0"/>
    <w:rsid w:val="003B72AB"/>
    <w:rsid w:val="003B73D2"/>
    <w:rsid w:val="003B7485"/>
    <w:rsid w:val="003B77A2"/>
    <w:rsid w:val="003B7827"/>
    <w:rsid w:val="003B7992"/>
    <w:rsid w:val="003B7C30"/>
    <w:rsid w:val="003C0728"/>
    <w:rsid w:val="003C08FA"/>
    <w:rsid w:val="003C091A"/>
    <w:rsid w:val="003C0AD9"/>
    <w:rsid w:val="003C0BB6"/>
    <w:rsid w:val="003C0CD2"/>
    <w:rsid w:val="003C0D03"/>
    <w:rsid w:val="003C0E2E"/>
    <w:rsid w:val="003C13BC"/>
    <w:rsid w:val="003C163A"/>
    <w:rsid w:val="003C1D7D"/>
    <w:rsid w:val="003C20E2"/>
    <w:rsid w:val="003C2251"/>
    <w:rsid w:val="003C22F2"/>
    <w:rsid w:val="003C23F6"/>
    <w:rsid w:val="003C27B1"/>
    <w:rsid w:val="003C2911"/>
    <w:rsid w:val="003C2A1C"/>
    <w:rsid w:val="003C2C0E"/>
    <w:rsid w:val="003C2DC3"/>
    <w:rsid w:val="003C2EB2"/>
    <w:rsid w:val="003C306A"/>
    <w:rsid w:val="003C30C3"/>
    <w:rsid w:val="003C322A"/>
    <w:rsid w:val="003C3499"/>
    <w:rsid w:val="003C3A5F"/>
    <w:rsid w:val="003C3BA1"/>
    <w:rsid w:val="003C3E2D"/>
    <w:rsid w:val="003C41E8"/>
    <w:rsid w:val="003C41ED"/>
    <w:rsid w:val="003C4460"/>
    <w:rsid w:val="003C49C3"/>
    <w:rsid w:val="003C49F7"/>
    <w:rsid w:val="003C4BE9"/>
    <w:rsid w:val="003C4C75"/>
    <w:rsid w:val="003C4CA3"/>
    <w:rsid w:val="003C4D0B"/>
    <w:rsid w:val="003C4D3F"/>
    <w:rsid w:val="003C56BF"/>
    <w:rsid w:val="003C5702"/>
    <w:rsid w:val="003C5978"/>
    <w:rsid w:val="003C5CA4"/>
    <w:rsid w:val="003C6248"/>
    <w:rsid w:val="003C63D2"/>
    <w:rsid w:val="003C66DD"/>
    <w:rsid w:val="003C6856"/>
    <w:rsid w:val="003C6A10"/>
    <w:rsid w:val="003C768C"/>
    <w:rsid w:val="003C7696"/>
    <w:rsid w:val="003C77C4"/>
    <w:rsid w:val="003C7E12"/>
    <w:rsid w:val="003D0045"/>
    <w:rsid w:val="003D0575"/>
    <w:rsid w:val="003D06CB"/>
    <w:rsid w:val="003D073A"/>
    <w:rsid w:val="003D086E"/>
    <w:rsid w:val="003D08C4"/>
    <w:rsid w:val="003D0C39"/>
    <w:rsid w:val="003D0D6F"/>
    <w:rsid w:val="003D151E"/>
    <w:rsid w:val="003D1A09"/>
    <w:rsid w:val="003D1A1D"/>
    <w:rsid w:val="003D1ACF"/>
    <w:rsid w:val="003D1E5B"/>
    <w:rsid w:val="003D21B0"/>
    <w:rsid w:val="003D2404"/>
    <w:rsid w:val="003D2445"/>
    <w:rsid w:val="003D24F7"/>
    <w:rsid w:val="003D319A"/>
    <w:rsid w:val="003D37F1"/>
    <w:rsid w:val="003D3CD9"/>
    <w:rsid w:val="003D3FD7"/>
    <w:rsid w:val="003D42B3"/>
    <w:rsid w:val="003D4453"/>
    <w:rsid w:val="003D4527"/>
    <w:rsid w:val="003D4618"/>
    <w:rsid w:val="003D4690"/>
    <w:rsid w:val="003D46E8"/>
    <w:rsid w:val="003D47DD"/>
    <w:rsid w:val="003D485B"/>
    <w:rsid w:val="003D4D67"/>
    <w:rsid w:val="003D4EB2"/>
    <w:rsid w:val="003D532A"/>
    <w:rsid w:val="003D5423"/>
    <w:rsid w:val="003D57BE"/>
    <w:rsid w:val="003D5AE9"/>
    <w:rsid w:val="003D660E"/>
    <w:rsid w:val="003D6CB7"/>
    <w:rsid w:val="003D6F7F"/>
    <w:rsid w:val="003D6FFD"/>
    <w:rsid w:val="003D77B2"/>
    <w:rsid w:val="003D7CA4"/>
    <w:rsid w:val="003D7CEE"/>
    <w:rsid w:val="003E03F2"/>
    <w:rsid w:val="003E09D3"/>
    <w:rsid w:val="003E0ABE"/>
    <w:rsid w:val="003E0DB5"/>
    <w:rsid w:val="003E0EC1"/>
    <w:rsid w:val="003E1218"/>
    <w:rsid w:val="003E138A"/>
    <w:rsid w:val="003E1473"/>
    <w:rsid w:val="003E1B8D"/>
    <w:rsid w:val="003E1FD4"/>
    <w:rsid w:val="003E2AC4"/>
    <w:rsid w:val="003E2FA0"/>
    <w:rsid w:val="003E319F"/>
    <w:rsid w:val="003E3297"/>
    <w:rsid w:val="003E3C6E"/>
    <w:rsid w:val="003E3D98"/>
    <w:rsid w:val="003E4207"/>
    <w:rsid w:val="003E45AD"/>
    <w:rsid w:val="003E4757"/>
    <w:rsid w:val="003E48BD"/>
    <w:rsid w:val="003E4AB2"/>
    <w:rsid w:val="003E4E94"/>
    <w:rsid w:val="003E52C0"/>
    <w:rsid w:val="003E52DD"/>
    <w:rsid w:val="003E559F"/>
    <w:rsid w:val="003E58CF"/>
    <w:rsid w:val="003E5A68"/>
    <w:rsid w:val="003E5C25"/>
    <w:rsid w:val="003E5CA5"/>
    <w:rsid w:val="003E5CCA"/>
    <w:rsid w:val="003E642E"/>
    <w:rsid w:val="003E6741"/>
    <w:rsid w:val="003E6F48"/>
    <w:rsid w:val="003E728C"/>
    <w:rsid w:val="003E784E"/>
    <w:rsid w:val="003E7ACF"/>
    <w:rsid w:val="003E7ADF"/>
    <w:rsid w:val="003E7B18"/>
    <w:rsid w:val="003F00EF"/>
    <w:rsid w:val="003F04A5"/>
    <w:rsid w:val="003F0989"/>
    <w:rsid w:val="003F0C7B"/>
    <w:rsid w:val="003F10C3"/>
    <w:rsid w:val="003F12FC"/>
    <w:rsid w:val="003F1724"/>
    <w:rsid w:val="003F1B4D"/>
    <w:rsid w:val="003F21C9"/>
    <w:rsid w:val="003F22BA"/>
    <w:rsid w:val="003F2448"/>
    <w:rsid w:val="003F2759"/>
    <w:rsid w:val="003F2AEC"/>
    <w:rsid w:val="003F2E8E"/>
    <w:rsid w:val="003F31B0"/>
    <w:rsid w:val="003F31F2"/>
    <w:rsid w:val="003F3355"/>
    <w:rsid w:val="003F348F"/>
    <w:rsid w:val="003F37EE"/>
    <w:rsid w:val="003F3BDA"/>
    <w:rsid w:val="003F3EA6"/>
    <w:rsid w:val="003F413C"/>
    <w:rsid w:val="003F41AC"/>
    <w:rsid w:val="003F4276"/>
    <w:rsid w:val="003F4608"/>
    <w:rsid w:val="003F467B"/>
    <w:rsid w:val="003F473F"/>
    <w:rsid w:val="003F4878"/>
    <w:rsid w:val="003F4A76"/>
    <w:rsid w:val="003F4D83"/>
    <w:rsid w:val="003F4E75"/>
    <w:rsid w:val="003F4F43"/>
    <w:rsid w:val="003F51EB"/>
    <w:rsid w:val="003F5368"/>
    <w:rsid w:val="003F552E"/>
    <w:rsid w:val="003F5717"/>
    <w:rsid w:val="003F5ADC"/>
    <w:rsid w:val="003F5CBA"/>
    <w:rsid w:val="003F5D1A"/>
    <w:rsid w:val="003F5D20"/>
    <w:rsid w:val="003F600F"/>
    <w:rsid w:val="003F6081"/>
    <w:rsid w:val="003F64B2"/>
    <w:rsid w:val="003F65CF"/>
    <w:rsid w:val="003F6853"/>
    <w:rsid w:val="003F6B2B"/>
    <w:rsid w:val="003F6C02"/>
    <w:rsid w:val="003F72B7"/>
    <w:rsid w:val="003F7581"/>
    <w:rsid w:val="003F79B6"/>
    <w:rsid w:val="003F7CBE"/>
    <w:rsid w:val="003F7D47"/>
    <w:rsid w:val="0040015F"/>
    <w:rsid w:val="00400BD3"/>
    <w:rsid w:val="00400C61"/>
    <w:rsid w:val="0040122C"/>
    <w:rsid w:val="0040141F"/>
    <w:rsid w:val="00401671"/>
    <w:rsid w:val="0040194D"/>
    <w:rsid w:val="00401B45"/>
    <w:rsid w:val="004026CA"/>
    <w:rsid w:val="0040271A"/>
    <w:rsid w:val="00402D58"/>
    <w:rsid w:val="00402F2D"/>
    <w:rsid w:val="00402F60"/>
    <w:rsid w:val="00403025"/>
    <w:rsid w:val="00403335"/>
    <w:rsid w:val="0040338F"/>
    <w:rsid w:val="004033D8"/>
    <w:rsid w:val="00403509"/>
    <w:rsid w:val="00403D62"/>
    <w:rsid w:val="00403E48"/>
    <w:rsid w:val="00403F8B"/>
    <w:rsid w:val="0040441B"/>
    <w:rsid w:val="004047E9"/>
    <w:rsid w:val="00404FCC"/>
    <w:rsid w:val="004051AD"/>
    <w:rsid w:val="004051C4"/>
    <w:rsid w:val="00405601"/>
    <w:rsid w:val="00405EFB"/>
    <w:rsid w:val="004063C3"/>
    <w:rsid w:val="0040667A"/>
    <w:rsid w:val="0040673C"/>
    <w:rsid w:val="00406A41"/>
    <w:rsid w:val="00406AA0"/>
    <w:rsid w:val="00406B98"/>
    <w:rsid w:val="00406E4B"/>
    <w:rsid w:val="00406E9D"/>
    <w:rsid w:val="00407468"/>
    <w:rsid w:val="0040759E"/>
    <w:rsid w:val="00407834"/>
    <w:rsid w:val="00407D20"/>
    <w:rsid w:val="0041087B"/>
    <w:rsid w:val="00410BCA"/>
    <w:rsid w:val="00410C7E"/>
    <w:rsid w:val="00410E73"/>
    <w:rsid w:val="004111E6"/>
    <w:rsid w:val="00411221"/>
    <w:rsid w:val="004114EC"/>
    <w:rsid w:val="004115D8"/>
    <w:rsid w:val="004115EA"/>
    <w:rsid w:val="0041162E"/>
    <w:rsid w:val="00411B40"/>
    <w:rsid w:val="00412177"/>
    <w:rsid w:val="0041258B"/>
    <w:rsid w:val="00412655"/>
    <w:rsid w:val="00412798"/>
    <w:rsid w:val="004128B8"/>
    <w:rsid w:val="004133FF"/>
    <w:rsid w:val="00413A36"/>
    <w:rsid w:val="00413D86"/>
    <w:rsid w:val="00413E5F"/>
    <w:rsid w:val="00413ECF"/>
    <w:rsid w:val="00414021"/>
    <w:rsid w:val="00414431"/>
    <w:rsid w:val="004145CC"/>
    <w:rsid w:val="0041466C"/>
    <w:rsid w:val="00414EB0"/>
    <w:rsid w:val="00415141"/>
    <w:rsid w:val="00415216"/>
    <w:rsid w:val="004152C8"/>
    <w:rsid w:val="00415B36"/>
    <w:rsid w:val="00415C92"/>
    <w:rsid w:val="0041633E"/>
    <w:rsid w:val="004165FC"/>
    <w:rsid w:val="004166BA"/>
    <w:rsid w:val="00416703"/>
    <w:rsid w:val="00416C6E"/>
    <w:rsid w:val="00416CC6"/>
    <w:rsid w:val="00416CDC"/>
    <w:rsid w:val="00416D70"/>
    <w:rsid w:val="00416F03"/>
    <w:rsid w:val="0041734F"/>
    <w:rsid w:val="0041738F"/>
    <w:rsid w:val="00417603"/>
    <w:rsid w:val="00417843"/>
    <w:rsid w:val="00417D19"/>
    <w:rsid w:val="00417F09"/>
    <w:rsid w:val="0042000A"/>
    <w:rsid w:val="004203D2"/>
    <w:rsid w:val="00420417"/>
    <w:rsid w:val="00420F49"/>
    <w:rsid w:val="00421530"/>
    <w:rsid w:val="00421748"/>
    <w:rsid w:val="004218C5"/>
    <w:rsid w:val="00421AD9"/>
    <w:rsid w:val="00421B03"/>
    <w:rsid w:val="00421C62"/>
    <w:rsid w:val="00421D93"/>
    <w:rsid w:val="0042231F"/>
    <w:rsid w:val="004228EC"/>
    <w:rsid w:val="0042309A"/>
    <w:rsid w:val="00423239"/>
    <w:rsid w:val="00423877"/>
    <w:rsid w:val="0042393B"/>
    <w:rsid w:val="00423A0C"/>
    <w:rsid w:val="00423D88"/>
    <w:rsid w:val="0042409A"/>
    <w:rsid w:val="00424C50"/>
    <w:rsid w:val="00425054"/>
    <w:rsid w:val="004250BE"/>
    <w:rsid w:val="0042518E"/>
    <w:rsid w:val="00425343"/>
    <w:rsid w:val="004254D8"/>
    <w:rsid w:val="00425BCA"/>
    <w:rsid w:val="00425F10"/>
    <w:rsid w:val="00426A03"/>
    <w:rsid w:val="00426C29"/>
    <w:rsid w:val="00426CB5"/>
    <w:rsid w:val="00426FE7"/>
    <w:rsid w:val="004270B6"/>
    <w:rsid w:val="0042721B"/>
    <w:rsid w:val="004276BB"/>
    <w:rsid w:val="004279AF"/>
    <w:rsid w:val="00427BF5"/>
    <w:rsid w:val="00427DCE"/>
    <w:rsid w:val="004305D4"/>
    <w:rsid w:val="004305DB"/>
    <w:rsid w:val="00430997"/>
    <w:rsid w:val="004309DE"/>
    <w:rsid w:val="00430A80"/>
    <w:rsid w:val="00430BF8"/>
    <w:rsid w:val="00430FA1"/>
    <w:rsid w:val="0043132A"/>
    <w:rsid w:val="00431403"/>
    <w:rsid w:val="00431C71"/>
    <w:rsid w:val="00431D30"/>
    <w:rsid w:val="00432341"/>
    <w:rsid w:val="00432952"/>
    <w:rsid w:val="00432A89"/>
    <w:rsid w:val="00432ABA"/>
    <w:rsid w:val="00432B63"/>
    <w:rsid w:val="00432D85"/>
    <w:rsid w:val="004333EB"/>
    <w:rsid w:val="004339A8"/>
    <w:rsid w:val="004339D8"/>
    <w:rsid w:val="00433D2E"/>
    <w:rsid w:val="00434063"/>
    <w:rsid w:val="00434226"/>
    <w:rsid w:val="004345A0"/>
    <w:rsid w:val="004347A0"/>
    <w:rsid w:val="00434B86"/>
    <w:rsid w:val="00434F0B"/>
    <w:rsid w:val="004350BE"/>
    <w:rsid w:val="00435575"/>
    <w:rsid w:val="00435659"/>
    <w:rsid w:val="0043597A"/>
    <w:rsid w:val="00435C8C"/>
    <w:rsid w:val="00436311"/>
    <w:rsid w:val="00436565"/>
    <w:rsid w:val="004367C0"/>
    <w:rsid w:val="00436BB2"/>
    <w:rsid w:val="00436C55"/>
    <w:rsid w:val="00436CED"/>
    <w:rsid w:val="00436DBE"/>
    <w:rsid w:val="004370B4"/>
    <w:rsid w:val="00437566"/>
    <w:rsid w:val="00437A2D"/>
    <w:rsid w:val="00437AAA"/>
    <w:rsid w:val="00437B5F"/>
    <w:rsid w:val="00437F69"/>
    <w:rsid w:val="004409A7"/>
    <w:rsid w:val="00440A88"/>
    <w:rsid w:val="00440BC9"/>
    <w:rsid w:val="00440E1D"/>
    <w:rsid w:val="00440FD4"/>
    <w:rsid w:val="0044111A"/>
    <w:rsid w:val="004419EA"/>
    <w:rsid w:val="00441AA9"/>
    <w:rsid w:val="00441B0F"/>
    <w:rsid w:val="00441E28"/>
    <w:rsid w:val="00442098"/>
    <w:rsid w:val="004420A9"/>
    <w:rsid w:val="00442254"/>
    <w:rsid w:val="00442431"/>
    <w:rsid w:val="00442543"/>
    <w:rsid w:val="004428DC"/>
    <w:rsid w:val="00442A75"/>
    <w:rsid w:val="00442B66"/>
    <w:rsid w:val="00442E2A"/>
    <w:rsid w:val="00443197"/>
    <w:rsid w:val="00443596"/>
    <w:rsid w:val="004438BE"/>
    <w:rsid w:val="00443C52"/>
    <w:rsid w:val="00443E89"/>
    <w:rsid w:val="00443EFD"/>
    <w:rsid w:val="00444E15"/>
    <w:rsid w:val="00444EDB"/>
    <w:rsid w:val="004450B6"/>
    <w:rsid w:val="004451A7"/>
    <w:rsid w:val="00445386"/>
    <w:rsid w:val="00445663"/>
    <w:rsid w:val="0044605E"/>
    <w:rsid w:val="00446A2A"/>
    <w:rsid w:val="00446C08"/>
    <w:rsid w:val="00447558"/>
    <w:rsid w:val="00447C78"/>
    <w:rsid w:val="0045018F"/>
    <w:rsid w:val="004507C4"/>
    <w:rsid w:val="00450ADC"/>
    <w:rsid w:val="00450BD2"/>
    <w:rsid w:val="00451014"/>
    <w:rsid w:val="0045103B"/>
    <w:rsid w:val="004512B4"/>
    <w:rsid w:val="00451355"/>
    <w:rsid w:val="00451C8C"/>
    <w:rsid w:val="00451DA3"/>
    <w:rsid w:val="00451EDB"/>
    <w:rsid w:val="00451F91"/>
    <w:rsid w:val="004521A9"/>
    <w:rsid w:val="00452CDF"/>
    <w:rsid w:val="00452D7E"/>
    <w:rsid w:val="00452F49"/>
    <w:rsid w:val="004531E6"/>
    <w:rsid w:val="0045328E"/>
    <w:rsid w:val="004535F8"/>
    <w:rsid w:val="004537D3"/>
    <w:rsid w:val="00453A3E"/>
    <w:rsid w:val="00453E59"/>
    <w:rsid w:val="00453F73"/>
    <w:rsid w:val="004541CC"/>
    <w:rsid w:val="00454277"/>
    <w:rsid w:val="00454862"/>
    <w:rsid w:val="00454CAC"/>
    <w:rsid w:val="00454D23"/>
    <w:rsid w:val="00454E1D"/>
    <w:rsid w:val="00455491"/>
    <w:rsid w:val="00455AE4"/>
    <w:rsid w:val="00455C56"/>
    <w:rsid w:val="00455D45"/>
    <w:rsid w:val="00456574"/>
    <w:rsid w:val="004566E1"/>
    <w:rsid w:val="004568E7"/>
    <w:rsid w:val="00456F70"/>
    <w:rsid w:val="00457287"/>
    <w:rsid w:val="00457477"/>
    <w:rsid w:val="004575D8"/>
    <w:rsid w:val="004575E1"/>
    <w:rsid w:val="00457785"/>
    <w:rsid w:val="00457877"/>
    <w:rsid w:val="00457A43"/>
    <w:rsid w:val="00457BE5"/>
    <w:rsid w:val="00457D2F"/>
    <w:rsid w:val="00457E87"/>
    <w:rsid w:val="0046031A"/>
    <w:rsid w:val="00460E5B"/>
    <w:rsid w:val="00461148"/>
    <w:rsid w:val="00461162"/>
    <w:rsid w:val="00461701"/>
    <w:rsid w:val="00461710"/>
    <w:rsid w:val="00461ECD"/>
    <w:rsid w:val="00462669"/>
    <w:rsid w:val="0046271F"/>
    <w:rsid w:val="00462760"/>
    <w:rsid w:val="00462802"/>
    <w:rsid w:val="00463757"/>
    <w:rsid w:val="00463759"/>
    <w:rsid w:val="00463905"/>
    <w:rsid w:val="00463A87"/>
    <w:rsid w:val="00463CEA"/>
    <w:rsid w:val="0046431C"/>
    <w:rsid w:val="0046436F"/>
    <w:rsid w:val="00464455"/>
    <w:rsid w:val="004644A7"/>
    <w:rsid w:val="0046468D"/>
    <w:rsid w:val="00464B3C"/>
    <w:rsid w:val="00464B4A"/>
    <w:rsid w:val="0046518B"/>
    <w:rsid w:val="004651BE"/>
    <w:rsid w:val="00465293"/>
    <w:rsid w:val="00465BCA"/>
    <w:rsid w:val="0046608C"/>
    <w:rsid w:val="0046635F"/>
    <w:rsid w:val="00466450"/>
    <w:rsid w:val="00466A84"/>
    <w:rsid w:val="0046704D"/>
    <w:rsid w:val="00467163"/>
    <w:rsid w:val="00467271"/>
    <w:rsid w:val="004672A0"/>
    <w:rsid w:val="00467360"/>
    <w:rsid w:val="00467776"/>
    <w:rsid w:val="00467CE7"/>
    <w:rsid w:val="004700E1"/>
    <w:rsid w:val="0047044E"/>
    <w:rsid w:val="004705FF"/>
    <w:rsid w:val="004709E2"/>
    <w:rsid w:val="00470EB2"/>
    <w:rsid w:val="00470F18"/>
    <w:rsid w:val="00470F2F"/>
    <w:rsid w:val="0047146A"/>
    <w:rsid w:val="0047157E"/>
    <w:rsid w:val="00471857"/>
    <w:rsid w:val="004718AF"/>
    <w:rsid w:val="00471A20"/>
    <w:rsid w:val="00471EAD"/>
    <w:rsid w:val="00471EFA"/>
    <w:rsid w:val="004723E6"/>
    <w:rsid w:val="004729BE"/>
    <w:rsid w:val="00472F2B"/>
    <w:rsid w:val="00472FF7"/>
    <w:rsid w:val="00473617"/>
    <w:rsid w:val="00473D3C"/>
    <w:rsid w:val="00473E4B"/>
    <w:rsid w:val="00474390"/>
    <w:rsid w:val="00474CBA"/>
    <w:rsid w:val="004750B3"/>
    <w:rsid w:val="0047569B"/>
    <w:rsid w:val="00475E32"/>
    <w:rsid w:val="004765AC"/>
    <w:rsid w:val="00476AA8"/>
    <w:rsid w:val="00476E8E"/>
    <w:rsid w:val="00477856"/>
    <w:rsid w:val="00477EE0"/>
    <w:rsid w:val="004801AB"/>
    <w:rsid w:val="004804AA"/>
    <w:rsid w:val="00480D58"/>
    <w:rsid w:val="00480E32"/>
    <w:rsid w:val="00480F55"/>
    <w:rsid w:val="004812EE"/>
    <w:rsid w:val="00481400"/>
    <w:rsid w:val="00481483"/>
    <w:rsid w:val="004815F7"/>
    <w:rsid w:val="00481666"/>
    <w:rsid w:val="004827FA"/>
    <w:rsid w:val="00483061"/>
    <w:rsid w:val="004832A1"/>
    <w:rsid w:val="00483802"/>
    <w:rsid w:val="00483984"/>
    <w:rsid w:val="00483CBE"/>
    <w:rsid w:val="00483F76"/>
    <w:rsid w:val="00483FAF"/>
    <w:rsid w:val="00484121"/>
    <w:rsid w:val="0048453C"/>
    <w:rsid w:val="00484919"/>
    <w:rsid w:val="00484B03"/>
    <w:rsid w:val="00484C4D"/>
    <w:rsid w:val="00484D48"/>
    <w:rsid w:val="00485113"/>
    <w:rsid w:val="004852BF"/>
    <w:rsid w:val="0048538F"/>
    <w:rsid w:val="00485476"/>
    <w:rsid w:val="0048547E"/>
    <w:rsid w:val="00485780"/>
    <w:rsid w:val="00485D5D"/>
    <w:rsid w:val="00485DD1"/>
    <w:rsid w:val="004860F7"/>
    <w:rsid w:val="00486644"/>
    <w:rsid w:val="00486834"/>
    <w:rsid w:val="004876B2"/>
    <w:rsid w:val="00487E43"/>
    <w:rsid w:val="00487F4F"/>
    <w:rsid w:val="004906C5"/>
    <w:rsid w:val="004906E3"/>
    <w:rsid w:val="004908C8"/>
    <w:rsid w:val="0049100C"/>
    <w:rsid w:val="00491159"/>
    <w:rsid w:val="004913EE"/>
    <w:rsid w:val="00491A8B"/>
    <w:rsid w:val="00491AE4"/>
    <w:rsid w:val="00491B7A"/>
    <w:rsid w:val="00491B95"/>
    <w:rsid w:val="004923D2"/>
    <w:rsid w:val="00492558"/>
    <w:rsid w:val="00492755"/>
    <w:rsid w:val="00492A2C"/>
    <w:rsid w:val="0049303D"/>
    <w:rsid w:val="0049368F"/>
    <w:rsid w:val="004936DC"/>
    <w:rsid w:val="004938CC"/>
    <w:rsid w:val="00493A32"/>
    <w:rsid w:val="00493BC7"/>
    <w:rsid w:val="00493C8B"/>
    <w:rsid w:val="00493E29"/>
    <w:rsid w:val="00494335"/>
    <w:rsid w:val="00494BF2"/>
    <w:rsid w:val="00494F7E"/>
    <w:rsid w:val="004951A2"/>
    <w:rsid w:val="004952A2"/>
    <w:rsid w:val="0049535F"/>
    <w:rsid w:val="00495631"/>
    <w:rsid w:val="00495A0D"/>
    <w:rsid w:val="00495CD4"/>
    <w:rsid w:val="00495E85"/>
    <w:rsid w:val="00495ED1"/>
    <w:rsid w:val="0049642F"/>
    <w:rsid w:val="0049643D"/>
    <w:rsid w:val="00496B9F"/>
    <w:rsid w:val="00497246"/>
    <w:rsid w:val="0049745E"/>
    <w:rsid w:val="004977A9"/>
    <w:rsid w:val="004978AF"/>
    <w:rsid w:val="00497D25"/>
    <w:rsid w:val="00497DE0"/>
    <w:rsid w:val="004A0251"/>
    <w:rsid w:val="004A05CF"/>
    <w:rsid w:val="004A08D4"/>
    <w:rsid w:val="004A08EE"/>
    <w:rsid w:val="004A1309"/>
    <w:rsid w:val="004A1997"/>
    <w:rsid w:val="004A1B3F"/>
    <w:rsid w:val="004A1DBB"/>
    <w:rsid w:val="004A1EC5"/>
    <w:rsid w:val="004A20DF"/>
    <w:rsid w:val="004A27AF"/>
    <w:rsid w:val="004A2CEF"/>
    <w:rsid w:val="004A34DC"/>
    <w:rsid w:val="004A34FF"/>
    <w:rsid w:val="004A36D4"/>
    <w:rsid w:val="004A3AF3"/>
    <w:rsid w:val="004A3CF6"/>
    <w:rsid w:val="004A3EA8"/>
    <w:rsid w:val="004A4268"/>
    <w:rsid w:val="004A4314"/>
    <w:rsid w:val="004A44E2"/>
    <w:rsid w:val="004A46B1"/>
    <w:rsid w:val="004A49C5"/>
    <w:rsid w:val="004A4BC4"/>
    <w:rsid w:val="004A4ECC"/>
    <w:rsid w:val="004A4F09"/>
    <w:rsid w:val="004A4F51"/>
    <w:rsid w:val="004A5230"/>
    <w:rsid w:val="004A52E4"/>
    <w:rsid w:val="004A5479"/>
    <w:rsid w:val="004A5507"/>
    <w:rsid w:val="004A5557"/>
    <w:rsid w:val="004A5590"/>
    <w:rsid w:val="004A5A9E"/>
    <w:rsid w:val="004A5AAE"/>
    <w:rsid w:val="004A5B6A"/>
    <w:rsid w:val="004A5B95"/>
    <w:rsid w:val="004A63FA"/>
    <w:rsid w:val="004A68C1"/>
    <w:rsid w:val="004A6A1C"/>
    <w:rsid w:val="004A6F7D"/>
    <w:rsid w:val="004A7097"/>
    <w:rsid w:val="004A75A6"/>
    <w:rsid w:val="004A76AD"/>
    <w:rsid w:val="004A79C0"/>
    <w:rsid w:val="004A7B57"/>
    <w:rsid w:val="004A7B6D"/>
    <w:rsid w:val="004A7E3E"/>
    <w:rsid w:val="004A7F11"/>
    <w:rsid w:val="004A7FBA"/>
    <w:rsid w:val="004B0113"/>
    <w:rsid w:val="004B02DF"/>
    <w:rsid w:val="004B06E8"/>
    <w:rsid w:val="004B0A78"/>
    <w:rsid w:val="004B0F3E"/>
    <w:rsid w:val="004B1255"/>
    <w:rsid w:val="004B12CC"/>
    <w:rsid w:val="004B143F"/>
    <w:rsid w:val="004B1484"/>
    <w:rsid w:val="004B174D"/>
    <w:rsid w:val="004B1CC8"/>
    <w:rsid w:val="004B1F97"/>
    <w:rsid w:val="004B1F99"/>
    <w:rsid w:val="004B2114"/>
    <w:rsid w:val="004B288A"/>
    <w:rsid w:val="004B2989"/>
    <w:rsid w:val="004B2B8E"/>
    <w:rsid w:val="004B2B99"/>
    <w:rsid w:val="004B2D93"/>
    <w:rsid w:val="004B2FAA"/>
    <w:rsid w:val="004B3179"/>
    <w:rsid w:val="004B3244"/>
    <w:rsid w:val="004B3441"/>
    <w:rsid w:val="004B3A18"/>
    <w:rsid w:val="004B3A82"/>
    <w:rsid w:val="004B415C"/>
    <w:rsid w:val="004B44F7"/>
    <w:rsid w:val="004B4F14"/>
    <w:rsid w:val="004B533E"/>
    <w:rsid w:val="004B56F1"/>
    <w:rsid w:val="004B5754"/>
    <w:rsid w:val="004B57FA"/>
    <w:rsid w:val="004B5CC6"/>
    <w:rsid w:val="004B5F8C"/>
    <w:rsid w:val="004B607F"/>
    <w:rsid w:val="004B6085"/>
    <w:rsid w:val="004B6736"/>
    <w:rsid w:val="004B6996"/>
    <w:rsid w:val="004B709D"/>
    <w:rsid w:val="004B7360"/>
    <w:rsid w:val="004B7886"/>
    <w:rsid w:val="004B7A6F"/>
    <w:rsid w:val="004B7AF3"/>
    <w:rsid w:val="004B7F30"/>
    <w:rsid w:val="004C0185"/>
    <w:rsid w:val="004C019A"/>
    <w:rsid w:val="004C04AC"/>
    <w:rsid w:val="004C0782"/>
    <w:rsid w:val="004C0794"/>
    <w:rsid w:val="004C0A2D"/>
    <w:rsid w:val="004C0AB3"/>
    <w:rsid w:val="004C0B4C"/>
    <w:rsid w:val="004C11A3"/>
    <w:rsid w:val="004C126B"/>
    <w:rsid w:val="004C1699"/>
    <w:rsid w:val="004C1837"/>
    <w:rsid w:val="004C19AF"/>
    <w:rsid w:val="004C1C9B"/>
    <w:rsid w:val="004C3053"/>
    <w:rsid w:val="004C33FD"/>
    <w:rsid w:val="004C3B0B"/>
    <w:rsid w:val="004C3D96"/>
    <w:rsid w:val="004C400F"/>
    <w:rsid w:val="004C4702"/>
    <w:rsid w:val="004C4B3B"/>
    <w:rsid w:val="004C5BDE"/>
    <w:rsid w:val="004C5DD7"/>
    <w:rsid w:val="004C6075"/>
    <w:rsid w:val="004C6143"/>
    <w:rsid w:val="004C61FC"/>
    <w:rsid w:val="004C668B"/>
    <w:rsid w:val="004C68AE"/>
    <w:rsid w:val="004C6989"/>
    <w:rsid w:val="004C6AA6"/>
    <w:rsid w:val="004C704E"/>
    <w:rsid w:val="004C738F"/>
    <w:rsid w:val="004C7930"/>
    <w:rsid w:val="004C7CD1"/>
    <w:rsid w:val="004D017E"/>
    <w:rsid w:val="004D0323"/>
    <w:rsid w:val="004D048E"/>
    <w:rsid w:val="004D05AC"/>
    <w:rsid w:val="004D07BA"/>
    <w:rsid w:val="004D0A0A"/>
    <w:rsid w:val="004D0B38"/>
    <w:rsid w:val="004D114B"/>
    <w:rsid w:val="004D169E"/>
    <w:rsid w:val="004D19ED"/>
    <w:rsid w:val="004D1D1E"/>
    <w:rsid w:val="004D22DB"/>
    <w:rsid w:val="004D2495"/>
    <w:rsid w:val="004D2603"/>
    <w:rsid w:val="004D2699"/>
    <w:rsid w:val="004D2BEE"/>
    <w:rsid w:val="004D2CCA"/>
    <w:rsid w:val="004D2D2C"/>
    <w:rsid w:val="004D2FCF"/>
    <w:rsid w:val="004D3144"/>
    <w:rsid w:val="004D405E"/>
    <w:rsid w:val="004D42A5"/>
    <w:rsid w:val="004D4AED"/>
    <w:rsid w:val="004D4DE8"/>
    <w:rsid w:val="004D4F21"/>
    <w:rsid w:val="004D5003"/>
    <w:rsid w:val="004D50D1"/>
    <w:rsid w:val="004D5B63"/>
    <w:rsid w:val="004D5D90"/>
    <w:rsid w:val="004D627A"/>
    <w:rsid w:val="004D6647"/>
    <w:rsid w:val="004D7305"/>
    <w:rsid w:val="004D75C6"/>
    <w:rsid w:val="004D7655"/>
    <w:rsid w:val="004D7970"/>
    <w:rsid w:val="004D79A4"/>
    <w:rsid w:val="004D7D7E"/>
    <w:rsid w:val="004E0136"/>
    <w:rsid w:val="004E0DFE"/>
    <w:rsid w:val="004E0E38"/>
    <w:rsid w:val="004E0E5C"/>
    <w:rsid w:val="004E1324"/>
    <w:rsid w:val="004E13D2"/>
    <w:rsid w:val="004E1891"/>
    <w:rsid w:val="004E2103"/>
    <w:rsid w:val="004E2573"/>
    <w:rsid w:val="004E278B"/>
    <w:rsid w:val="004E2ADE"/>
    <w:rsid w:val="004E3150"/>
    <w:rsid w:val="004E3268"/>
    <w:rsid w:val="004E32C2"/>
    <w:rsid w:val="004E332B"/>
    <w:rsid w:val="004E336D"/>
    <w:rsid w:val="004E38D4"/>
    <w:rsid w:val="004E3CCA"/>
    <w:rsid w:val="004E4216"/>
    <w:rsid w:val="004E4673"/>
    <w:rsid w:val="004E4BC1"/>
    <w:rsid w:val="004E4F4E"/>
    <w:rsid w:val="004E59A8"/>
    <w:rsid w:val="004E5A1E"/>
    <w:rsid w:val="004E5C40"/>
    <w:rsid w:val="004E5C94"/>
    <w:rsid w:val="004E6237"/>
    <w:rsid w:val="004E6415"/>
    <w:rsid w:val="004E6D58"/>
    <w:rsid w:val="004E6E7A"/>
    <w:rsid w:val="004E70CE"/>
    <w:rsid w:val="004E7193"/>
    <w:rsid w:val="004E72EB"/>
    <w:rsid w:val="004E7D2F"/>
    <w:rsid w:val="004F008C"/>
    <w:rsid w:val="004F011A"/>
    <w:rsid w:val="004F03A3"/>
    <w:rsid w:val="004F069B"/>
    <w:rsid w:val="004F080B"/>
    <w:rsid w:val="004F0885"/>
    <w:rsid w:val="004F0C91"/>
    <w:rsid w:val="004F1123"/>
    <w:rsid w:val="004F1BAF"/>
    <w:rsid w:val="004F1BD7"/>
    <w:rsid w:val="004F1C03"/>
    <w:rsid w:val="004F1CA0"/>
    <w:rsid w:val="004F1D20"/>
    <w:rsid w:val="004F1DAB"/>
    <w:rsid w:val="004F2043"/>
    <w:rsid w:val="004F2089"/>
    <w:rsid w:val="004F22E7"/>
    <w:rsid w:val="004F2AEA"/>
    <w:rsid w:val="004F2B9B"/>
    <w:rsid w:val="004F2C40"/>
    <w:rsid w:val="004F2CDC"/>
    <w:rsid w:val="004F43FD"/>
    <w:rsid w:val="004F461E"/>
    <w:rsid w:val="004F48E0"/>
    <w:rsid w:val="004F4929"/>
    <w:rsid w:val="004F493B"/>
    <w:rsid w:val="004F49C4"/>
    <w:rsid w:val="004F51E4"/>
    <w:rsid w:val="004F5404"/>
    <w:rsid w:val="004F5438"/>
    <w:rsid w:val="004F54B6"/>
    <w:rsid w:val="004F5DA7"/>
    <w:rsid w:val="004F6A2D"/>
    <w:rsid w:val="004F77A6"/>
    <w:rsid w:val="004F7805"/>
    <w:rsid w:val="004F790A"/>
    <w:rsid w:val="004F7D8F"/>
    <w:rsid w:val="004F7F82"/>
    <w:rsid w:val="00500075"/>
    <w:rsid w:val="00500308"/>
    <w:rsid w:val="005005A6"/>
    <w:rsid w:val="005005C6"/>
    <w:rsid w:val="0050077F"/>
    <w:rsid w:val="00500909"/>
    <w:rsid w:val="00500CE7"/>
    <w:rsid w:val="0050157A"/>
    <w:rsid w:val="005015A9"/>
    <w:rsid w:val="005016C1"/>
    <w:rsid w:val="005018DF"/>
    <w:rsid w:val="00501ADD"/>
    <w:rsid w:val="00501B56"/>
    <w:rsid w:val="00501F9D"/>
    <w:rsid w:val="00502621"/>
    <w:rsid w:val="005026B3"/>
    <w:rsid w:val="00502796"/>
    <w:rsid w:val="005027E0"/>
    <w:rsid w:val="005027E4"/>
    <w:rsid w:val="00502F55"/>
    <w:rsid w:val="00502FF7"/>
    <w:rsid w:val="005030C9"/>
    <w:rsid w:val="005030DD"/>
    <w:rsid w:val="0050319B"/>
    <w:rsid w:val="00503A0A"/>
    <w:rsid w:val="00503CAB"/>
    <w:rsid w:val="00503EA8"/>
    <w:rsid w:val="00503FC1"/>
    <w:rsid w:val="00504085"/>
    <w:rsid w:val="005047EC"/>
    <w:rsid w:val="005047F6"/>
    <w:rsid w:val="005047F8"/>
    <w:rsid w:val="00504C96"/>
    <w:rsid w:val="00504F24"/>
    <w:rsid w:val="00504FAB"/>
    <w:rsid w:val="005051AB"/>
    <w:rsid w:val="0050555E"/>
    <w:rsid w:val="00505600"/>
    <w:rsid w:val="005058B9"/>
    <w:rsid w:val="00505C05"/>
    <w:rsid w:val="00506186"/>
    <w:rsid w:val="00506241"/>
    <w:rsid w:val="00506289"/>
    <w:rsid w:val="00506446"/>
    <w:rsid w:val="00506955"/>
    <w:rsid w:val="00506B48"/>
    <w:rsid w:val="005070AB"/>
    <w:rsid w:val="00507457"/>
    <w:rsid w:val="00507886"/>
    <w:rsid w:val="0050788C"/>
    <w:rsid w:val="00507EFF"/>
    <w:rsid w:val="0051005C"/>
    <w:rsid w:val="00510079"/>
    <w:rsid w:val="00510118"/>
    <w:rsid w:val="0051019E"/>
    <w:rsid w:val="005105E0"/>
    <w:rsid w:val="00510AEC"/>
    <w:rsid w:val="0051112A"/>
    <w:rsid w:val="0051122E"/>
    <w:rsid w:val="005112F8"/>
    <w:rsid w:val="00511378"/>
    <w:rsid w:val="00511991"/>
    <w:rsid w:val="00511BFD"/>
    <w:rsid w:val="00511C52"/>
    <w:rsid w:val="00511D09"/>
    <w:rsid w:val="005121DB"/>
    <w:rsid w:val="00512A93"/>
    <w:rsid w:val="00512B4C"/>
    <w:rsid w:val="00512C4D"/>
    <w:rsid w:val="00512DC8"/>
    <w:rsid w:val="00512EC2"/>
    <w:rsid w:val="00513CBE"/>
    <w:rsid w:val="00513DB5"/>
    <w:rsid w:val="00514059"/>
    <w:rsid w:val="005140B9"/>
    <w:rsid w:val="00514998"/>
    <w:rsid w:val="0051569B"/>
    <w:rsid w:val="005160CC"/>
    <w:rsid w:val="005163C6"/>
    <w:rsid w:val="005164ED"/>
    <w:rsid w:val="00516619"/>
    <w:rsid w:val="00516683"/>
    <w:rsid w:val="00516691"/>
    <w:rsid w:val="005169FA"/>
    <w:rsid w:val="00516B90"/>
    <w:rsid w:val="00516D19"/>
    <w:rsid w:val="0051709B"/>
    <w:rsid w:val="005171FE"/>
    <w:rsid w:val="00517560"/>
    <w:rsid w:val="005179DF"/>
    <w:rsid w:val="00520021"/>
    <w:rsid w:val="00520452"/>
    <w:rsid w:val="005205EB"/>
    <w:rsid w:val="00520632"/>
    <w:rsid w:val="00520AB8"/>
    <w:rsid w:val="00520EF4"/>
    <w:rsid w:val="0052126E"/>
    <w:rsid w:val="005212DE"/>
    <w:rsid w:val="0052146C"/>
    <w:rsid w:val="00521B79"/>
    <w:rsid w:val="00521DD1"/>
    <w:rsid w:val="00522139"/>
    <w:rsid w:val="005225EB"/>
    <w:rsid w:val="005229EF"/>
    <w:rsid w:val="00522BA4"/>
    <w:rsid w:val="00522F99"/>
    <w:rsid w:val="0052382E"/>
    <w:rsid w:val="00524230"/>
    <w:rsid w:val="0052446E"/>
    <w:rsid w:val="005245AA"/>
    <w:rsid w:val="00524654"/>
    <w:rsid w:val="00524A2D"/>
    <w:rsid w:val="00526101"/>
    <w:rsid w:val="0052626E"/>
    <w:rsid w:val="005262D8"/>
    <w:rsid w:val="005263A0"/>
    <w:rsid w:val="0052649F"/>
    <w:rsid w:val="00526699"/>
    <w:rsid w:val="00526872"/>
    <w:rsid w:val="00526E04"/>
    <w:rsid w:val="00527223"/>
    <w:rsid w:val="00527264"/>
    <w:rsid w:val="00527853"/>
    <w:rsid w:val="00527F30"/>
    <w:rsid w:val="005304F7"/>
    <w:rsid w:val="00530B19"/>
    <w:rsid w:val="00530CCB"/>
    <w:rsid w:val="005312F2"/>
    <w:rsid w:val="005315DA"/>
    <w:rsid w:val="00531798"/>
    <w:rsid w:val="005323EA"/>
    <w:rsid w:val="0053246C"/>
    <w:rsid w:val="0053249A"/>
    <w:rsid w:val="0053253A"/>
    <w:rsid w:val="00532BB7"/>
    <w:rsid w:val="00532C8E"/>
    <w:rsid w:val="00532CE7"/>
    <w:rsid w:val="005330FD"/>
    <w:rsid w:val="0053317D"/>
    <w:rsid w:val="0053348D"/>
    <w:rsid w:val="0053360F"/>
    <w:rsid w:val="00533BE5"/>
    <w:rsid w:val="00533D8C"/>
    <w:rsid w:val="00533DCC"/>
    <w:rsid w:val="005341C3"/>
    <w:rsid w:val="00534430"/>
    <w:rsid w:val="005344C3"/>
    <w:rsid w:val="005346B7"/>
    <w:rsid w:val="00534757"/>
    <w:rsid w:val="005349B5"/>
    <w:rsid w:val="005349D1"/>
    <w:rsid w:val="00534A01"/>
    <w:rsid w:val="00534B38"/>
    <w:rsid w:val="00535795"/>
    <w:rsid w:val="0053586F"/>
    <w:rsid w:val="00535900"/>
    <w:rsid w:val="00535A52"/>
    <w:rsid w:val="00535D79"/>
    <w:rsid w:val="00535FA0"/>
    <w:rsid w:val="00535FE7"/>
    <w:rsid w:val="0053626B"/>
    <w:rsid w:val="0053642C"/>
    <w:rsid w:val="00536513"/>
    <w:rsid w:val="005366FD"/>
    <w:rsid w:val="00536C16"/>
    <w:rsid w:val="00536DA9"/>
    <w:rsid w:val="00537273"/>
    <w:rsid w:val="0053783C"/>
    <w:rsid w:val="00537879"/>
    <w:rsid w:val="005379BC"/>
    <w:rsid w:val="0054005D"/>
    <w:rsid w:val="00540060"/>
    <w:rsid w:val="005402CA"/>
    <w:rsid w:val="005405C1"/>
    <w:rsid w:val="00540C18"/>
    <w:rsid w:val="00540FAE"/>
    <w:rsid w:val="00541035"/>
    <w:rsid w:val="00541421"/>
    <w:rsid w:val="005417A5"/>
    <w:rsid w:val="00542038"/>
    <w:rsid w:val="00542111"/>
    <w:rsid w:val="005421DC"/>
    <w:rsid w:val="005426A1"/>
    <w:rsid w:val="005426C4"/>
    <w:rsid w:val="005429AE"/>
    <w:rsid w:val="005430D1"/>
    <w:rsid w:val="005431A1"/>
    <w:rsid w:val="005431B3"/>
    <w:rsid w:val="0054367B"/>
    <w:rsid w:val="0054370D"/>
    <w:rsid w:val="00543927"/>
    <w:rsid w:val="00543F38"/>
    <w:rsid w:val="00544001"/>
    <w:rsid w:val="00544CDF"/>
    <w:rsid w:val="00544F98"/>
    <w:rsid w:val="00545239"/>
    <w:rsid w:val="0054547F"/>
    <w:rsid w:val="00545567"/>
    <w:rsid w:val="005455C5"/>
    <w:rsid w:val="005456C1"/>
    <w:rsid w:val="00545AC0"/>
    <w:rsid w:val="00545D15"/>
    <w:rsid w:val="00545DDC"/>
    <w:rsid w:val="0054611F"/>
    <w:rsid w:val="005461F4"/>
    <w:rsid w:val="005462A5"/>
    <w:rsid w:val="005463A1"/>
    <w:rsid w:val="0054662B"/>
    <w:rsid w:val="005466D7"/>
    <w:rsid w:val="00546809"/>
    <w:rsid w:val="005468AD"/>
    <w:rsid w:val="00546A15"/>
    <w:rsid w:val="005471AB"/>
    <w:rsid w:val="00547266"/>
    <w:rsid w:val="00547862"/>
    <w:rsid w:val="00547F7E"/>
    <w:rsid w:val="0055032F"/>
    <w:rsid w:val="0055108E"/>
    <w:rsid w:val="005512E1"/>
    <w:rsid w:val="00551459"/>
    <w:rsid w:val="00551AA7"/>
    <w:rsid w:val="005527D7"/>
    <w:rsid w:val="00552977"/>
    <w:rsid w:val="00552BBB"/>
    <w:rsid w:val="00553321"/>
    <w:rsid w:val="00553C3A"/>
    <w:rsid w:val="005541B1"/>
    <w:rsid w:val="0055421C"/>
    <w:rsid w:val="005543EB"/>
    <w:rsid w:val="00554457"/>
    <w:rsid w:val="00554A3E"/>
    <w:rsid w:val="00554AB9"/>
    <w:rsid w:val="00554C0C"/>
    <w:rsid w:val="00554CF7"/>
    <w:rsid w:val="00555106"/>
    <w:rsid w:val="00555370"/>
    <w:rsid w:val="005555BE"/>
    <w:rsid w:val="00555AC4"/>
    <w:rsid w:val="00555CAE"/>
    <w:rsid w:val="00555E09"/>
    <w:rsid w:val="00555E0C"/>
    <w:rsid w:val="00555E69"/>
    <w:rsid w:val="00556333"/>
    <w:rsid w:val="005565E2"/>
    <w:rsid w:val="0055668F"/>
    <w:rsid w:val="005568F9"/>
    <w:rsid w:val="00556AF1"/>
    <w:rsid w:val="00556AF2"/>
    <w:rsid w:val="00556DD2"/>
    <w:rsid w:val="00556E58"/>
    <w:rsid w:val="005574EA"/>
    <w:rsid w:val="0055783C"/>
    <w:rsid w:val="00557D16"/>
    <w:rsid w:val="00557E4E"/>
    <w:rsid w:val="00557F12"/>
    <w:rsid w:val="00557F84"/>
    <w:rsid w:val="005602DB"/>
    <w:rsid w:val="0056031A"/>
    <w:rsid w:val="00560383"/>
    <w:rsid w:val="00560389"/>
    <w:rsid w:val="00560760"/>
    <w:rsid w:val="005608D7"/>
    <w:rsid w:val="00560D28"/>
    <w:rsid w:val="00560D4C"/>
    <w:rsid w:val="00561231"/>
    <w:rsid w:val="00561477"/>
    <w:rsid w:val="00561771"/>
    <w:rsid w:val="00561AA3"/>
    <w:rsid w:val="00561F1B"/>
    <w:rsid w:val="005620A2"/>
    <w:rsid w:val="00562638"/>
    <w:rsid w:val="00562A0B"/>
    <w:rsid w:val="00562A7C"/>
    <w:rsid w:val="005637C1"/>
    <w:rsid w:val="00563BC8"/>
    <w:rsid w:val="00563C02"/>
    <w:rsid w:val="005646AF"/>
    <w:rsid w:val="00564937"/>
    <w:rsid w:val="0056497A"/>
    <w:rsid w:val="00564BB3"/>
    <w:rsid w:val="00564F0E"/>
    <w:rsid w:val="005650AF"/>
    <w:rsid w:val="00565276"/>
    <w:rsid w:val="00565364"/>
    <w:rsid w:val="00565686"/>
    <w:rsid w:val="00565691"/>
    <w:rsid w:val="00565A0E"/>
    <w:rsid w:val="00565D33"/>
    <w:rsid w:val="00565FBE"/>
    <w:rsid w:val="005663F6"/>
    <w:rsid w:val="00566B9E"/>
    <w:rsid w:val="00566BB9"/>
    <w:rsid w:val="00566E80"/>
    <w:rsid w:val="005670DB"/>
    <w:rsid w:val="005672DE"/>
    <w:rsid w:val="00567B8F"/>
    <w:rsid w:val="00567FFE"/>
    <w:rsid w:val="00570258"/>
    <w:rsid w:val="00570700"/>
    <w:rsid w:val="0057097F"/>
    <w:rsid w:val="00570D6A"/>
    <w:rsid w:val="00570DC0"/>
    <w:rsid w:val="00571398"/>
    <w:rsid w:val="005715C4"/>
    <w:rsid w:val="00571781"/>
    <w:rsid w:val="00571831"/>
    <w:rsid w:val="005718FE"/>
    <w:rsid w:val="00572211"/>
    <w:rsid w:val="0057255F"/>
    <w:rsid w:val="00572854"/>
    <w:rsid w:val="00572871"/>
    <w:rsid w:val="00572E99"/>
    <w:rsid w:val="005730FC"/>
    <w:rsid w:val="005731DD"/>
    <w:rsid w:val="005735DD"/>
    <w:rsid w:val="0057385F"/>
    <w:rsid w:val="005739A3"/>
    <w:rsid w:val="00573FF2"/>
    <w:rsid w:val="00574006"/>
    <w:rsid w:val="00574D81"/>
    <w:rsid w:val="00575005"/>
    <w:rsid w:val="00575475"/>
    <w:rsid w:val="00575AD3"/>
    <w:rsid w:val="00575F60"/>
    <w:rsid w:val="00575FD3"/>
    <w:rsid w:val="00576275"/>
    <w:rsid w:val="00576462"/>
    <w:rsid w:val="00576519"/>
    <w:rsid w:val="00576607"/>
    <w:rsid w:val="005766DA"/>
    <w:rsid w:val="00576A68"/>
    <w:rsid w:val="00576B1A"/>
    <w:rsid w:val="00576CBD"/>
    <w:rsid w:val="00577706"/>
    <w:rsid w:val="0058032F"/>
    <w:rsid w:val="00580707"/>
    <w:rsid w:val="00580840"/>
    <w:rsid w:val="00580A55"/>
    <w:rsid w:val="00580D7E"/>
    <w:rsid w:val="00580FC0"/>
    <w:rsid w:val="00581166"/>
    <w:rsid w:val="00581184"/>
    <w:rsid w:val="0058119B"/>
    <w:rsid w:val="00581753"/>
    <w:rsid w:val="00581D84"/>
    <w:rsid w:val="00582A78"/>
    <w:rsid w:val="00582DFA"/>
    <w:rsid w:val="00582E6C"/>
    <w:rsid w:val="00582E9D"/>
    <w:rsid w:val="00583225"/>
    <w:rsid w:val="00583485"/>
    <w:rsid w:val="005834DD"/>
    <w:rsid w:val="00583D15"/>
    <w:rsid w:val="00584282"/>
    <w:rsid w:val="00584344"/>
    <w:rsid w:val="00584B75"/>
    <w:rsid w:val="00585167"/>
    <w:rsid w:val="00585385"/>
    <w:rsid w:val="005859D8"/>
    <w:rsid w:val="00585F84"/>
    <w:rsid w:val="00586043"/>
    <w:rsid w:val="005864C1"/>
    <w:rsid w:val="00586661"/>
    <w:rsid w:val="00586F73"/>
    <w:rsid w:val="00586FA0"/>
    <w:rsid w:val="00587229"/>
    <w:rsid w:val="005872B0"/>
    <w:rsid w:val="005875C6"/>
    <w:rsid w:val="00587728"/>
    <w:rsid w:val="00587744"/>
    <w:rsid w:val="005901BF"/>
    <w:rsid w:val="005903EA"/>
    <w:rsid w:val="00590A64"/>
    <w:rsid w:val="00590A71"/>
    <w:rsid w:val="00590A81"/>
    <w:rsid w:val="00590A83"/>
    <w:rsid w:val="00591290"/>
    <w:rsid w:val="00591360"/>
    <w:rsid w:val="005915DD"/>
    <w:rsid w:val="005917C5"/>
    <w:rsid w:val="00591C4C"/>
    <w:rsid w:val="00591D35"/>
    <w:rsid w:val="0059217D"/>
    <w:rsid w:val="0059294D"/>
    <w:rsid w:val="00592B0F"/>
    <w:rsid w:val="00592B8C"/>
    <w:rsid w:val="00592FBF"/>
    <w:rsid w:val="00593187"/>
    <w:rsid w:val="005933D6"/>
    <w:rsid w:val="0059375B"/>
    <w:rsid w:val="00593940"/>
    <w:rsid w:val="00593D21"/>
    <w:rsid w:val="0059452A"/>
    <w:rsid w:val="0059475C"/>
    <w:rsid w:val="005948FF"/>
    <w:rsid w:val="00594B76"/>
    <w:rsid w:val="00594CDC"/>
    <w:rsid w:val="00594ECF"/>
    <w:rsid w:val="00595155"/>
    <w:rsid w:val="0059517F"/>
    <w:rsid w:val="005953EA"/>
    <w:rsid w:val="005956A2"/>
    <w:rsid w:val="00595737"/>
    <w:rsid w:val="00595A0E"/>
    <w:rsid w:val="00595C28"/>
    <w:rsid w:val="00595F22"/>
    <w:rsid w:val="00596863"/>
    <w:rsid w:val="005968EF"/>
    <w:rsid w:val="00596C1C"/>
    <w:rsid w:val="00596D18"/>
    <w:rsid w:val="00596E15"/>
    <w:rsid w:val="005973FB"/>
    <w:rsid w:val="00597440"/>
    <w:rsid w:val="0059753A"/>
    <w:rsid w:val="00597BA8"/>
    <w:rsid w:val="00597D06"/>
    <w:rsid w:val="005A03CF"/>
    <w:rsid w:val="005A03D9"/>
    <w:rsid w:val="005A0637"/>
    <w:rsid w:val="005A0AA9"/>
    <w:rsid w:val="005A0B84"/>
    <w:rsid w:val="005A0E32"/>
    <w:rsid w:val="005A11D6"/>
    <w:rsid w:val="005A159B"/>
    <w:rsid w:val="005A17A1"/>
    <w:rsid w:val="005A1912"/>
    <w:rsid w:val="005A21CF"/>
    <w:rsid w:val="005A2446"/>
    <w:rsid w:val="005A249D"/>
    <w:rsid w:val="005A2575"/>
    <w:rsid w:val="005A25BA"/>
    <w:rsid w:val="005A2C0E"/>
    <w:rsid w:val="005A3011"/>
    <w:rsid w:val="005A3247"/>
    <w:rsid w:val="005A34A5"/>
    <w:rsid w:val="005A38A9"/>
    <w:rsid w:val="005A38DD"/>
    <w:rsid w:val="005A4E9F"/>
    <w:rsid w:val="005A5175"/>
    <w:rsid w:val="005A5613"/>
    <w:rsid w:val="005A5E0B"/>
    <w:rsid w:val="005A5E78"/>
    <w:rsid w:val="005A6038"/>
    <w:rsid w:val="005A623C"/>
    <w:rsid w:val="005A65E9"/>
    <w:rsid w:val="005A66D8"/>
    <w:rsid w:val="005A6890"/>
    <w:rsid w:val="005A6BB8"/>
    <w:rsid w:val="005A6C02"/>
    <w:rsid w:val="005A6F94"/>
    <w:rsid w:val="005A7172"/>
    <w:rsid w:val="005A74E2"/>
    <w:rsid w:val="005A76C4"/>
    <w:rsid w:val="005A7A21"/>
    <w:rsid w:val="005A7C67"/>
    <w:rsid w:val="005B011F"/>
    <w:rsid w:val="005B0402"/>
    <w:rsid w:val="005B0808"/>
    <w:rsid w:val="005B08DC"/>
    <w:rsid w:val="005B0E19"/>
    <w:rsid w:val="005B0F73"/>
    <w:rsid w:val="005B1693"/>
    <w:rsid w:val="005B1891"/>
    <w:rsid w:val="005B1EAB"/>
    <w:rsid w:val="005B1F75"/>
    <w:rsid w:val="005B2246"/>
    <w:rsid w:val="005B24D1"/>
    <w:rsid w:val="005B2D76"/>
    <w:rsid w:val="005B2F84"/>
    <w:rsid w:val="005B380A"/>
    <w:rsid w:val="005B402E"/>
    <w:rsid w:val="005B40EB"/>
    <w:rsid w:val="005B477B"/>
    <w:rsid w:val="005B4AAB"/>
    <w:rsid w:val="005B4C76"/>
    <w:rsid w:val="005B5315"/>
    <w:rsid w:val="005B5D8F"/>
    <w:rsid w:val="005B6166"/>
    <w:rsid w:val="005B63AD"/>
    <w:rsid w:val="005B6435"/>
    <w:rsid w:val="005B686F"/>
    <w:rsid w:val="005B6CDA"/>
    <w:rsid w:val="005B6D78"/>
    <w:rsid w:val="005B748E"/>
    <w:rsid w:val="005B76F1"/>
    <w:rsid w:val="005B78A9"/>
    <w:rsid w:val="005B79A1"/>
    <w:rsid w:val="005B7A72"/>
    <w:rsid w:val="005C026B"/>
    <w:rsid w:val="005C03C3"/>
    <w:rsid w:val="005C04A7"/>
    <w:rsid w:val="005C08D3"/>
    <w:rsid w:val="005C0E92"/>
    <w:rsid w:val="005C0F67"/>
    <w:rsid w:val="005C1766"/>
    <w:rsid w:val="005C1E2B"/>
    <w:rsid w:val="005C1FFB"/>
    <w:rsid w:val="005C20C5"/>
    <w:rsid w:val="005C30B2"/>
    <w:rsid w:val="005C3766"/>
    <w:rsid w:val="005C408A"/>
    <w:rsid w:val="005C42FE"/>
    <w:rsid w:val="005C4479"/>
    <w:rsid w:val="005C46EE"/>
    <w:rsid w:val="005C4778"/>
    <w:rsid w:val="005C4C42"/>
    <w:rsid w:val="005C4C47"/>
    <w:rsid w:val="005C5189"/>
    <w:rsid w:val="005C51D5"/>
    <w:rsid w:val="005C52A4"/>
    <w:rsid w:val="005C5399"/>
    <w:rsid w:val="005C5755"/>
    <w:rsid w:val="005C581C"/>
    <w:rsid w:val="005C5A7A"/>
    <w:rsid w:val="005C5D49"/>
    <w:rsid w:val="005C5D63"/>
    <w:rsid w:val="005C5E1F"/>
    <w:rsid w:val="005C618C"/>
    <w:rsid w:val="005C64BF"/>
    <w:rsid w:val="005C65CA"/>
    <w:rsid w:val="005C6895"/>
    <w:rsid w:val="005C6DD4"/>
    <w:rsid w:val="005C719C"/>
    <w:rsid w:val="005C71C3"/>
    <w:rsid w:val="005C7465"/>
    <w:rsid w:val="005C7740"/>
    <w:rsid w:val="005C780F"/>
    <w:rsid w:val="005C78C4"/>
    <w:rsid w:val="005C79C0"/>
    <w:rsid w:val="005C7B4D"/>
    <w:rsid w:val="005D001A"/>
    <w:rsid w:val="005D053A"/>
    <w:rsid w:val="005D05C5"/>
    <w:rsid w:val="005D06F3"/>
    <w:rsid w:val="005D0AE6"/>
    <w:rsid w:val="005D0FEC"/>
    <w:rsid w:val="005D1779"/>
    <w:rsid w:val="005D17B9"/>
    <w:rsid w:val="005D1B24"/>
    <w:rsid w:val="005D1E5D"/>
    <w:rsid w:val="005D205D"/>
    <w:rsid w:val="005D23B9"/>
    <w:rsid w:val="005D23F7"/>
    <w:rsid w:val="005D2595"/>
    <w:rsid w:val="005D2FBF"/>
    <w:rsid w:val="005D3059"/>
    <w:rsid w:val="005D3269"/>
    <w:rsid w:val="005D34A6"/>
    <w:rsid w:val="005D37D9"/>
    <w:rsid w:val="005D4427"/>
    <w:rsid w:val="005D444F"/>
    <w:rsid w:val="005D464D"/>
    <w:rsid w:val="005D4905"/>
    <w:rsid w:val="005D55F9"/>
    <w:rsid w:val="005D58F7"/>
    <w:rsid w:val="005D5AB9"/>
    <w:rsid w:val="005D5C50"/>
    <w:rsid w:val="005D62EA"/>
    <w:rsid w:val="005D6309"/>
    <w:rsid w:val="005D65C7"/>
    <w:rsid w:val="005D66D5"/>
    <w:rsid w:val="005D6904"/>
    <w:rsid w:val="005D7024"/>
    <w:rsid w:val="005D731C"/>
    <w:rsid w:val="005D7AF4"/>
    <w:rsid w:val="005D7D07"/>
    <w:rsid w:val="005D7E1A"/>
    <w:rsid w:val="005E0480"/>
    <w:rsid w:val="005E0661"/>
    <w:rsid w:val="005E0A40"/>
    <w:rsid w:val="005E125E"/>
    <w:rsid w:val="005E12C8"/>
    <w:rsid w:val="005E1417"/>
    <w:rsid w:val="005E18D2"/>
    <w:rsid w:val="005E1A57"/>
    <w:rsid w:val="005E1B75"/>
    <w:rsid w:val="005E1B82"/>
    <w:rsid w:val="005E1CBE"/>
    <w:rsid w:val="005E2847"/>
    <w:rsid w:val="005E2CAA"/>
    <w:rsid w:val="005E2E9D"/>
    <w:rsid w:val="005E2EE8"/>
    <w:rsid w:val="005E3478"/>
    <w:rsid w:val="005E362D"/>
    <w:rsid w:val="005E3643"/>
    <w:rsid w:val="005E368C"/>
    <w:rsid w:val="005E395D"/>
    <w:rsid w:val="005E402C"/>
    <w:rsid w:val="005E4043"/>
    <w:rsid w:val="005E4138"/>
    <w:rsid w:val="005E41D6"/>
    <w:rsid w:val="005E4465"/>
    <w:rsid w:val="005E46DF"/>
    <w:rsid w:val="005E4781"/>
    <w:rsid w:val="005E49A6"/>
    <w:rsid w:val="005E4F30"/>
    <w:rsid w:val="005E4F95"/>
    <w:rsid w:val="005E50C1"/>
    <w:rsid w:val="005E5DB5"/>
    <w:rsid w:val="005E5FB3"/>
    <w:rsid w:val="005E6CC2"/>
    <w:rsid w:val="005E741A"/>
    <w:rsid w:val="005E74FB"/>
    <w:rsid w:val="005E76F0"/>
    <w:rsid w:val="005E7F59"/>
    <w:rsid w:val="005F0850"/>
    <w:rsid w:val="005F0958"/>
    <w:rsid w:val="005F1034"/>
    <w:rsid w:val="005F179F"/>
    <w:rsid w:val="005F1A34"/>
    <w:rsid w:val="005F1CFD"/>
    <w:rsid w:val="005F1F4C"/>
    <w:rsid w:val="005F2533"/>
    <w:rsid w:val="005F2A27"/>
    <w:rsid w:val="005F2E60"/>
    <w:rsid w:val="005F3614"/>
    <w:rsid w:val="005F3768"/>
    <w:rsid w:val="005F380B"/>
    <w:rsid w:val="005F3A94"/>
    <w:rsid w:val="005F3CA1"/>
    <w:rsid w:val="005F3ED4"/>
    <w:rsid w:val="005F4038"/>
    <w:rsid w:val="005F4176"/>
    <w:rsid w:val="005F43F3"/>
    <w:rsid w:val="005F4910"/>
    <w:rsid w:val="005F4952"/>
    <w:rsid w:val="005F4BE4"/>
    <w:rsid w:val="005F4C92"/>
    <w:rsid w:val="005F4DDE"/>
    <w:rsid w:val="005F51C9"/>
    <w:rsid w:val="005F54E4"/>
    <w:rsid w:val="005F5686"/>
    <w:rsid w:val="005F5D36"/>
    <w:rsid w:val="005F5DB9"/>
    <w:rsid w:val="005F6278"/>
    <w:rsid w:val="005F62C8"/>
    <w:rsid w:val="005F67BB"/>
    <w:rsid w:val="005F67DA"/>
    <w:rsid w:val="005F6AC2"/>
    <w:rsid w:val="005F6C50"/>
    <w:rsid w:val="005F6C62"/>
    <w:rsid w:val="005F6D68"/>
    <w:rsid w:val="005F6EC1"/>
    <w:rsid w:val="005F6FB8"/>
    <w:rsid w:val="005F728C"/>
    <w:rsid w:val="005F7B73"/>
    <w:rsid w:val="005F7C0E"/>
    <w:rsid w:val="0060097C"/>
    <w:rsid w:val="006012A3"/>
    <w:rsid w:val="00601645"/>
    <w:rsid w:val="00601CA9"/>
    <w:rsid w:val="00602131"/>
    <w:rsid w:val="006021D5"/>
    <w:rsid w:val="00602223"/>
    <w:rsid w:val="00602425"/>
    <w:rsid w:val="0060271C"/>
    <w:rsid w:val="00602AF5"/>
    <w:rsid w:val="00602BF1"/>
    <w:rsid w:val="00603066"/>
    <w:rsid w:val="0060334A"/>
    <w:rsid w:val="00603498"/>
    <w:rsid w:val="006036AE"/>
    <w:rsid w:val="00603772"/>
    <w:rsid w:val="0060385E"/>
    <w:rsid w:val="00603B22"/>
    <w:rsid w:val="00603BB2"/>
    <w:rsid w:val="00603BDE"/>
    <w:rsid w:val="00603D1D"/>
    <w:rsid w:val="00603DE3"/>
    <w:rsid w:val="00604069"/>
    <w:rsid w:val="006041D9"/>
    <w:rsid w:val="00604248"/>
    <w:rsid w:val="0060438E"/>
    <w:rsid w:val="00604579"/>
    <w:rsid w:val="00604894"/>
    <w:rsid w:val="0060492A"/>
    <w:rsid w:val="00605564"/>
    <w:rsid w:val="00606C1F"/>
    <w:rsid w:val="00606F83"/>
    <w:rsid w:val="006074D8"/>
    <w:rsid w:val="006076AF"/>
    <w:rsid w:val="00607810"/>
    <w:rsid w:val="006078DB"/>
    <w:rsid w:val="0061004C"/>
    <w:rsid w:val="00610120"/>
    <w:rsid w:val="00610389"/>
    <w:rsid w:val="0061038A"/>
    <w:rsid w:val="006105BD"/>
    <w:rsid w:val="006105CE"/>
    <w:rsid w:val="00610AE5"/>
    <w:rsid w:val="00610CBF"/>
    <w:rsid w:val="00610D86"/>
    <w:rsid w:val="0061125E"/>
    <w:rsid w:val="006113AB"/>
    <w:rsid w:val="006114A2"/>
    <w:rsid w:val="006124DF"/>
    <w:rsid w:val="006125D4"/>
    <w:rsid w:val="006125FE"/>
    <w:rsid w:val="006126D9"/>
    <w:rsid w:val="00612B0C"/>
    <w:rsid w:val="00612B15"/>
    <w:rsid w:val="00612B64"/>
    <w:rsid w:val="00613166"/>
    <w:rsid w:val="0061382F"/>
    <w:rsid w:val="00613854"/>
    <w:rsid w:val="00613897"/>
    <w:rsid w:val="006138ED"/>
    <w:rsid w:val="0061395C"/>
    <w:rsid w:val="006140DF"/>
    <w:rsid w:val="0061445A"/>
    <w:rsid w:val="00614BF2"/>
    <w:rsid w:val="00614D11"/>
    <w:rsid w:val="00615045"/>
    <w:rsid w:val="006153A2"/>
    <w:rsid w:val="00615488"/>
    <w:rsid w:val="00615888"/>
    <w:rsid w:val="00615994"/>
    <w:rsid w:val="00615F24"/>
    <w:rsid w:val="00616199"/>
    <w:rsid w:val="0061622F"/>
    <w:rsid w:val="006162DB"/>
    <w:rsid w:val="0061656B"/>
    <w:rsid w:val="00616AEC"/>
    <w:rsid w:val="00617002"/>
    <w:rsid w:val="00617433"/>
    <w:rsid w:val="00617AFD"/>
    <w:rsid w:val="006204DA"/>
    <w:rsid w:val="00620DB6"/>
    <w:rsid w:val="006214F0"/>
    <w:rsid w:val="00621A57"/>
    <w:rsid w:val="00621B5B"/>
    <w:rsid w:val="00622061"/>
    <w:rsid w:val="006224DF"/>
    <w:rsid w:val="006227A4"/>
    <w:rsid w:val="00622856"/>
    <w:rsid w:val="006229AD"/>
    <w:rsid w:val="00622EF0"/>
    <w:rsid w:val="00622F6B"/>
    <w:rsid w:val="006231F7"/>
    <w:rsid w:val="00623275"/>
    <w:rsid w:val="006243C2"/>
    <w:rsid w:val="006243FA"/>
    <w:rsid w:val="00624765"/>
    <w:rsid w:val="00624826"/>
    <w:rsid w:val="006251AB"/>
    <w:rsid w:val="0062534C"/>
    <w:rsid w:val="00625581"/>
    <w:rsid w:val="00625670"/>
    <w:rsid w:val="006256EC"/>
    <w:rsid w:val="00625EA8"/>
    <w:rsid w:val="00625EC5"/>
    <w:rsid w:val="00625F43"/>
    <w:rsid w:val="006260D7"/>
    <w:rsid w:val="006263EC"/>
    <w:rsid w:val="006266CE"/>
    <w:rsid w:val="006267BE"/>
    <w:rsid w:val="00626E84"/>
    <w:rsid w:val="00626FE8"/>
    <w:rsid w:val="0062703E"/>
    <w:rsid w:val="00627356"/>
    <w:rsid w:val="006275BC"/>
    <w:rsid w:val="00627733"/>
    <w:rsid w:val="00627816"/>
    <w:rsid w:val="0062799F"/>
    <w:rsid w:val="006279A5"/>
    <w:rsid w:val="006304E1"/>
    <w:rsid w:val="00630832"/>
    <w:rsid w:val="00630953"/>
    <w:rsid w:val="00630D54"/>
    <w:rsid w:val="00631870"/>
    <w:rsid w:val="006319ED"/>
    <w:rsid w:val="00632391"/>
    <w:rsid w:val="006324A0"/>
    <w:rsid w:val="0063279D"/>
    <w:rsid w:val="0063283D"/>
    <w:rsid w:val="00632EF6"/>
    <w:rsid w:val="006333F0"/>
    <w:rsid w:val="00633626"/>
    <w:rsid w:val="00633680"/>
    <w:rsid w:val="006336F8"/>
    <w:rsid w:val="00633AD6"/>
    <w:rsid w:val="00633D4C"/>
    <w:rsid w:val="0063417E"/>
    <w:rsid w:val="006344A5"/>
    <w:rsid w:val="006347CC"/>
    <w:rsid w:val="00634ADD"/>
    <w:rsid w:val="00634E8B"/>
    <w:rsid w:val="006351A8"/>
    <w:rsid w:val="00635395"/>
    <w:rsid w:val="00635480"/>
    <w:rsid w:val="0063599F"/>
    <w:rsid w:val="006363F9"/>
    <w:rsid w:val="00636870"/>
    <w:rsid w:val="00636974"/>
    <w:rsid w:val="00636C92"/>
    <w:rsid w:val="00637495"/>
    <w:rsid w:val="00637E5F"/>
    <w:rsid w:val="00637EB1"/>
    <w:rsid w:val="00640354"/>
    <w:rsid w:val="0064036C"/>
    <w:rsid w:val="006406CB"/>
    <w:rsid w:val="0064070F"/>
    <w:rsid w:val="00640C6B"/>
    <w:rsid w:val="00641202"/>
    <w:rsid w:val="00641317"/>
    <w:rsid w:val="0064133F"/>
    <w:rsid w:val="00641678"/>
    <w:rsid w:val="00641825"/>
    <w:rsid w:val="00641BDB"/>
    <w:rsid w:val="00641DCE"/>
    <w:rsid w:val="00641E0E"/>
    <w:rsid w:val="0064215A"/>
    <w:rsid w:val="006421E3"/>
    <w:rsid w:val="0064222B"/>
    <w:rsid w:val="0064278B"/>
    <w:rsid w:val="00642A73"/>
    <w:rsid w:val="00642BA2"/>
    <w:rsid w:val="00642BEA"/>
    <w:rsid w:val="00643158"/>
    <w:rsid w:val="0064358A"/>
    <w:rsid w:val="00643597"/>
    <w:rsid w:val="00643624"/>
    <w:rsid w:val="006436EA"/>
    <w:rsid w:val="006439AF"/>
    <w:rsid w:val="00643AC6"/>
    <w:rsid w:val="00643B60"/>
    <w:rsid w:val="00643B8C"/>
    <w:rsid w:val="00643DD3"/>
    <w:rsid w:val="00644042"/>
    <w:rsid w:val="006441AB"/>
    <w:rsid w:val="0064437C"/>
    <w:rsid w:val="006445AF"/>
    <w:rsid w:val="00644A48"/>
    <w:rsid w:val="00644DD4"/>
    <w:rsid w:val="00645805"/>
    <w:rsid w:val="00645E79"/>
    <w:rsid w:val="00645E90"/>
    <w:rsid w:val="00646125"/>
    <w:rsid w:val="00646A3B"/>
    <w:rsid w:val="00646D52"/>
    <w:rsid w:val="00647004"/>
    <w:rsid w:val="006472A1"/>
    <w:rsid w:val="006472A3"/>
    <w:rsid w:val="00647462"/>
    <w:rsid w:val="00647761"/>
    <w:rsid w:val="00647FEB"/>
    <w:rsid w:val="00650541"/>
    <w:rsid w:val="00650720"/>
    <w:rsid w:val="00650C66"/>
    <w:rsid w:val="006511F0"/>
    <w:rsid w:val="0065146F"/>
    <w:rsid w:val="0065166E"/>
    <w:rsid w:val="00651A55"/>
    <w:rsid w:val="00651C88"/>
    <w:rsid w:val="00651C8B"/>
    <w:rsid w:val="00651C9C"/>
    <w:rsid w:val="00651D39"/>
    <w:rsid w:val="00651F75"/>
    <w:rsid w:val="0065244F"/>
    <w:rsid w:val="00652508"/>
    <w:rsid w:val="0065303F"/>
    <w:rsid w:val="00653664"/>
    <w:rsid w:val="0065397B"/>
    <w:rsid w:val="00653B61"/>
    <w:rsid w:val="00653CAB"/>
    <w:rsid w:val="00653FC6"/>
    <w:rsid w:val="00654593"/>
    <w:rsid w:val="0065461F"/>
    <w:rsid w:val="00654626"/>
    <w:rsid w:val="0065494D"/>
    <w:rsid w:val="00654CD6"/>
    <w:rsid w:val="00654F65"/>
    <w:rsid w:val="00655164"/>
    <w:rsid w:val="0065524C"/>
    <w:rsid w:val="0065528F"/>
    <w:rsid w:val="00655361"/>
    <w:rsid w:val="0065576C"/>
    <w:rsid w:val="00655770"/>
    <w:rsid w:val="00655961"/>
    <w:rsid w:val="00655D5B"/>
    <w:rsid w:val="006560E4"/>
    <w:rsid w:val="006560F5"/>
    <w:rsid w:val="00656231"/>
    <w:rsid w:val="00656287"/>
    <w:rsid w:val="006564DA"/>
    <w:rsid w:val="0065662C"/>
    <w:rsid w:val="0065681D"/>
    <w:rsid w:val="00656825"/>
    <w:rsid w:val="00656C09"/>
    <w:rsid w:val="00656EF3"/>
    <w:rsid w:val="00656F13"/>
    <w:rsid w:val="006570D8"/>
    <w:rsid w:val="0065742B"/>
    <w:rsid w:val="0065750F"/>
    <w:rsid w:val="00657D23"/>
    <w:rsid w:val="00657E9E"/>
    <w:rsid w:val="00657F73"/>
    <w:rsid w:val="00660AF7"/>
    <w:rsid w:val="00660C40"/>
    <w:rsid w:val="006616F4"/>
    <w:rsid w:val="00662129"/>
    <w:rsid w:val="00662187"/>
    <w:rsid w:val="0066241E"/>
    <w:rsid w:val="0066251F"/>
    <w:rsid w:val="00662789"/>
    <w:rsid w:val="006637B6"/>
    <w:rsid w:val="00663941"/>
    <w:rsid w:val="00663B08"/>
    <w:rsid w:val="00663BC2"/>
    <w:rsid w:val="00663D53"/>
    <w:rsid w:val="00663E49"/>
    <w:rsid w:val="00663F0F"/>
    <w:rsid w:val="00664941"/>
    <w:rsid w:val="00665486"/>
    <w:rsid w:val="00665B36"/>
    <w:rsid w:val="00665B54"/>
    <w:rsid w:val="006661A0"/>
    <w:rsid w:val="0066635E"/>
    <w:rsid w:val="006665AB"/>
    <w:rsid w:val="00666652"/>
    <w:rsid w:val="00666656"/>
    <w:rsid w:val="0066680D"/>
    <w:rsid w:val="00666AD0"/>
    <w:rsid w:val="00666AF1"/>
    <w:rsid w:val="00666B36"/>
    <w:rsid w:val="00666EF1"/>
    <w:rsid w:val="00667031"/>
    <w:rsid w:val="006671A7"/>
    <w:rsid w:val="00667A39"/>
    <w:rsid w:val="00667ED7"/>
    <w:rsid w:val="006706EC"/>
    <w:rsid w:val="006709ED"/>
    <w:rsid w:val="00670B3E"/>
    <w:rsid w:val="00670BB1"/>
    <w:rsid w:val="00670CB9"/>
    <w:rsid w:val="0067160C"/>
    <w:rsid w:val="0067176A"/>
    <w:rsid w:val="006717B0"/>
    <w:rsid w:val="00671D2B"/>
    <w:rsid w:val="00671E93"/>
    <w:rsid w:val="00671F81"/>
    <w:rsid w:val="006721F0"/>
    <w:rsid w:val="006734C7"/>
    <w:rsid w:val="00673CA5"/>
    <w:rsid w:val="00673F00"/>
    <w:rsid w:val="00674470"/>
    <w:rsid w:val="006745AB"/>
    <w:rsid w:val="00674669"/>
    <w:rsid w:val="0067467A"/>
    <w:rsid w:val="006749A5"/>
    <w:rsid w:val="00674A90"/>
    <w:rsid w:val="00674ECC"/>
    <w:rsid w:val="00675444"/>
    <w:rsid w:val="00675608"/>
    <w:rsid w:val="006756A4"/>
    <w:rsid w:val="006756DB"/>
    <w:rsid w:val="00675C9C"/>
    <w:rsid w:val="00675FCB"/>
    <w:rsid w:val="00676130"/>
    <w:rsid w:val="0067621C"/>
    <w:rsid w:val="00676352"/>
    <w:rsid w:val="00676596"/>
    <w:rsid w:val="00676E5B"/>
    <w:rsid w:val="00676FA2"/>
    <w:rsid w:val="0067701D"/>
    <w:rsid w:val="006770AB"/>
    <w:rsid w:val="006776A9"/>
    <w:rsid w:val="006776CD"/>
    <w:rsid w:val="0067780F"/>
    <w:rsid w:val="006779A3"/>
    <w:rsid w:val="00677CDD"/>
    <w:rsid w:val="00680463"/>
    <w:rsid w:val="00680755"/>
    <w:rsid w:val="006809DD"/>
    <w:rsid w:val="00680D13"/>
    <w:rsid w:val="0068116A"/>
    <w:rsid w:val="006812C0"/>
    <w:rsid w:val="00681576"/>
    <w:rsid w:val="006819CA"/>
    <w:rsid w:val="00681AB8"/>
    <w:rsid w:val="00681C40"/>
    <w:rsid w:val="006824A7"/>
    <w:rsid w:val="006824F1"/>
    <w:rsid w:val="0068257D"/>
    <w:rsid w:val="006830A5"/>
    <w:rsid w:val="00683892"/>
    <w:rsid w:val="00683AE3"/>
    <w:rsid w:val="00684833"/>
    <w:rsid w:val="00684BC4"/>
    <w:rsid w:val="00684C23"/>
    <w:rsid w:val="00684D43"/>
    <w:rsid w:val="00684FEE"/>
    <w:rsid w:val="006852FD"/>
    <w:rsid w:val="00685656"/>
    <w:rsid w:val="00685C6D"/>
    <w:rsid w:val="006862A9"/>
    <w:rsid w:val="006868F3"/>
    <w:rsid w:val="00686962"/>
    <w:rsid w:val="00686A0E"/>
    <w:rsid w:val="00686F3C"/>
    <w:rsid w:val="00686FF6"/>
    <w:rsid w:val="00687161"/>
    <w:rsid w:val="00687565"/>
    <w:rsid w:val="006876EC"/>
    <w:rsid w:val="00687A86"/>
    <w:rsid w:val="00687E9D"/>
    <w:rsid w:val="0069004C"/>
    <w:rsid w:val="00690176"/>
    <w:rsid w:val="00690224"/>
    <w:rsid w:val="00690C1E"/>
    <w:rsid w:val="00691136"/>
    <w:rsid w:val="00691513"/>
    <w:rsid w:val="0069184E"/>
    <w:rsid w:val="00691CD9"/>
    <w:rsid w:val="00692183"/>
    <w:rsid w:val="006923BC"/>
    <w:rsid w:val="006925E7"/>
    <w:rsid w:val="00692FE4"/>
    <w:rsid w:val="0069309A"/>
    <w:rsid w:val="006930D9"/>
    <w:rsid w:val="00693145"/>
    <w:rsid w:val="006931BD"/>
    <w:rsid w:val="00693455"/>
    <w:rsid w:val="0069349B"/>
    <w:rsid w:val="006935E1"/>
    <w:rsid w:val="0069377C"/>
    <w:rsid w:val="00693CCB"/>
    <w:rsid w:val="00693DC7"/>
    <w:rsid w:val="00693E4A"/>
    <w:rsid w:val="00693F08"/>
    <w:rsid w:val="00693F23"/>
    <w:rsid w:val="00693FCE"/>
    <w:rsid w:val="006946D8"/>
    <w:rsid w:val="006948A4"/>
    <w:rsid w:val="00694A60"/>
    <w:rsid w:val="00694C94"/>
    <w:rsid w:val="00694E53"/>
    <w:rsid w:val="00695093"/>
    <w:rsid w:val="0069520A"/>
    <w:rsid w:val="00695520"/>
    <w:rsid w:val="00695795"/>
    <w:rsid w:val="006957C8"/>
    <w:rsid w:val="0069584D"/>
    <w:rsid w:val="0069596E"/>
    <w:rsid w:val="00695A6F"/>
    <w:rsid w:val="00695C7D"/>
    <w:rsid w:val="00696361"/>
    <w:rsid w:val="006963FE"/>
    <w:rsid w:val="0069652A"/>
    <w:rsid w:val="006966AF"/>
    <w:rsid w:val="00696C32"/>
    <w:rsid w:val="00696E94"/>
    <w:rsid w:val="00697A0D"/>
    <w:rsid w:val="00697F28"/>
    <w:rsid w:val="006A012B"/>
    <w:rsid w:val="006A017B"/>
    <w:rsid w:val="006A02FA"/>
    <w:rsid w:val="006A0308"/>
    <w:rsid w:val="006A0439"/>
    <w:rsid w:val="006A04E8"/>
    <w:rsid w:val="006A0580"/>
    <w:rsid w:val="006A0A81"/>
    <w:rsid w:val="006A0CA4"/>
    <w:rsid w:val="006A12C4"/>
    <w:rsid w:val="006A1B89"/>
    <w:rsid w:val="006A1C1E"/>
    <w:rsid w:val="006A2C23"/>
    <w:rsid w:val="006A36C9"/>
    <w:rsid w:val="006A36D4"/>
    <w:rsid w:val="006A37C2"/>
    <w:rsid w:val="006A3B5B"/>
    <w:rsid w:val="006A41B9"/>
    <w:rsid w:val="006A41FC"/>
    <w:rsid w:val="006A43CE"/>
    <w:rsid w:val="006A5325"/>
    <w:rsid w:val="006A5425"/>
    <w:rsid w:val="006A5AD2"/>
    <w:rsid w:val="006A5D7F"/>
    <w:rsid w:val="006A6584"/>
    <w:rsid w:val="006A66BB"/>
    <w:rsid w:val="006A6794"/>
    <w:rsid w:val="006A6C8C"/>
    <w:rsid w:val="006A6CD6"/>
    <w:rsid w:val="006A705F"/>
    <w:rsid w:val="006A71A1"/>
    <w:rsid w:val="006A7473"/>
    <w:rsid w:val="006A74FA"/>
    <w:rsid w:val="006A7864"/>
    <w:rsid w:val="006B0061"/>
    <w:rsid w:val="006B00F7"/>
    <w:rsid w:val="006B0132"/>
    <w:rsid w:val="006B02DF"/>
    <w:rsid w:val="006B0431"/>
    <w:rsid w:val="006B0F36"/>
    <w:rsid w:val="006B1383"/>
    <w:rsid w:val="006B16FE"/>
    <w:rsid w:val="006B23A8"/>
    <w:rsid w:val="006B2440"/>
    <w:rsid w:val="006B2444"/>
    <w:rsid w:val="006B2469"/>
    <w:rsid w:val="006B2799"/>
    <w:rsid w:val="006B2D8A"/>
    <w:rsid w:val="006B319A"/>
    <w:rsid w:val="006B32B9"/>
    <w:rsid w:val="006B37E7"/>
    <w:rsid w:val="006B38C0"/>
    <w:rsid w:val="006B405F"/>
    <w:rsid w:val="006B46B4"/>
    <w:rsid w:val="006B46D2"/>
    <w:rsid w:val="006B4D89"/>
    <w:rsid w:val="006B503D"/>
    <w:rsid w:val="006B5183"/>
    <w:rsid w:val="006B595F"/>
    <w:rsid w:val="006B5C6F"/>
    <w:rsid w:val="006B5CB3"/>
    <w:rsid w:val="006B5F06"/>
    <w:rsid w:val="006B642A"/>
    <w:rsid w:val="006B6508"/>
    <w:rsid w:val="006B65F6"/>
    <w:rsid w:val="006B6741"/>
    <w:rsid w:val="006B69D8"/>
    <w:rsid w:val="006B6B74"/>
    <w:rsid w:val="006B6B80"/>
    <w:rsid w:val="006B72C8"/>
    <w:rsid w:val="006B76EE"/>
    <w:rsid w:val="006B7B8F"/>
    <w:rsid w:val="006B7EC4"/>
    <w:rsid w:val="006B7EE7"/>
    <w:rsid w:val="006B7FCA"/>
    <w:rsid w:val="006C003E"/>
    <w:rsid w:val="006C0201"/>
    <w:rsid w:val="006C0DBF"/>
    <w:rsid w:val="006C16F4"/>
    <w:rsid w:val="006C2341"/>
    <w:rsid w:val="006C23F3"/>
    <w:rsid w:val="006C24AB"/>
    <w:rsid w:val="006C2628"/>
    <w:rsid w:val="006C279B"/>
    <w:rsid w:val="006C280A"/>
    <w:rsid w:val="006C2925"/>
    <w:rsid w:val="006C2975"/>
    <w:rsid w:val="006C29B3"/>
    <w:rsid w:val="006C2B35"/>
    <w:rsid w:val="006C2C67"/>
    <w:rsid w:val="006C2F4D"/>
    <w:rsid w:val="006C2FCB"/>
    <w:rsid w:val="006C3038"/>
    <w:rsid w:val="006C30D9"/>
    <w:rsid w:val="006C3256"/>
    <w:rsid w:val="006C338E"/>
    <w:rsid w:val="006C355D"/>
    <w:rsid w:val="006C3B35"/>
    <w:rsid w:val="006C3E44"/>
    <w:rsid w:val="006C405C"/>
    <w:rsid w:val="006C41F9"/>
    <w:rsid w:val="006C42A5"/>
    <w:rsid w:val="006C48F4"/>
    <w:rsid w:val="006C4B04"/>
    <w:rsid w:val="006C5342"/>
    <w:rsid w:val="006C5574"/>
    <w:rsid w:val="006C5B8E"/>
    <w:rsid w:val="006C60F9"/>
    <w:rsid w:val="006C6322"/>
    <w:rsid w:val="006C6433"/>
    <w:rsid w:val="006C6543"/>
    <w:rsid w:val="006C70C7"/>
    <w:rsid w:val="006C73AF"/>
    <w:rsid w:val="006C75DE"/>
    <w:rsid w:val="006C7897"/>
    <w:rsid w:val="006C7F58"/>
    <w:rsid w:val="006C7F67"/>
    <w:rsid w:val="006D09EC"/>
    <w:rsid w:val="006D0CE1"/>
    <w:rsid w:val="006D0D1A"/>
    <w:rsid w:val="006D0E2D"/>
    <w:rsid w:val="006D0ED0"/>
    <w:rsid w:val="006D0F7C"/>
    <w:rsid w:val="006D169E"/>
    <w:rsid w:val="006D1989"/>
    <w:rsid w:val="006D1AD5"/>
    <w:rsid w:val="006D1BB2"/>
    <w:rsid w:val="006D1C42"/>
    <w:rsid w:val="006D2872"/>
    <w:rsid w:val="006D3182"/>
    <w:rsid w:val="006D3472"/>
    <w:rsid w:val="006D3555"/>
    <w:rsid w:val="006D3587"/>
    <w:rsid w:val="006D3804"/>
    <w:rsid w:val="006D3897"/>
    <w:rsid w:val="006D4819"/>
    <w:rsid w:val="006D4A72"/>
    <w:rsid w:val="006D528C"/>
    <w:rsid w:val="006D5301"/>
    <w:rsid w:val="006D53DD"/>
    <w:rsid w:val="006D5A7A"/>
    <w:rsid w:val="006D5D6B"/>
    <w:rsid w:val="006D5E83"/>
    <w:rsid w:val="006D5ECB"/>
    <w:rsid w:val="006D6088"/>
    <w:rsid w:val="006D62E6"/>
    <w:rsid w:val="006D63AD"/>
    <w:rsid w:val="006D6471"/>
    <w:rsid w:val="006D6827"/>
    <w:rsid w:val="006D69D8"/>
    <w:rsid w:val="006D6D77"/>
    <w:rsid w:val="006D70FF"/>
    <w:rsid w:val="006D7994"/>
    <w:rsid w:val="006D7B75"/>
    <w:rsid w:val="006D7C04"/>
    <w:rsid w:val="006D7CA5"/>
    <w:rsid w:val="006D7E89"/>
    <w:rsid w:val="006E0095"/>
    <w:rsid w:val="006E018F"/>
    <w:rsid w:val="006E0391"/>
    <w:rsid w:val="006E04A1"/>
    <w:rsid w:val="006E05EA"/>
    <w:rsid w:val="006E08B2"/>
    <w:rsid w:val="006E119F"/>
    <w:rsid w:val="006E12CB"/>
    <w:rsid w:val="006E138C"/>
    <w:rsid w:val="006E14BF"/>
    <w:rsid w:val="006E1714"/>
    <w:rsid w:val="006E17F3"/>
    <w:rsid w:val="006E198A"/>
    <w:rsid w:val="006E1B79"/>
    <w:rsid w:val="006E23C2"/>
    <w:rsid w:val="006E2729"/>
    <w:rsid w:val="006E309F"/>
    <w:rsid w:val="006E32B0"/>
    <w:rsid w:val="006E33F6"/>
    <w:rsid w:val="006E398C"/>
    <w:rsid w:val="006E39BC"/>
    <w:rsid w:val="006E39CA"/>
    <w:rsid w:val="006E3BF7"/>
    <w:rsid w:val="006E3C24"/>
    <w:rsid w:val="006E3F46"/>
    <w:rsid w:val="006E411B"/>
    <w:rsid w:val="006E44E1"/>
    <w:rsid w:val="006E465B"/>
    <w:rsid w:val="006E47CE"/>
    <w:rsid w:val="006E481B"/>
    <w:rsid w:val="006E4C71"/>
    <w:rsid w:val="006E4DAD"/>
    <w:rsid w:val="006E55C7"/>
    <w:rsid w:val="006E570A"/>
    <w:rsid w:val="006E5A20"/>
    <w:rsid w:val="006E5CB0"/>
    <w:rsid w:val="006E619B"/>
    <w:rsid w:val="006E64BA"/>
    <w:rsid w:val="006E65C3"/>
    <w:rsid w:val="006E6953"/>
    <w:rsid w:val="006E6BE0"/>
    <w:rsid w:val="006E6C2B"/>
    <w:rsid w:val="006E6F0A"/>
    <w:rsid w:val="006E7284"/>
    <w:rsid w:val="006E72A8"/>
    <w:rsid w:val="006E786A"/>
    <w:rsid w:val="006E788F"/>
    <w:rsid w:val="006E7DDB"/>
    <w:rsid w:val="006F009D"/>
    <w:rsid w:val="006F0B7E"/>
    <w:rsid w:val="006F11A4"/>
    <w:rsid w:val="006F19ED"/>
    <w:rsid w:val="006F1A96"/>
    <w:rsid w:val="006F1B55"/>
    <w:rsid w:val="006F1BA2"/>
    <w:rsid w:val="006F1FD2"/>
    <w:rsid w:val="006F21A6"/>
    <w:rsid w:val="006F2353"/>
    <w:rsid w:val="006F2CCA"/>
    <w:rsid w:val="006F2D87"/>
    <w:rsid w:val="006F3017"/>
    <w:rsid w:val="006F35B5"/>
    <w:rsid w:val="006F362A"/>
    <w:rsid w:val="006F382E"/>
    <w:rsid w:val="006F386E"/>
    <w:rsid w:val="006F38EA"/>
    <w:rsid w:val="006F3A5C"/>
    <w:rsid w:val="006F3EA1"/>
    <w:rsid w:val="006F3FC9"/>
    <w:rsid w:val="006F4207"/>
    <w:rsid w:val="006F420B"/>
    <w:rsid w:val="006F48BF"/>
    <w:rsid w:val="006F4974"/>
    <w:rsid w:val="006F49CE"/>
    <w:rsid w:val="006F4A39"/>
    <w:rsid w:val="006F4B85"/>
    <w:rsid w:val="006F4CFE"/>
    <w:rsid w:val="006F5333"/>
    <w:rsid w:val="006F550C"/>
    <w:rsid w:val="006F55A2"/>
    <w:rsid w:val="006F566C"/>
    <w:rsid w:val="006F578D"/>
    <w:rsid w:val="006F58F8"/>
    <w:rsid w:val="006F5A80"/>
    <w:rsid w:val="006F5AE0"/>
    <w:rsid w:val="006F5C33"/>
    <w:rsid w:val="006F5E17"/>
    <w:rsid w:val="006F5F09"/>
    <w:rsid w:val="006F7049"/>
    <w:rsid w:val="006F7696"/>
    <w:rsid w:val="006F78E0"/>
    <w:rsid w:val="006F7918"/>
    <w:rsid w:val="006F7AFE"/>
    <w:rsid w:val="006F7D88"/>
    <w:rsid w:val="0070012C"/>
    <w:rsid w:val="00700830"/>
    <w:rsid w:val="0070085F"/>
    <w:rsid w:val="00700E69"/>
    <w:rsid w:val="00701053"/>
    <w:rsid w:val="007021F7"/>
    <w:rsid w:val="00702AC7"/>
    <w:rsid w:val="00702B23"/>
    <w:rsid w:val="00704543"/>
    <w:rsid w:val="0070499D"/>
    <w:rsid w:val="00704C1D"/>
    <w:rsid w:val="0070507E"/>
    <w:rsid w:val="007050C4"/>
    <w:rsid w:val="00705585"/>
    <w:rsid w:val="00705AF7"/>
    <w:rsid w:val="0070614E"/>
    <w:rsid w:val="0070627B"/>
    <w:rsid w:val="00706630"/>
    <w:rsid w:val="007069B5"/>
    <w:rsid w:val="00706E05"/>
    <w:rsid w:val="00706F9D"/>
    <w:rsid w:val="00707AA9"/>
    <w:rsid w:val="00707C40"/>
    <w:rsid w:val="00707CA5"/>
    <w:rsid w:val="00710115"/>
    <w:rsid w:val="007101B4"/>
    <w:rsid w:val="007101F9"/>
    <w:rsid w:val="0071028D"/>
    <w:rsid w:val="00710862"/>
    <w:rsid w:val="00710888"/>
    <w:rsid w:val="007108A7"/>
    <w:rsid w:val="00710AA2"/>
    <w:rsid w:val="007110D5"/>
    <w:rsid w:val="00711233"/>
    <w:rsid w:val="0071159B"/>
    <w:rsid w:val="0071192F"/>
    <w:rsid w:val="00711A6F"/>
    <w:rsid w:val="00711BAC"/>
    <w:rsid w:val="00711CE4"/>
    <w:rsid w:val="00711F88"/>
    <w:rsid w:val="007124CC"/>
    <w:rsid w:val="0071257C"/>
    <w:rsid w:val="007125BB"/>
    <w:rsid w:val="0071270B"/>
    <w:rsid w:val="00712D4B"/>
    <w:rsid w:val="00713B58"/>
    <w:rsid w:val="00713D95"/>
    <w:rsid w:val="00713E1B"/>
    <w:rsid w:val="0071422D"/>
    <w:rsid w:val="007156FD"/>
    <w:rsid w:val="0071581E"/>
    <w:rsid w:val="00715AA8"/>
    <w:rsid w:val="00715AF2"/>
    <w:rsid w:val="00715D28"/>
    <w:rsid w:val="00715D48"/>
    <w:rsid w:val="00716054"/>
    <w:rsid w:val="0071654A"/>
    <w:rsid w:val="00716602"/>
    <w:rsid w:val="00716E43"/>
    <w:rsid w:val="00716F09"/>
    <w:rsid w:val="00717ADE"/>
    <w:rsid w:val="00717D8F"/>
    <w:rsid w:val="00717E6B"/>
    <w:rsid w:val="00717ECF"/>
    <w:rsid w:val="00720862"/>
    <w:rsid w:val="00720BA0"/>
    <w:rsid w:val="00720D32"/>
    <w:rsid w:val="00720D8E"/>
    <w:rsid w:val="007211D6"/>
    <w:rsid w:val="007212D4"/>
    <w:rsid w:val="007213F5"/>
    <w:rsid w:val="0072156B"/>
    <w:rsid w:val="0072165C"/>
    <w:rsid w:val="00721745"/>
    <w:rsid w:val="00721759"/>
    <w:rsid w:val="00721B39"/>
    <w:rsid w:val="00721B97"/>
    <w:rsid w:val="00721FD3"/>
    <w:rsid w:val="0072298F"/>
    <w:rsid w:val="00722B03"/>
    <w:rsid w:val="00722EB1"/>
    <w:rsid w:val="0072315B"/>
    <w:rsid w:val="0072346F"/>
    <w:rsid w:val="007238BB"/>
    <w:rsid w:val="00723930"/>
    <w:rsid w:val="007239C9"/>
    <w:rsid w:val="00723AAA"/>
    <w:rsid w:val="00723D0C"/>
    <w:rsid w:val="00723E65"/>
    <w:rsid w:val="00723F30"/>
    <w:rsid w:val="0072466A"/>
    <w:rsid w:val="0072483B"/>
    <w:rsid w:val="00724BF1"/>
    <w:rsid w:val="00724C26"/>
    <w:rsid w:val="007251F3"/>
    <w:rsid w:val="00725443"/>
    <w:rsid w:val="00725669"/>
    <w:rsid w:val="00725A74"/>
    <w:rsid w:val="00725BD7"/>
    <w:rsid w:val="00725DFA"/>
    <w:rsid w:val="00725F84"/>
    <w:rsid w:val="007262E8"/>
    <w:rsid w:val="00726487"/>
    <w:rsid w:val="007265B9"/>
    <w:rsid w:val="00726A43"/>
    <w:rsid w:val="00726C5F"/>
    <w:rsid w:val="00726DD8"/>
    <w:rsid w:val="00726E3A"/>
    <w:rsid w:val="007273C7"/>
    <w:rsid w:val="00727825"/>
    <w:rsid w:val="00727C86"/>
    <w:rsid w:val="00727DB7"/>
    <w:rsid w:val="00727DF0"/>
    <w:rsid w:val="0073032B"/>
    <w:rsid w:val="00730392"/>
    <w:rsid w:val="00731513"/>
    <w:rsid w:val="00731BFF"/>
    <w:rsid w:val="00731F60"/>
    <w:rsid w:val="007322B3"/>
    <w:rsid w:val="007324E4"/>
    <w:rsid w:val="00732697"/>
    <w:rsid w:val="007327DE"/>
    <w:rsid w:val="007328B8"/>
    <w:rsid w:val="007328F9"/>
    <w:rsid w:val="00732BC4"/>
    <w:rsid w:val="00732D4C"/>
    <w:rsid w:val="00732D92"/>
    <w:rsid w:val="00732ED7"/>
    <w:rsid w:val="007331E9"/>
    <w:rsid w:val="00733309"/>
    <w:rsid w:val="00733CB8"/>
    <w:rsid w:val="007340CB"/>
    <w:rsid w:val="007342D3"/>
    <w:rsid w:val="007349BE"/>
    <w:rsid w:val="00734AEC"/>
    <w:rsid w:val="00734B28"/>
    <w:rsid w:val="007350F0"/>
    <w:rsid w:val="0073582A"/>
    <w:rsid w:val="007359C3"/>
    <w:rsid w:val="00735D06"/>
    <w:rsid w:val="00735E67"/>
    <w:rsid w:val="00735EEE"/>
    <w:rsid w:val="00736097"/>
    <w:rsid w:val="007362D8"/>
    <w:rsid w:val="007365DB"/>
    <w:rsid w:val="00736662"/>
    <w:rsid w:val="0073693C"/>
    <w:rsid w:val="00736ED7"/>
    <w:rsid w:val="00737070"/>
    <w:rsid w:val="00737476"/>
    <w:rsid w:val="0073782A"/>
    <w:rsid w:val="00737AED"/>
    <w:rsid w:val="00737DD1"/>
    <w:rsid w:val="0074001E"/>
    <w:rsid w:val="00740020"/>
    <w:rsid w:val="0074007E"/>
    <w:rsid w:val="00740D90"/>
    <w:rsid w:val="00741213"/>
    <w:rsid w:val="007413D5"/>
    <w:rsid w:val="007414CA"/>
    <w:rsid w:val="0074167E"/>
    <w:rsid w:val="00741739"/>
    <w:rsid w:val="00741889"/>
    <w:rsid w:val="00742070"/>
    <w:rsid w:val="007423F0"/>
    <w:rsid w:val="00742423"/>
    <w:rsid w:val="0074258E"/>
    <w:rsid w:val="00742A32"/>
    <w:rsid w:val="0074362E"/>
    <w:rsid w:val="00744152"/>
    <w:rsid w:val="00744183"/>
    <w:rsid w:val="0074420F"/>
    <w:rsid w:val="007444A6"/>
    <w:rsid w:val="007446B1"/>
    <w:rsid w:val="00744A99"/>
    <w:rsid w:val="00744DFD"/>
    <w:rsid w:val="007451C0"/>
    <w:rsid w:val="00745980"/>
    <w:rsid w:val="00745B39"/>
    <w:rsid w:val="00746096"/>
    <w:rsid w:val="007462D2"/>
    <w:rsid w:val="00746713"/>
    <w:rsid w:val="007467F5"/>
    <w:rsid w:val="007468E8"/>
    <w:rsid w:val="007471B1"/>
    <w:rsid w:val="00747593"/>
    <w:rsid w:val="00747A26"/>
    <w:rsid w:val="00747B29"/>
    <w:rsid w:val="00747D59"/>
    <w:rsid w:val="00747D66"/>
    <w:rsid w:val="00747FA7"/>
    <w:rsid w:val="007503C6"/>
    <w:rsid w:val="007509ED"/>
    <w:rsid w:val="007509F4"/>
    <w:rsid w:val="00751056"/>
    <w:rsid w:val="0075112E"/>
    <w:rsid w:val="0075115C"/>
    <w:rsid w:val="00751191"/>
    <w:rsid w:val="0075126E"/>
    <w:rsid w:val="0075129A"/>
    <w:rsid w:val="00751B03"/>
    <w:rsid w:val="00751C89"/>
    <w:rsid w:val="00751C99"/>
    <w:rsid w:val="00751EEB"/>
    <w:rsid w:val="00751F96"/>
    <w:rsid w:val="0075222F"/>
    <w:rsid w:val="00752407"/>
    <w:rsid w:val="007529EA"/>
    <w:rsid w:val="00752D0B"/>
    <w:rsid w:val="00753113"/>
    <w:rsid w:val="0075323D"/>
    <w:rsid w:val="00753AAB"/>
    <w:rsid w:val="00753C6B"/>
    <w:rsid w:val="00754342"/>
    <w:rsid w:val="00754856"/>
    <w:rsid w:val="007548DE"/>
    <w:rsid w:val="00754929"/>
    <w:rsid w:val="0075496A"/>
    <w:rsid w:val="00754B13"/>
    <w:rsid w:val="007552ED"/>
    <w:rsid w:val="00755591"/>
    <w:rsid w:val="00755D66"/>
    <w:rsid w:val="007562EC"/>
    <w:rsid w:val="00756715"/>
    <w:rsid w:val="007571D6"/>
    <w:rsid w:val="0075734A"/>
    <w:rsid w:val="00757476"/>
    <w:rsid w:val="007575DB"/>
    <w:rsid w:val="007606CD"/>
    <w:rsid w:val="00760EEB"/>
    <w:rsid w:val="0076122B"/>
    <w:rsid w:val="0076129D"/>
    <w:rsid w:val="007612C8"/>
    <w:rsid w:val="00761570"/>
    <w:rsid w:val="00761874"/>
    <w:rsid w:val="00761D14"/>
    <w:rsid w:val="007621E3"/>
    <w:rsid w:val="007622DC"/>
    <w:rsid w:val="00762351"/>
    <w:rsid w:val="00762967"/>
    <w:rsid w:val="00762AAF"/>
    <w:rsid w:val="007630B4"/>
    <w:rsid w:val="00763D8D"/>
    <w:rsid w:val="00763F0C"/>
    <w:rsid w:val="007646D5"/>
    <w:rsid w:val="00764AE5"/>
    <w:rsid w:val="00764FE0"/>
    <w:rsid w:val="00765314"/>
    <w:rsid w:val="00765698"/>
    <w:rsid w:val="00765790"/>
    <w:rsid w:val="007657B7"/>
    <w:rsid w:val="00765A2A"/>
    <w:rsid w:val="00765BF5"/>
    <w:rsid w:val="00765C2B"/>
    <w:rsid w:val="007660C1"/>
    <w:rsid w:val="0076622A"/>
    <w:rsid w:val="00766392"/>
    <w:rsid w:val="007666B1"/>
    <w:rsid w:val="007668E3"/>
    <w:rsid w:val="0076696C"/>
    <w:rsid w:val="00766D9A"/>
    <w:rsid w:val="00767109"/>
    <w:rsid w:val="00767805"/>
    <w:rsid w:val="00767B23"/>
    <w:rsid w:val="00767F54"/>
    <w:rsid w:val="0077016D"/>
    <w:rsid w:val="00770405"/>
    <w:rsid w:val="00770418"/>
    <w:rsid w:val="00770903"/>
    <w:rsid w:val="007711B5"/>
    <w:rsid w:val="007712DC"/>
    <w:rsid w:val="007713FF"/>
    <w:rsid w:val="0077140B"/>
    <w:rsid w:val="007718A0"/>
    <w:rsid w:val="00771DF2"/>
    <w:rsid w:val="00771E06"/>
    <w:rsid w:val="00771E10"/>
    <w:rsid w:val="00772193"/>
    <w:rsid w:val="00772450"/>
    <w:rsid w:val="00772B16"/>
    <w:rsid w:val="00772D3A"/>
    <w:rsid w:val="007731CD"/>
    <w:rsid w:val="007732CE"/>
    <w:rsid w:val="00773361"/>
    <w:rsid w:val="00773557"/>
    <w:rsid w:val="007737C0"/>
    <w:rsid w:val="007738EF"/>
    <w:rsid w:val="007739C8"/>
    <w:rsid w:val="007739E7"/>
    <w:rsid w:val="00773D64"/>
    <w:rsid w:val="00773F41"/>
    <w:rsid w:val="0077412B"/>
    <w:rsid w:val="007745C4"/>
    <w:rsid w:val="00774610"/>
    <w:rsid w:val="00774824"/>
    <w:rsid w:val="00774CA4"/>
    <w:rsid w:val="00774D23"/>
    <w:rsid w:val="00775019"/>
    <w:rsid w:val="007750D3"/>
    <w:rsid w:val="00775105"/>
    <w:rsid w:val="00775145"/>
    <w:rsid w:val="007754C8"/>
    <w:rsid w:val="0077580E"/>
    <w:rsid w:val="00775B12"/>
    <w:rsid w:val="00775BCD"/>
    <w:rsid w:val="00775FCA"/>
    <w:rsid w:val="007771B7"/>
    <w:rsid w:val="0077727C"/>
    <w:rsid w:val="00777328"/>
    <w:rsid w:val="007775A3"/>
    <w:rsid w:val="00777626"/>
    <w:rsid w:val="00777A24"/>
    <w:rsid w:val="0078040A"/>
    <w:rsid w:val="00780521"/>
    <w:rsid w:val="007806EE"/>
    <w:rsid w:val="00780727"/>
    <w:rsid w:val="00780C34"/>
    <w:rsid w:val="00780D86"/>
    <w:rsid w:val="00780F9D"/>
    <w:rsid w:val="007810E1"/>
    <w:rsid w:val="0078124F"/>
    <w:rsid w:val="00781776"/>
    <w:rsid w:val="00781DB8"/>
    <w:rsid w:val="00782090"/>
    <w:rsid w:val="0078213D"/>
    <w:rsid w:val="007821AB"/>
    <w:rsid w:val="00782391"/>
    <w:rsid w:val="007827BF"/>
    <w:rsid w:val="00782C0A"/>
    <w:rsid w:val="00782C20"/>
    <w:rsid w:val="00783004"/>
    <w:rsid w:val="007831E1"/>
    <w:rsid w:val="007832C0"/>
    <w:rsid w:val="00783C70"/>
    <w:rsid w:val="00783EF4"/>
    <w:rsid w:val="007846AE"/>
    <w:rsid w:val="00784F0E"/>
    <w:rsid w:val="00785110"/>
    <w:rsid w:val="00785442"/>
    <w:rsid w:val="0078591D"/>
    <w:rsid w:val="00785DE0"/>
    <w:rsid w:val="00786359"/>
    <w:rsid w:val="007864B0"/>
    <w:rsid w:val="00786ADC"/>
    <w:rsid w:val="00786D3A"/>
    <w:rsid w:val="0078793A"/>
    <w:rsid w:val="00790905"/>
    <w:rsid w:val="00790B60"/>
    <w:rsid w:val="007911FE"/>
    <w:rsid w:val="007919B6"/>
    <w:rsid w:val="00791BB6"/>
    <w:rsid w:val="00791BF6"/>
    <w:rsid w:val="00791DDE"/>
    <w:rsid w:val="00792CF1"/>
    <w:rsid w:val="00792DFE"/>
    <w:rsid w:val="0079320C"/>
    <w:rsid w:val="007932EB"/>
    <w:rsid w:val="007936E5"/>
    <w:rsid w:val="00793D9C"/>
    <w:rsid w:val="0079418B"/>
    <w:rsid w:val="00794361"/>
    <w:rsid w:val="0079514A"/>
    <w:rsid w:val="007957DD"/>
    <w:rsid w:val="00795B6A"/>
    <w:rsid w:val="00795E73"/>
    <w:rsid w:val="00796150"/>
    <w:rsid w:val="0079716E"/>
    <w:rsid w:val="007975C0"/>
    <w:rsid w:val="0079785E"/>
    <w:rsid w:val="00797BC8"/>
    <w:rsid w:val="007A015B"/>
    <w:rsid w:val="007A0429"/>
    <w:rsid w:val="007A0C41"/>
    <w:rsid w:val="007A0F45"/>
    <w:rsid w:val="007A0F4C"/>
    <w:rsid w:val="007A1690"/>
    <w:rsid w:val="007A1965"/>
    <w:rsid w:val="007A1D13"/>
    <w:rsid w:val="007A2694"/>
    <w:rsid w:val="007A2AC7"/>
    <w:rsid w:val="007A2D07"/>
    <w:rsid w:val="007A2DFE"/>
    <w:rsid w:val="007A2EBD"/>
    <w:rsid w:val="007A3415"/>
    <w:rsid w:val="007A3B29"/>
    <w:rsid w:val="007A3C74"/>
    <w:rsid w:val="007A42BE"/>
    <w:rsid w:val="007A43D2"/>
    <w:rsid w:val="007A4505"/>
    <w:rsid w:val="007A4663"/>
    <w:rsid w:val="007A4B41"/>
    <w:rsid w:val="007A4EA2"/>
    <w:rsid w:val="007A56AA"/>
    <w:rsid w:val="007A5775"/>
    <w:rsid w:val="007A5C9C"/>
    <w:rsid w:val="007A5DF4"/>
    <w:rsid w:val="007A5F61"/>
    <w:rsid w:val="007A5F6F"/>
    <w:rsid w:val="007A609D"/>
    <w:rsid w:val="007A63E8"/>
    <w:rsid w:val="007A6436"/>
    <w:rsid w:val="007A6544"/>
    <w:rsid w:val="007A687D"/>
    <w:rsid w:val="007A6EE1"/>
    <w:rsid w:val="007A7096"/>
    <w:rsid w:val="007A73AD"/>
    <w:rsid w:val="007A7413"/>
    <w:rsid w:val="007A7CB4"/>
    <w:rsid w:val="007A7DED"/>
    <w:rsid w:val="007B0048"/>
    <w:rsid w:val="007B00EB"/>
    <w:rsid w:val="007B1066"/>
    <w:rsid w:val="007B10C6"/>
    <w:rsid w:val="007B135D"/>
    <w:rsid w:val="007B149B"/>
    <w:rsid w:val="007B17E3"/>
    <w:rsid w:val="007B18EE"/>
    <w:rsid w:val="007B1C88"/>
    <w:rsid w:val="007B2307"/>
    <w:rsid w:val="007B2449"/>
    <w:rsid w:val="007B2731"/>
    <w:rsid w:val="007B2BB2"/>
    <w:rsid w:val="007B2D85"/>
    <w:rsid w:val="007B2FF0"/>
    <w:rsid w:val="007B3136"/>
    <w:rsid w:val="007B322A"/>
    <w:rsid w:val="007B37DD"/>
    <w:rsid w:val="007B3910"/>
    <w:rsid w:val="007B39EA"/>
    <w:rsid w:val="007B3E0A"/>
    <w:rsid w:val="007B4026"/>
    <w:rsid w:val="007B4073"/>
    <w:rsid w:val="007B40D5"/>
    <w:rsid w:val="007B44AB"/>
    <w:rsid w:val="007B44DE"/>
    <w:rsid w:val="007B46CD"/>
    <w:rsid w:val="007B52FB"/>
    <w:rsid w:val="007B547E"/>
    <w:rsid w:val="007B58D9"/>
    <w:rsid w:val="007B5EFE"/>
    <w:rsid w:val="007B6082"/>
    <w:rsid w:val="007B6231"/>
    <w:rsid w:val="007B6382"/>
    <w:rsid w:val="007B65B9"/>
    <w:rsid w:val="007B6E80"/>
    <w:rsid w:val="007B6F8B"/>
    <w:rsid w:val="007B708F"/>
    <w:rsid w:val="007B70A0"/>
    <w:rsid w:val="007B7347"/>
    <w:rsid w:val="007B74EB"/>
    <w:rsid w:val="007B7F5F"/>
    <w:rsid w:val="007B7FAC"/>
    <w:rsid w:val="007C026C"/>
    <w:rsid w:val="007C071F"/>
    <w:rsid w:val="007C0DAA"/>
    <w:rsid w:val="007C0FD7"/>
    <w:rsid w:val="007C14CB"/>
    <w:rsid w:val="007C1AE2"/>
    <w:rsid w:val="007C1CB2"/>
    <w:rsid w:val="007C1ED7"/>
    <w:rsid w:val="007C2111"/>
    <w:rsid w:val="007C23B2"/>
    <w:rsid w:val="007C24E3"/>
    <w:rsid w:val="007C2620"/>
    <w:rsid w:val="007C2754"/>
    <w:rsid w:val="007C2F1D"/>
    <w:rsid w:val="007C342E"/>
    <w:rsid w:val="007C37AA"/>
    <w:rsid w:val="007C3912"/>
    <w:rsid w:val="007C3A4C"/>
    <w:rsid w:val="007C3CBA"/>
    <w:rsid w:val="007C3DAC"/>
    <w:rsid w:val="007C3F9E"/>
    <w:rsid w:val="007C438D"/>
    <w:rsid w:val="007C484F"/>
    <w:rsid w:val="007C4AED"/>
    <w:rsid w:val="007C4D66"/>
    <w:rsid w:val="007C4E05"/>
    <w:rsid w:val="007C4F15"/>
    <w:rsid w:val="007C4FE3"/>
    <w:rsid w:val="007C5302"/>
    <w:rsid w:val="007C5693"/>
    <w:rsid w:val="007C59B0"/>
    <w:rsid w:val="007C5E36"/>
    <w:rsid w:val="007C5E45"/>
    <w:rsid w:val="007C5E5A"/>
    <w:rsid w:val="007C5EA3"/>
    <w:rsid w:val="007C5FE2"/>
    <w:rsid w:val="007C62CA"/>
    <w:rsid w:val="007C64BA"/>
    <w:rsid w:val="007C66FF"/>
    <w:rsid w:val="007C688F"/>
    <w:rsid w:val="007C6A3D"/>
    <w:rsid w:val="007C70F1"/>
    <w:rsid w:val="007C743C"/>
    <w:rsid w:val="007C7469"/>
    <w:rsid w:val="007C75FE"/>
    <w:rsid w:val="007C76B8"/>
    <w:rsid w:val="007C76FB"/>
    <w:rsid w:val="007C77E5"/>
    <w:rsid w:val="007C7D85"/>
    <w:rsid w:val="007C7ECD"/>
    <w:rsid w:val="007D039E"/>
    <w:rsid w:val="007D0923"/>
    <w:rsid w:val="007D0C52"/>
    <w:rsid w:val="007D0E43"/>
    <w:rsid w:val="007D0E80"/>
    <w:rsid w:val="007D1004"/>
    <w:rsid w:val="007D1051"/>
    <w:rsid w:val="007D11F5"/>
    <w:rsid w:val="007D153C"/>
    <w:rsid w:val="007D1773"/>
    <w:rsid w:val="007D1C11"/>
    <w:rsid w:val="007D2338"/>
    <w:rsid w:val="007D278D"/>
    <w:rsid w:val="007D28FA"/>
    <w:rsid w:val="007D2B07"/>
    <w:rsid w:val="007D35AF"/>
    <w:rsid w:val="007D3CEF"/>
    <w:rsid w:val="007D3EE3"/>
    <w:rsid w:val="007D41D9"/>
    <w:rsid w:val="007D4492"/>
    <w:rsid w:val="007D4659"/>
    <w:rsid w:val="007D4E62"/>
    <w:rsid w:val="007D5072"/>
    <w:rsid w:val="007D50E8"/>
    <w:rsid w:val="007D50F3"/>
    <w:rsid w:val="007D51DC"/>
    <w:rsid w:val="007D549B"/>
    <w:rsid w:val="007D5596"/>
    <w:rsid w:val="007D5652"/>
    <w:rsid w:val="007D5B90"/>
    <w:rsid w:val="007D60EA"/>
    <w:rsid w:val="007D6989"/>
    <w:rsid w:val="007D6A73"/>
    <w:rsid w:val="007D70A0"/>
    <w:rsid w:val="007D70DC"/>
    <w:rsid w:val="007D7375"/>
    <w:rsid w:val="007D740E"/>
    <w:rsid w:val="007D7582"/>
    <w:rsid w:val="007E0338"/>
    <w:rsid w:val="007E08BE"/>
    <w:rsid w:val="007E095A"/>
    <w:rsid w:val="007E09E7"/>
    <w:rsid w:val="007E0ACA"/>
    <w:rsid w:val="007E1122"/>
    <w:rsid w:val="007E1237"/>
    <w:rsid w:val="007E1319"/>
    <w:rsid w:val="007E14EF"/>
    <w:rsid w:val="007E1D74"/>
    <w:rsid w:val="007E1E4E"/>
    <w:rsid w:val="007E206C"/>
    <w:rsid w:val="007E2093"/>
    <w:rsid w:val="007E24A0"/>
    <w:rsid w:val="007E2B97"/>
    <w:rsid w:val="007E2D80"/>
    <w:rsid w:val="007E2DC8"/>
    <w:rsid w:val="007E300F"/>
    <w:rsid w:val="007E3172"/>
    <w:rsid w:val="007E32B9"/>
    <w:rsid w:val="007E35C1"/>
    <w:rsid w:val="007E39B1"/>
    <w:rsid w:val="007E3A25"/>
    <w:rsid w:val="007E3F04"/>
    <w:rsid w:val="007E442B"/>
    <w:rsid w:val="007E4DCB"/>
    <w:rsid w:val="007E4F8C"/>
    <w:rsid w:val="007E59BA"/>
    <w:rsid w:val="007E59CA"/>
    <w:rsid w:val="007E5E45"/>
    <w:rsid w:val="007E637C"/>
    <w:rsid w:val="007E675B"/>
    <w:rsid w:val="007E6814"/>
    <w:rsid w:val="007E6910"/>
    <w:rsid w:val="007E6AAA"/>
    <w:rsid w:val="007E70C0"/>
    <w:rsid w:val="007E71E8"/>
    <w:rsid w:val="007E7443"/>
    <w:rsid w:val="007E74E6"/>
    <w:rsid w:val="007E7917"/>
    <w:rsid w:val="007E7FC5"/>
    <w:rsid w:val="007F0127"/>
    <w:rsid w:val="007F01DD"/>
    <w:rsid w:val="007F030A"/>
    <w:rsid w:val="007F06DF"/>
    <w:rsid w:val="007F096D"/>
    <w:rsid w:val="007F0A5C"/>
    <w:rsid w:val="007F0D99"/>
    <w:rsid w:val="007F110E"/>
    <w:rsid w:val="007F1140"/>
    <w:rsid w:val="007F114D"/>
    <w:rsid w:val="007F1190"/>
    <w:rsid w:val="007F1563"/>
    <w:rsid w:val="007F1663"/>
    <w:rsid w:val="007F1707"/>
    <w:rsid w:val="007F1835"/>
    <w:rsid w:val="007F18CC"/>
    <w:rsid w:val="007F246E"/>
    <w:rsid w:val="007F24C6"/>
    <w:rsid w:val="007F24E5"/>
    <w:rsid w:val="007F24E8"/>
    <w:rsid w:val="007F29CE"/>
    <w:rsid w:val="007F2A64"/>
    <w:rsid w:val="007F2F71"/>
    <w:rsid w:val="007F3132"/>
    <w:rsid w:val="007F33A9"/>
    <w:rsid w:val="007F3436"/>
    <w:rsid w:val="007F3AA4"/>
    <w:rsid w:val="007F3BB0"/>
    <w:rsid w:val="007F3C17"/>
    <w:rsid w:val="007F3C73"/>
    <w:rsid w:val="007F3CA4"/>
    <w:rsid w:val="007F3ED3"/>
    <w:rsid w:val="007F46C4"/>
    <w:rsid w:val="007F4739"/>
    <w:rsid w:val="007F4935"/>
    <w:rsid w:val="007F5453"/>
    <w:rsid w:val="007F558B"/>
    <w:rsid w:val="007F5934"/>
    <w:rsid w:val="007F63F9"/>
    <w:rsid w:val="007F66A2"/>
    <w:rsid w:val="007F6EC5"/>
    <w:rsid w:val="007F7D7B"/>
    <w:rsid w:val="007F7EBA"/>
    <w:rsid w:val="00800761"/>
    <w:rsid w:val="008008F2"/>
    <w:rsid w:val="00800B30"/>
    <w:rsid w:val="00801AE7"/>
    <w:rsid w:val="00801B92"/>
    <w:rsid w:val="00801F00"/>
    <w:rsid w:val="00801F0B"/>
    <w:rsid w:val="00801F7F"/>
    <w:rsid w:val="00802020"/>
    <w:rsid w:val="0080241B"/>
    <w:rsid w:val="008027BD"/>
    <w:rsid w:val="00802AF2"/>
    <w:rsid w:val="00802CB5"/>
    <w:rsid w:val="00802E5D"/>
    <w:rsid w:val="00802F6C"/>
    <w:rsid w:val="008039F5"/>
    <w:rsid w:val="00803BB1"/>
    <w:rsid w:val="00803C71"/>
    <w:rsid w:val="00803FC3"/>
    <w:rsid w:val="00804228"/>
    <w:rsid w:val="00804233"/>
    <w:rsid w:val="00804487"/>
    <w:rsid w:val="00804D9D"/>
    <w:rsid w:val="00804DC0"/>
    <w:rsid w:val="00804DFE"/>
    <w:rsid w:val="008050C6"/>
    <w:rsid w:val="008054D8"/>
    <w:rsid w:val="008055D2"/>
    <w:rsid w:val="00805611"/>
    <w:rsid w:val="0080563B"/>
    <w:rsid w:val="00805E25"/>
    <w:rsid w:val="00805E8E"/>
    <w:rsid w:val="008069DB"/>
    <w:rsid w:val="00806E1A"/>
    <w:rsid w:val="008070A7"/>
    <w:rsid w:val="008074F7"/>
    <w:rsid w:val="0080772F"/>
    <w:rsid w:val="00807A6A"/>
    <w:rsid w:val="00807FCD"/>
    <w:rsid w:val="008100BD"/>
    <w:rsid w:val="00810802"/>
    <w:rsid w:val="00810B12"/>
    <w:rsid w:val="00810B5D"/>
    <w:rsid w:val="00810D85"/>
    <w:rsid w:val="00810EBD"/>
    <w:rsid w:val="00811824"/>
    <w:rsid w:val="00811891"/>
    <w:rsid w:val="008119E6"/>
    <w:rsid w:val="00811F65"/>
    <w:rsid w:val="008127A8"/>
    <w:rsid w:val="008127B4"/>
    <w:rsid w:val="00812C44"/>
    <w:rsid w:val="00813073"/>
    <w:rsid w:val="008135F8"/>
    <w:rsid w:val="00813634"/>
    <w:rsid w:val="008136C6"/>
    <w:rsid w:val="00813810"/>
    <w:rsid w:val="008138C6"/>
    <w:rsid w:val="00813F06"/>
    <w:rsid w:val="00814CC7"/>
    <w:rsid w:val="00814CFA"/>
    <w:rsid w:val="00815245"/>
    <w:rsid w:val="008157A8"/>
    <w:rsid w:val="00815874"/>
    <w:rsid w:val="00815D08"/>
    <w:rsid w:val="00815D9D"/>
    <w:rsid w:val="00815FC7"/>
    <w:rsid w:val="00816135"/>
    <w:rsid w:val="008162F6"/>
    <w:rsid w:val="008165CB"/>
    <w:rsid w:val="008166A1"/>
    <w:rsid w:val="00816815"/>
    <w:rsid w:val="00816855"/>
    <w:rsid w:val="00816865"/>
    <w:rsid w:val="00816B8B"/>
    <w:rsid w:val="00816D47"/>
    <w:rsid w:val="00816EEB"/>
    <w:rsid w:val="008171E5"/>
    <w:rsid w:val="0081739E"/>
    <w:rsid w:val="00817F00"/>
    <w:rsid w:val="008205F0"/>
    <w:rsid w:val="008209A1"/>
    <w:rsid w:val="00820DD0"/>
    <w:rsid w:val="00820EC9"/>
    <w:rsid w:val="008213FB"/>
    <w:rsid w:val="008215CF"/>
    <w:rsid w:val="0082194A"/>
    <w:rsid w:val="00821C66"/>
    <w:rsid w:val="00821C95"/>
    <w:rsid w:val="00821E70"/>
    <w:rsid w:val="00821EEE"/>
    <w:rsid w:val="00822010"/>
    <w:rsid w:val="008220A2"/>
    <w:rsid w:val="00822432"/>
    <w:rsid w:val="00822687"/>
    <w:rsid w:val="00822789"/>
    <w:rsid w:val="00822E8A"/>
    <w:rsid w:val="0082316B"/>
    <w:rsid w:val="0082318D"/>
    <w:rsid w:val="008232A7"/>
    <w:rsid w:val="00823C71"/>
    <w:rsid w:val="00824254"/>
    <w:rsid w:val="00824B7C"/>
    <w:rsid w:val="00824B82"/>
    <w:rsid w:val="00824C0C"/>
    <w:rsid w:val="00824E64"/>
    <w:rsid w:val="008253C5"/>
    <w:rsid w:val="008256C2"/>
    <w:rsid w:val="0082576C"/>
    <w:rsid w:val="00825DE7"/>
    <w:rsid w:val="00825E89"/>
    <w:rsid w:val="008260D1"/>
    <w:rsid w:val="00826DEC"/>
    <w:rsid w:val="00826E20"/>
    <w:rsid w:val="008279B4"/>
    <w:rsid w:val="00827A31"/>
    <w:rsid w:val="00827AB3"/>
    <w:rsid w:val="00827EDB"/>
    <w:rsid w:val="008301CC"/>
    <w:rsid w:val="00830230"/>
    <w:rsid w:val="0083066B"/>
    <w:rsid w:val="00830675"/>
    <w:rsid w:val="0083072B"/>
    <w:rsid w:val="00830B36"/>
    <w:rsid w:val="0083154F"/>
    <w:rsid w:val="0083174F"/>
    <w:rsid w:val="0083177E"/>
    <w:rsid w:val="00831A13"/>
    <w:rsid w:val="00832054"/>
    <w:rsid w:val="0083219D"/>
    <w:rsid w:val="008324B5"/>
    <w:rsid w:val="0083264F"/>
    <w:rsid w:val="008326CD"/>
    <w:rsid w:val="00832826"/>
    <w:rsid w:val="008329D2"/>
    <w:rsid w:val="00832D59"/>
    <w:rsid w:val="0083325D"/>
    <w:rsid w:val="0083327A"/>
    <w:rsid w:val="008334F5"/>
    <w:rsid w:val="008342F2"/>
    <w:rsid w:val="00834692"/>
    <w:rsid w:val="0083488E"/>
    <w:rsid w:val="008348A7"/>
    <w:rsid w:val="0083494A"/>
    <w:rsid w:val="00834AD2"/>
    <w:rsid w:val="00834AFC"/>
    <w:rsid w:val="00834E69"/>
    <w:rsid w:val="0083572D"/>
    <w:rsid w:val="00835934"/>
    <w:rsid w:val="00835F3E"/>
    <w:rsid w:val="0083651F"/>
    <w:rsid w:val="0083665D"/>
    <w:rsid w:val="0083691C"/>
    <w:rsid w:val="00836FA8"/>
    <w:rsid w:val="00836FCE"/>
    <w:rsid w:val="00837053"/>
    <w:rsid w:val="008370DE"/>
    <w:rsid w:val="00837163"/>
    <w:rsid w:val="008376E0"/>
    <w:rsid w:val="008377D9"/>
    <w:rsid w:val="00837A03"/>
    <w:rsid w:val="00837FDB"/>
    <w:rsid w:val="008401A1"/>
    <w:rsid w:val="00840994"/>
    <w:rsid w:val="00840A80"/>
    <w:rsid w:val="008414A3"/>
    <w:rsid w:val="008414E0"/>
    <w:rsid w:val="00841680"/>
    <w:rsid w:val="00841A4D"/>
    <w:rsid w:val="00841A6E"/>
    <w:rsid w:val="00841CED"/>
    <w:rsid w:val="00841E41"/>
    <w:rsid w:val="00841FD9"/>
    <w:rsid w:val="00842377"/>
    <w:rsid w:val="008426E4"/>
    <w:rsid w:val="00842A9C"/>
    <w:rsid w:val="00842B0F"/>
    <w:rsid w:val="008434C9"/>
    <w:rsid w:val="00843D1E"/>
    <w:rsid w:val="00844003"/>
    <w:rsid w:val="0084482C"/>
    <w:rsid w:val="008448B6"/>
    <w:rsid w:val="00844ACF"/>
    <w:rsid w:val="00844C70"/>
    <w:rsid w:val="00844DC4"/>
    <w:rsid w:val="00844F24"/>
    <w:rsid w:val="00845397"/>
    <w:rsid w:val="008456AD"/>
    <w:rsid w:val="00845843"/>
    <w:rsid w:val="00845926"/>
    <w:rsid w:val="00846027"/>
    <w:rsid w:val="0084639E"/>
    <w:rsid w:val="00846846"/>
    <w:rsid w:val="00846A67"/>
    <w:rsid w:val="008473D6"/>
    <w:rsid w:val="008476EF"/>
    <w:rsid w:val="00847CAA"/>
    <w:rsid w:val="00847DEB"/>
    <w:rsid w:val="00850402"/>
    <w:rsid w:val="008504B6"/>
    <w:rsid w:val="008509DC"/>
    <w:rsid w:val="00850AC3"/>
    <w:rsid w:val="00850F51"/>
    <w:rsid w:val="00850FE5"/>
    <w:rsid w:val="00851342"/>
    <w:rsid w:val="0085134F"/>
    <w:rsid w:val="00851831"/>
    <w:rsid w:val="0085185D"/>
    <w:rsid w:val="008518E4"/>
    <w:rsid w:val="00851A22"/>
    <w:rsid w:val="00851B07"/>
    <w:rsid w:val="008525F6"/>
    <w:rsid w:val="00852665"/>
    <w:rsid w:val="00852832"/>
    <w:rsid w:val="00852935"/>
    <w:rsid w:val="0085296B"/>
    <w:rsid w:val="00852EA1"/>
    <w:rsid w:val="00853059"/>
    <w:rsid w:val="00853AA9"/>
    <w:rsid w:val="008542A5"/>
    <w:rsid w:val="008542C0"/>
    <w:rsid w:val="0085479F"/>
    <w:rsid w:val="008548A8"/>
    <w:rsid w:val="00854F04"/>
    <w:rsid w:val="0085521C"/>
    <w:rsid w:val="00855615"/>
    <w:rsid w:val="00855807"/>
    <w:rsid w:val="00855B56"/>
    <w:rsid w:val="0085610F"/>
    <w:rsid w:val="008564A1"/>
    <w:rsid w:val="008568EF"/>
    <w:rsid w:val="00856923"/>
    <w:rsid w:val="00856D65"/>
    <w:rsid w:val="00856EF1"/>
    <w:rsid w:val="00856F7F"/>
    <w:rsid w:val="00856FA2"/>
    <w:rsid w:val="008574A4"/>
    <w:rsid w:val="0085774B"/>
    <w:rsid w:val="00857A9B"/>
    <w:rsid w:val="00860037"/>
    <w:rsid w:val="00860207"/>
    <w:rsid w:val="0086023C"/>
    <w:rsid w:val="008606D1"/>
    <w:rsid w:val="008609AC"/>
    <w:rsid w:val="00860ADB"/>
    <w:rsid w:val="00860EFF"/>
    <w:rsid w:val="00861541"/>
    <w:rsid w:val="00861965"/>
    <w:rsid w:val="00861C02"/>
    <w:rsid w:val="00861D1F"/>
    <w:rsid w:val="00861FC2"/>
    <w:rsid w:val="00862053"/>
    <w:rsid w:val="008624BF"/>
    <w:rsid w:val="008625EA"/>
    <w:rsid w:val="00862C18"/>
    <w:rsid w:val="00863755"/>
    <w:rsid w:val="0086377C"/>
    <w:rsid w:val="00863BE9"/>
    <w:rsid w:val="00864153"/>
    <w:rsid w:val="00864270"/>
    <w:rsid w:val="00864C1E"/>
    <w:rsid w:val="008655DB"/>
    <w:rsid w:val="00865659"/>
    <w:rsid w:val="008659BF"/>
    <w:rsid w:val="00865A52"/>
    <w:rsid w:val="00865B49"/>
    <w:rsid w:val="00866238"/>
    <w:rsid w:val="00866676"/>
    <w:rsid w:val="00866786"/>
    <w:rsid w:val="008667E4"/>
    <w:rsid w:val="00866B2B"/>
    <w:rsid w:val="00866DB5"/>
    <w:rsid w:val="00866E8A"/>
    <w:rsid w:val="00867247"/>
    <w:rsid w:val="00867362"/>
    <w:rsid w:val="00867E6B"/>
    <w:rsid w:val="00867EC4"/>
    <w:rsid w:val="00867F00"/>
    <w:rsid w:val="008700B2"/>
    <w:rsid w:val="00870477"/>
    <w:rsid w:val="00870A8F"/>
    <w:rsid w:val="00870DA8"/>
    <w:rsid w:val="008710A5"/>
    <w:rsid w:val="00871A61"/>
    <w:rsid w:val="00871C97"/>
    <w:rsid w:val="00872563"/>
    <w:rsid w:val="00872A6A"/>
    <w:rsid w:val="00872BBB"/>
    <w:rsid w:val="00872ECC"/>
    <w:rsid w:val="00872F6E"/>
    <w:rsid w:val="00872F82"/>
    <w:rsid w:val="008731B6"/>
    <w:rsid w:val="008732B9"/>
    <w:rsid w:val="00873389"/>
    <w:rsid w:val="00873A4C"/>
    <w:rsid w:val="00874410"/>
    <w:rsid w:val="00874507"/>
    <w:rsid w:val="0087477B"/>
    <w:rsid w:val="00874D55"/>
    <w:rsid w:val="00875630"/>
    <w:rsid w:val="00875702"/>
    <w:rsid w:val="008759D8"/>
    <w:rsid w:val="00875D21"/>
    <w:rsid w:val="00875E85"/>
    <w:rsid w:val="00875F92"/>
    <w:rsid w:val="00875FE4"/>
    <w:rsid w:val="00876711"/>
    <w:rsid w:val="0087676B"/>
    <w:rsid w:val="0087681C"/>
    <w:rsid w:val="0087694E"/>
    <w:rsid w:val="00876E3A"/>
    <w:rsid w:val="00877187"/>
    <w:rsid w:val="00877271"/>
    <w:rsid w:val="008777CF"/>
    <w:rsid w:val="00877CA7"/>
    <w:rsid w:val="00877E1E"/>
    <w:rsid w:val="00877EC9"/>
    <w:rsid w:val="00880B14"/>
    <w:rsid w:val="00880BEB"/>
    <w:rsid w:val="00880C59"/>
    <w:rsid w:val="00881139"/>
    <w:rsid w:val="00881203"/>
    <w:rsid w:val="008818C0"/>
    <w:rsid w:val="008819FF"/>
    <w:rsid w:val="00881A41"/>
    <w:rsid w:val="008821A4"/>
    <w:rsid w:val="00882341"/>
    <w:rsid w:val="0088254B"/>
    <w:rsid w:val="00882A28"/>
    <w:rsid w:val="00882A34"/>
    <w:rsid w:val="00882DF0"/>
    <w:rsid w:val="00883312"/>
    <w:rsid w:val="00883705"/>
    <w:rsid w:val="008845B6"/>
    <w:rsid w:val="00884728"/>
    <w:rsid w:val="00884E37"/>
    <w:rsid w:val="00884E4F"/>
    <w:rsid w:val="00885148"/>
    <w:rsid w:val="008854E8"/>
    <w:rsid w:val="0088584C"/>
    <w:rsid w:val="00885F02"/>
    <w:rsid w:val="008864A8"/>
    <w:rsid w:val="0088658E"/>
    <w:rsid w:val="00886813"/>
    <w:rsid w:val="00886E17"/>
    <w:rsid w:val="00886E9D"/>
    <w:rsid w:val="0088710E"/>
    <w:rsid w:val="00887236"/>
    <w:rsid w:val="0088770F"/>
    <w:rsid w:val="00887865"/>
    <w:rsid w:val="00887881"/>
    <w:rsid w:val="008878E7"/>
    <w:rsid w:val="00887958"/>
    <w:rsid w:val="00887C13"/>
    <w:rsid w:val="00887C79"/>
    <w:rsid w:val="00887F07"/>
    <w:rsid w:val="00890159"/>
    <w:rsid w:val="00890947"/>
    <w:rsid w:val="00890B28"/>
    <w:rsid w:val="00890BCD"/>
    <w:rsid w:val="00890CEB"/>
    <w:rsid w:val="00891200"/>
    <w:rsid w:val="00891223"/>
    <w:rsid w:val="0089195C"/>
    <w:rsid w:val="008919CE"/>
    <w:rsid w:val="00891B38"/>
    <w:rsid w:val="00891F23"/>
    <w:rsid w:val="008922B5"/>
    <w:rsid w:val="008923D0"/>
    <w:rsid w:val="00892A05"/>
    <w:rsid w:val="00892C76"/>
    <w:rsid w:val="00892CB1"/>
    <w:rsid w:val="008934C6"/>
    <w:rsid w:val="00893CE2"/>
    <w:rsid w:val="008940BB"/>
    <w:rsid w:val="008940DF"/>
    <w:rsid w:val="00894297"/>
    <w:rsid w:val="008942C6"/>
    <w:rsid w:val="008942D4"/>
    <w:rsid w:val="008944D8"/>
    <w:rsid w:val="00894776"/>
    <w:rsid w:val="008949DE"/>
    <w:rsid w:val="00895234"/>
    <w:rsid w:val="00895707"/>
    <w:rsid w:val="00895A2F"/>
    <w:rsid w:val="00895A85"/>
    <w:rsid w:val="00895A8F"/>
    <w:rsid w:val="00895D91"/>
    <w:rsid w:val="008960F0"/>
    <w:rsid w:val="00896119"/>
    <w:rsid w:val="008962C1"/>
    <w:rsid w:val="008965F8"/>
    <w:rsid w:val="00896664"/>
    <w:rsid w:val="00896865"/>
    <w:rsid w:val="00896F59"/>
    <w:rsid w:val="00897677"/>
    <w:rsid w:val="00897D2A"/>
    <w:rsid w:val="00897E43"/>
    <w:rsid w:val="008A0AE7"/>
    <w:rsid w:val="008A0B6D"/>
    <w:rsid w:val="008A0D56"/>
    <w:rsid w:val="008A1192"/>
    <w:rsid w:val="008A1280"/>
    <w:rsid w:val="008A1430"/>
    <w:rsid w:val="008A1818"/>
    <w:rsid w:val="008A1845"/>
    <w:rsid w:val="008A1865"/>
    <w:rsid w:val="008A1C05"/>
    <w:rsid w:val="008A1F14"/>
    <w:rsid w:val="008A223C"/>
    <w:rsid w:val="008A237C"/>
    <w:rsid w:val="008A2723"/>
    <w:rsid w:val="008A283A"/>
    <w:rsid w:val="008A3073"/>
    <w:rsid w:val="008A38DA"/>
    <w:rsid w:val="008A3CAC"/>
    <w:rsid w:val="008A3F7F"/>
    <w:rsid w:val="008A4288"/>
    <w:rsid w:val="008A4301"/>
    <w:rsid w:val="008A43D9"/>
    <w:rsid w:val="008A4685"/>
    <w:rsid w:val="008A4A72"/>
    <w:rsid w:val="008A4B80"/>
    <w:rsid w:val="008A4D5C"/>
    <w:rsid w:val="008A4DD7"/>
    <w:rsid w:val="008A5484"/>
    <w:rsid w:val="008A5DDD"/>
    <w:rsid w:val="008A60A0"/>
    <w:rsid w:val="008A60A5"/>
    <w:rsid w:val="008A60FC"/>
    <w:rsid w:val="008A61FA"/>
    <w:rsid w:val="008A621B"/>
    <w:rsid w:val="008A6241"/>
    <w:rsid w:val="008A64B0"/>
    <w:rsid w:val="008A66EC"/>
    <w:rsid w:val="008A67B7"/>
    <w:rsid w:val="008A6C17"/>
    <w:rsid w:val="008A6DEC"/>
    <w:rsid w:val="008A6E69"/>
    <w:rsid w:val="008A739F"/>
    <w:rsid w:val="008A78BE"/>
    <w:rsid w:val="008B0169"/>
    <w:rsid w:val="008B05DB"/>
    <w:rsid w:val="008B0673"/>
    <w:rsid w:val="008B070C"/>
    <w:rsid w:val="008B0893"/>
    <w:rsid w:val="008B0A92"/>
    <w:rsid w:val="008B0D7B"/>
    <w:rsid w:val="008B0FEE"/>
    <w:rsid w:val="008B153A"/>
    <w:rsid w:val="008B1A82"/>
    <w:rsid w:val="008B1BD8"/>
    <w:rsid w:val="008B1CF9"/>
    <w:rsid w:val="008B1D40"/>
    <w:rsid w:val="008B2896"/>
    <w:rsid w:val="008B35DB"/>
    <w:rsid w:val="008B39FC"/>
    <w:rsid w:val="008B3AB6"/>
    <w:rsid w:val="008B3B14"/>
    <w:rsid w:val="008B3C2F"/>
    <w:rsid w:val="008B3FF2"/>
    <w:rsid w:val="008B4145"/>
    <w:rsid w:val="008B4408"/>
    <w:rsid w:val="008B44C7"/>
    <w:rsid w:val="008B4622"/>
    <w:rsid w:val="008B495B"/>
    <w:rsid w:val="008B496B"/>
    <w:rsid w:val="008B50F4"/>
    <w:rsid w:val="008B52CD"/>
    <w:rsid w:val="008B52D6"/>
    <w:rsid w:val="008B55D6"/>
    <w:rsid w:val="008B5D71"/>
    <w:rsid w:val="008B6179"/>
    <w:rsid w:val="008B626F"/>
    <w:rsid w:val="008B6EFD"/>
    <w:rsid w:val="008B71F0"/>
    <w:rsid w:val="008B78B6"/>
    <w:rsid w:val="008B7BDA"/>
    <w:rsid w:val="008B7C39"/>
    <w:rsid w:val="008B7C5A"/>
    <w:rsid w:val="008C006E"/>
    <w:rsid w:val="008C00AE"/>
    <w:rsid w:val="008C045F"/>
    <w:rsid w:val="008C048F"/>
    <w:rsid w:val="008C06B9"/>
    <w:rsid w:val="008C0712"/>
    <w:rsid w:val="008C0DD2"/>
    <w:rsid w:val="008C1111"/>
    <w:rsid w:val="008C11E6"/>
    <w:rsid w:val="008C1382"/>
    <w:rsid w:val="008C1B10"/>
    <w:rsid w:val="008C1BE5"/>
    <w:rsid w:val="008C1F09"/>
    <w:rsid w:val="008C20A5"/>
    <w:rsid w:val="008C212D"/>
    <w:rsid w:val="008C2879"/>
    <w:rsid w:val="008C2914"/>
    <w:rsid w:val="008C2B33"/>
    <w:rsid w:val="008C2B45"/>
    <w:rsid w:val="008C3225"/>
    <w:rsid w:val="008C3DAB"/>
    <w:rsid w:val="008C410F"/>
    <w:rsid w:val="008C4212"/>
    <w:rsid w:val="008C4AAA"/>
    <w:rsid w:val="008C4FB7"/>
    <w:rsid w:val="008C5680"/>
    <w:rsid w:val="008C57F6"/>
    <w:rsid w:val="008C57FA"/>
    <w:rsid w:val="008C5B9F"/>
    <w:rsid w:val="008C5BC8"/>
    <w:rsid w:val="008C623B"/>
    <w:rsid w:val="008C64FA"/>
    <w:rsid w:val="008C6798"/>
    <w:rsid w:val="008C68CF"/>
    <w:rsid w:val="008C69FC"/>
    <w:rsid w:val="008C6B8D"/>
    <w:rsid w:val="008C6C2D"/>
    <w:rsid w:val="008C729A"/>
    <w:rsid w:val="008C756B"/>
    <w:rsid w:val="008C784A"/>
    <w:rsid w:val="008C7A4E"/>
    <w:rsid w:val="008C7E13"/>
    <w:rsid w:val="008C7E56"/>
    <w:rsid w:val="008D0023"/>
    <w:rsid w:val="008D0B67"/>
    <w:rsid w:val="008D0BAE"/>
    <w:rsid w:val="008D13A5"/>
    <w:rsid w:val="008D157E"/>
    <w:rsid w:val="008D1F15"/>
    <w:rsid w:val="008D27CF"/>
    <w:rsid w:val="008D29DB"/>
    <w:rsid w:val="008D2B60"/>
    <w:rsid w:val="008D2EA0"/>
    <w:rsid w:val="008D3891"/>
    <w:rsid w:val="008D3A13"/>
    <w:rsid w:val="008D3AED"/>
    <w:rsid w:val="008D3C7D"/>
    <w:rsid w:val="008D421D"/>
    <w:rsid w:val="008D472D"/>
    <w:rsid w:val="008D4895"/>
    <w:rsid w:val="008D4A0C"/>
    <w:rsid w:val="008D4A55"/>
    <w:rsid w:val="008D4EF7"/>
    <w:rsid w:val="008D52C2"/>
    <w:rsid w:val="008D54C3"/>
    <w:rsid w:val="008D57E1"/>
    <w:rsid w:val="008D5E6D"/>
    <w:rsid w:val="008D5EB5"/>
    <w:rsid w:val="008D5FEE"/>
    <w:rsid w:val="008D60AD"/>
    <w:rsid w:val="008D636B"/>
    <w:rsid w:val="008D6410"/>
    <w:rsid w:val="008D6D59"/>
    <w:rsid w:val="008D7345"/>
    <w:rsid w:val="008D77CF"/>
    <w:rsid w:val="008D77D2"/>
    <w:rsid w:val="008D7950"/>
    <w:rsid w:val="008D7EEE"/>
    <w:rsid w:val="008E0312"/>
    <w:rsid w:val="008E032F"/>
    <w:rsid w:val="008E04A4"/>
    <w:rsid w:val="008E08A2"/>
    <w:rsid w:val="008E105C"/>
    <w:rsid w:val="008E1180"/>
    <w:rsid w:val="008E1891"/>
    <w:rsid w:val="008E2625"/>
    <w:rsid w:val="008E272D"/>
    <w:rsid w:val="008E2B87"/>
    <w:rsid w:val="008E2CFF"/>
    <w:rsid w:val="008E2F62"/>
    <w:rsid w:val="008E3480"/>
    <w:rsid w:val="008E3907"/>
    <w:rsid w:val="008E39B9"/>
    <w:rsid w:val="008E4340"/>
    <w:rsid w:val="008E5068"/>
    <w:rsid w:val="008E52A7"/>
    <w:rsid w:val="008E52F0"/>
    <w:rsid w:val="008E57DD"/>
    <w:rsid w:val="008E58B6"/>
    <w:rsid w:val="008E6053"/>
    <w:rsid w:val="008E62F8"/>
    <w:rsid w:val="008E671E"/>
    <w:rsid w:val="008E6936"/>
    <w:rsid w:val="008E6C90"/>
    <w:rsid w:val="008E745C"/>
    <w:rsid w:val="008E7466"/>
    <w:rsid w:val="008E7524"/>
    <w:rsid w:val="008E7594"/>
    <w:rsid w:val="008E7704"/>
    <w:rsid w:val="008E7760"/>
    <w:rsid w:val="008E77CE"/>
    <w:rsid w:val="008E7971"/>
    <w:rsid w:val="008E7972"/>
    <w:rsid w:val="008E7B54"/>
    <w:rsid w:val="008E7BF6"/>
    <w:rsid w:val="008E7C2B"/>
    <w:rsid w:val="008E7C7F"/>
    <w:rsid w:val="008E7DF4"/>
    <w:rsid w:val="008E7FD3"/>
    <w:rsid w:val="008F0183"/>
    <w:rsid w:val="008F0395"/>
    <w:rsid w:val="008F0451"/>
    <w:rsid w:val="008F07BB"/>
    <w:rsid w:val="008F10DE"/>
    <w:rsid w:val="008F11B7"/>
    <w:rsid w:val="008F12CF"/>
    <w:rsid w:val="008F15BD"/>
    <w:rsid w:val="008F18FB"/>
    <w:rsid w:val="008F1A22"/>
    <w:rsid w:val="008F1C6A"/>
    <w:rsid w:val="008F1DE0"/>
    <w:rsid w:val="008F228F"/>
    <w:rsid w:val="008F28D5"/>
    <w:rsid w:val="008F2ABD"/>
    <w:rsid w:val="008F2B41"/>
    <w:rsid w:val="008F2DCC"/>
    <w:rsid w:val="008F2FEF"/>
    <w:rsid w:val="008F31E4"/>
    <w:rsid w:val="008F3344"/>
    <w:rsid w:val="008F3430"/>
    <w:rsid w:val="008F37F6"/>
    <w:rsid w:val="008F38D5"/>
    <w:rsid w:val="008F3D52"/>
    <w:rsid w:val="008F3D79"/>
    <w:rsid w:val="008F44AB"/>
    <w:rsid w:val="008F455B"/>
    <w:rsid w:val="008F4E54"/>
    <w:rsid w:val="008F5686"/>
    <w:rsid w:val="008F5ABA"/>
    <w:rsid w:val="008F5B65"/>
    <w:rsid w:val="008F5D55"/>
    <w:rsid w:val="008F6135"/>
    <w:rsid w:val="008F68B6"/>
    <w:rsid w:val="008F6C10"/>
    <w:rsid w:val="008F6C5D"/>
    <w:rsid w:val="008F6D51"/>
    <w:rsid w:val="008F6E92"/>
    <w:rsid w:val="008F71B4"/>
    <w:rsid w:val="008F76FD"/>
    <w:rsid w:val="008F77A8"/>
    <w:rsid w:val="008F77B9"/>
    <w:rsid w:val="008F7B82"/>
    <w:rsid w:val="00900298"/>
    <w:rsid w:val="00900661"/>
    <w:rsid w:val="00900946"/>
    <w:rsid w:val="00900C2E"/>
    <w:rsid w:val="00900E01"/>
    <w:rsid w:val="00900FFF"/>
    <w:rsid w:val="00901178"/>
    <w:rsid w:val="00901CCF"/>
    <w:rsid w:val="00901ECE"/>
    <w:rsid w:val="009020EF"/>
    <w:rsid w:val="009022E9"/>
    <w:rsid w:val="00902559"/>
    <w:rsid w:val="009025F5"/>
    <w:rsid w:val="00902970"/>
    <w:rsid w:val="00902A4D"/>
    <w:rsid w:val="00902B5E"/>
    <w:rsid w:val="009037FD"/>
    <w:rsid w:val="00903FE2"/>
    <w:rsid w:val="00903FE7"/>
    <w:rsid w:val="0090414C"/>
    <w:rsid w:val="009041E3"/>
    <w:rsid w:val="00904A86"/>
    <w:rsid w:val="00904B56"/>
    <w:rsid w:val="00905002"/>
    <w:rsid w:val="009051E3"/>
    <w:rsid w:val="0090529B"/>
    <w:rsid w:val="009058D5"/>
    <w:rsid w:val="00905DCF"/>
    <w:rsid w:val="00905F42"/>
    <w:rsid w:val="009060DB"/>
    <w:rsid w:val="00906459"/>
    <w:rsid w:val="0090648E"/>
    <w:rsid w:val="0090658C"/>
    <w:rsid w:val="00906F14"/>
    <w:rsid w:val="00906FA2"/>
    <w:rsid w:val="009070D5"/>
    <w:rsid w:val="009071B5"/>
    <w:rsid w:val="00907926"/>
    <w:rsid w:val="00907AB0"/>
    <w:rsid w:val="00907F6D"/>
    <w:rsid w:val="00907F9D"/>
    <w:rsid w:val="00910EF6"/>
    <w:rsid w:val="00911424"/>
    <w:rsid w:val="00911764"/>
    <w:rsid w:val="00911AE2"/>
    <w:rsid w:val="00911DD0"/>
    <w:rsid w:val="00911FB4"/>
    <w:rsid w:val="00911FD0"/>
    <w:rsid w:val="00911FE6"/>
    <w:rsid w:val="009122DD"/>
    <w:rsid w:val="00912385"/>
    <w:rsid w:val="009123CD"/>
    <w:rsid w:val="009126B3"/>
    <w:rsid w:val="0091277F"/>
    <w:rsid w:val="009127F1"/>
    <w:rsid w:val="00912AB3"/>
    <w:rsid w:val="00913D66"/>
    <w:rsid w:val="009143B0"/>
    <w:rsid w:val="00914679"/>
    <w:rsid w:val="00914A55"/>
    <w:rsid w:val="00914AA4"/>
    <w:rsid w:val="00914DAF"/>
    <w:rsid w:val="00914E01"/>
    <w:rsid w:val="00915015"/>
    <w:rsid w:val="00915104"/>
    <w:rsid w:val="0091551C"/>
    <w:rsid w:val="0091560F"/>
    <w:rsid w:val="00915A76"/>
    <w:rsid w:val="00916084"/>
    <w:rsid w:val="00916277"/>
    <w:rsid w:val="00916C16"/>
    <w:rsid w:val="00916C5B"/>
    <w:rsid w:val="00916EB9"/>
    <w:rsid w:val="00917336"/>
    <w:rsid w:val="00917807"/>
    <w:rsid w:val="00917A13"/>
    <w:rsid w:val="009200DF"/>
    <w:rsid w:val="00920155"/>
    <w:rsid w:val="009201D5"/>
    <w:rsid w:val="009202F8"/>
    <w:rsid w:val="009206A3"/>
    <w:rsid w:val="00920969"/>
    <w:rsid w:val="00920BA6"/>
    <w:rsid w:val="00920E4C"/>
    <w:rsid w:val="00920F89"/>
    <w:rsid w:val="009210F1"/>
    <w:rsid w:val="009211AD"/>
    <w:rsid w:val="00921560"/>
    <w:rsid w:val="009215A9"/>
    <w:rsid w:val="00921E6B"/>
    <w:rsid w:val="00922283"/>
    <w:rsid w:val="009224FE"/>
    <w:rsid w:val="00922C5F"/>
    <w:rsid w:val="00922DC7"/>
    <w:rsid w:val="009238EB"/>
    <w:rsid w:val="00923DBC"/>
    <w:rsid w:val="00923E38"/>
    <w:rsid w:val="00923EB9"/>
    <w:rsid w:val="0092464F"/>
    <w:rsid w:val="00924A78"/>
    <w:rsid w:val="009251B9"/>
    <w:rsid w:val="00925205"/>
    <w:rsid w:val="009256F8"/>
    <w:rsid w:val="00925846"/>
    <w:rsid w:val="009258BF"/>
    <w:rsid w:val="009258E4"/>
    <w:rsid w:val="00925900"/>
    <w:rsid w:val="00925A7D"/>
    <w:rsid w:val="00925C43"/>
    <w:rsid w:val="00925D16"/>
    <w:rsid w:val="00925F7F"/>
    <w:rsid w:val="009264CF"/>
    <w:rsid w:val="00926949"/>
    <w:rsid w:val="009269A4"/>
    <w:rsid w:val="00926B23"/>
    <w:rsid w:val="00926C66"/>
    <w:rsid w:val="0092720E"/>
    <w:rsid w:val="0092753C"/>
    <w:rsid w:val="0092760B"/>
    <w:rsid w:val="00927722"/>
    <w:rsid w:val="00927D45"/>
    <w:rsid w:val="00927E9C"/>
    <w:rsid w:val="00930322"/>
    <w:rsid w:val="0093050D"/>
    <w:rsid w:val="00930C28"/>
    <w:rsid w:val="00930CC3"/>
    <w:rsid w:val="00930DE2"/>
    <w:rsid w:val="00930E27"/>
    <w:rsid w:val="009310D0"/>
    <w:rsid w:val="00931141"/>
    <w:rsid w:val="00931226"/>
    <w:rsid w:val="009316AA"/>
    <w:rsid w:val="00931A5E"/>
    <w:rsid w:val="00931B51"/>
    <w:rsid w:val="00931BF3"/>
    <w:rsid w:val="00931DDF"/>
    <w:rsid w:val="009322B3"/>
    <w:rsid w:val="009324FD"/>
    <w:rsid w:val="00932568"/>
    <w:rsid w:val="0093274F"/>
    <w:rsid w:val="00932FEE"/>
    <w:rsid w:val="0093326E"/>
    <w:rsid w:val="009337EE"/>
    <w:rsid w:val="00933907"/>
    <w:rsid w:val="00934012"/>
    <w:rsid w:val="00934285"/>
    <w:rsid w:val="00934558"/>
    <w:rsid w:val="00934CB3"/>
    <w:rsid w:val="00934D64"/>
    <w:rsid w:val="009350B1"/>
    <w:rsid w:val="00935551"/>
    <w:rsid w:val="00935D6E"/>
    <w:rsid w:val="00935E04"/>
    <w:rsid w:val="0093692D"/>
    <w:rsid w:val="00936C19"/>
    <w:rsid w:val="00937011"/>
    <w:rsid w:val="00937605"/>
    <w:rsid w:val="00937612"/>
    <w:rsid w:val="00937679"/>
    <w:rsid w:val="009379DE"/>
    <w:rsid w:val="00937BC9"/>
    <w:rsid w:val="00937C62"/>
    <w:rsid w:val="009401BE"/>
    <w:rsid w:val="00940734"/>
    <w:rsid w:val="0094119F"/>
    <w:rsid w:val="00941B72"/>
    <w:rsid w:val="00941FEC"/>
    <w:rsid w:val="0094243B"/>
    <w:rsid w:val="0094276F"/>
    <w:rsid w:val="00942A50"/>
    <w:rsid w:val="00942ACB"/>
    <w:rsid w:val="00942ADB"/>
    <w:rsid w:val="00943013"/>
    <w:rsid w:val="00943191"/>
    <w:rsid w:val="00943E3A"/>
    <w:rsid w:val="00943EA6"/>
    <w:rsid w:val="00943F62"/>
    <w:rsid w:val="0094407F"/>
    <w:rsid w:val="009440EC"/>
    <w:rsid w:val="00944583"/>
    <w:rsid w:val="00944772"/>
    <w:rsid w:val="009447CC"/>
    <w:rsid w:val="00944909"/>
    <w:rsid w:val="00944CDB"/>
    <w:rsid w:val="00944D84"/>
    <w:rsid w:val="00945034"/>
    <w:rsid w:val="00945835"/>
    <w:rsid w:val="0094584E"/>
    <w:rsid w:val="009459C1"/>
    <w:rsid w:val="00945AF8"/>
    <w:rsid w:val="00945D4D"/>
    <w:rsid w:val="009460CF"/>
    <w:rsid w:val="009463B0"/>
    <w:rsid w:val="00946483"/>
    <w:rsid w:val="00946D95"/>
    <w:rsid w:val="00946F95"/>
    <w:rsid w:val="00947151"/>
    <w:rsid w:val="0094727A"/>
    <w:rsid w:val="00947A98"/>
    <w:rsid w:val="00947B74"/>
    <w:rsid w:val="00947CA7"/>
    <w:rsid w:val="00947D1C"/>
    <w:rsid w:val="00947E11"/>
    <w:rsid w:val="00947FC6"/>
    <w:rsid w:val="009500CB"/>
    <w:rsid w:val="009507DF"/>
    <w:rsid w:val="00950A3B"/>
    <w:rsid w:val="00950B34"/>
    <w:rsid w:val="00950CB9"/>
    <w:rsid w:val="00950D6C"/>
    <w:rsid w:val="009512B5"/>
    <w:rsid w:val="009514D1"/>
    <w:rsid w:val="00951E91"/>
    <w:rsid w:val="009520D1"/>
    <w:rsid w:val="009520D4"/>
    <w:rsid w:val="00952274"/>
    <w:rsid w:val="009524FD"/>
    <w:rsid w:val="00952691"/>
    <w:rsid w:val="00952A33"/>
    <w:rsid w:val="00952A44"/>
    <w:rsid w:val="0095321F"/>
    <w:rsid w:val="00953383"/>
    <w:rsid w:val="009533A5"/>
    <w:rsid w:val="009539B0"/>
    <w:rsid w:val="00953A94"/>
    <w:rsid w:val="0095401E"/>
    <w:rsid w:val="009541D6"/>
    <w:rsid w:val="00954D5C"/>
    <w:rsid w:val="00954DDF"/>
    <w:rsid w:val="00955204"/>
    <w:rsid w:val="009552A2"/>
    <w:rsid w:val="009557A1"/>
    <w:rsid w:val="00955AE6"/>
    <w:rsid w:val="00955F2A"/>
    <w:rsid w:val="00955FDE"/>
    <w:rsid w:val="009563CC"/>
    <w:rsid w:val="00956516"/>
    <w:rsid w:val="009565FC"/>
    <w:rsid w:val="00956694"/>
    <w:rsid w:val="009566EB"/>
    <w:rsid w:val="009569D1"/>
    <w:rsid w:val="00956E0E"/>
    <w:rsid w:val="00956F35"/>
    <w:rsid w:val="00957264"/>
    <w:rsid w:val="009577A7"/>
    <w:rsid w:val="009602AB"/>
    <w:rsid w:val="00960342"/>
    <w:rsid w:val="009605E0"/>
    <w:rsid w:val="00960653"/>
    <w:rsid w:val="00960824"/>
    <w:rsid w:val="00960844"/>
    <w:rsid w:val="00960C51"/>
    <w:rsid w:val="00961154"/>
    <w:rsid w:val="00961464"/>
    <w:rsid w:val="009617AE"/>
    <w:rsid w:val="00961DC1"/>
    <w:rsid w:val="00962290"/>
    <w:rsid w:val="00962644"/>
    <w:rsid w:val="009626DA"/>
    <w:rsid w:val="00963079"/>
    <w:rsid w:val="0096307B"/>
    <w:rsid w:val="00963179"/>
    <w:rsid w:val="00963B47"/>
    <w:rsid w:val="00963EC8"/>
    <w:rsid w:val="00964161"/>
    <w:rsid w:val="009644A7"/>
    <w:rsid w:val="00964587"/>
    <w:rsid w:val="0096472A"/>
    <w:rsid w:val="00964799"/>
    <w:rsid w:val="009649E7"/>
    <w:rsid w:val="00964C46"/>
    <w:rsid w:val="00964C4D"/>
    <w:rsid w:val="00964FC4"/>
    <w:rsid w:val="00965220"/>
    <w:rsid w:val="00965259"/>
    <w:rsid w:val="0096538C"/>
    <w:rsid w:val="00965826"/>
    <w:rsid w:val="009659EB"/>
    <w:rsid w:val="00965B78"/>
    <w:rsid w:val="00965CAF"/>
    <w:rsid w:val="00965FCB"/>
    <w:rsid w:val="009661C4"/>
    <w:rsid w:val="009668B7"/>
    <w:rsid w:val="009669F4"/>
    <w:rsid w:val="00966AFE"/>
    <w:rsid w:val="00966C2D"/>
    <w:rsid w:val="00966D9F"/>
    <w:rsid w:val="00967C0C"/>
    <w:rsid w:val="009702E8"/>
    <w:rsid w:val="0097098D"/>
    <w:rsid w:val="0097102E"/>
    <w:rsid w:val="00971192"/>
    <w:rsid w:val="00971287"/>
    <w:rsid w:val="009714E0"/>
    <w:rsid w:val="009718AB"/>
    <w:rsid w:val="00971902"/>
    <w:rsid w:val="0097196D"/>
    <w:rsid w:val="00971A71"/>
    <w:rsid w:val="00971C62"/>
    <w:rsid w:val="00972696"/>
    <w:rsid w:val="00972B4E"/>
    <w:rsid w:val="009732B5"/>
    <w:rsid w:val="00973846"/>
    <w:rsid w:val="00973B2C"/>
    <w:rsid w:val="00973BE2"/>
    <w:rsid w:val="00973E57"/>
    <w:rsid w:val="00973F56"/>
    <w:rsid w:val="00974375"/>
    <w:rsid w:val="00974744"/>
    <w:rsid w:val="0097481B"/>
    <w:rsid w:val="00974CDA"/>
    <w:rsid w:val="009757E5"/>
    <w:rsid w:val="00975861"/>
    <w:rsid w:val="00975958"/>
    <w:rsid w:val="00975A4B"/>
    <w:rsid w:val="00975FF5"/>
    <w:rsid w:val="009764A1"/>
    <w:rsid w:val="00976877"/>
    <w:rsid w:val="00976A09"/>
    <w:rsid w:val="00976A22"/>
    <w:rsid w:val="00976E21"/>
    <w:rsid w:val="00977595"/>
    <w:rsid w:val="009778A2"/>
    <w:rsid w:val="009778EF"/>
    <w:rsid w:val="00977BBB"/>
    <w:rsid w:val="00980048"/>
    <w:rsid w:val="00980678"/>
    <w:rsid w:val="0098096E"/>
    <w:rsid w:val="00980AF2"/>
    <w:rsid w:val="00980C3F"/>
    <w:rsid w:val="0098162A"/>
    <w:rsid w:val="00981C80"/>
    <w:rsid w:val="00981D94"/>
    <w:rsid w:val="00981E3A"/>
    <w:rsid w:val="009824A5"/>
    <w:rsid w:val="009827B7"/>
    <w:rsid w:val="009828AE"/>
    <w:rsid w:val="00982E49"/>
    <w:rsid w:val="00983175"/>
    <w:rsid w:val="0098323B"/>
    <w:rsid w:val="00983A67"/>
    <w:rsid w:val="00983B33"/>
    <w:rsid w:val="009840E9"/>
    <w:rsid w:val="00984125"/>
    <w:rsid w:val="009841B8"/>
    <w:rsid w:val="009842C6"/>
    <w:rsid w:val="00984331"/>
    <w:rsid w:val="009848DB"/>
    <w:rsid w:val="00984A91"/>
    <w:rsid w:val="009855B6"/>
    <w:rsid w:val="00985B41"/>
    <w:rsid w:val="00985C3A"/>
    <w:rsid w:val="009867C7"/>
    <w:rsid w:val="0098689F"/>
    <w:rsid w:val="009868FF"/>
    <w:rsid w:val="00986BA6"/>
    <w:rsid w:val="00986D40"/>
    <w:rsid w:val="00986F60"/>
    <w:rsid w:val="00986FAB"/>
    <w:rsid w:val="00987296"/>
    <w:rsid w:val="0098751A"/>
    <w:rsid w:val="00987A0F"/>
    <w:rsid w:val="00987F0F"/>
    <w:rsid w:val="00990238"/>
    <w:rsid w:val="0099058A"/>
    <w:rsid w:val="0099081E"/>
    <w:rsid w:val="009908D2"/>
    <w:rsid w:val="00990F5C"/>
    <w:rsid w:val="009911F2"/>
    <w:rsid w:val="0099135D"/>
    <w:rsid w:val="00991589"/>
    <w:rsid w:val="0099166E"/>
    <w:rsid w:val="009916D4"/>
    <w:rsid w:val="0099170E"/>
    <w:rsid w:val="009919AD"/>
    <w:rsid w:val="00991F6C"/>
    <w:rsid w:val="0099237E"/>
    <w:rsid w:val="009924D8"/>
    <w:rsid w:val="0099255F"/>
    <w:rsid w:val="00992709"/>
    <w:rsid w:val="009928B9"/>
    <w:rsid w:val="00992CC0"/>
    <w:rsid w:val="0099311B"/>
    <w:rsid w:val="00993210"/>
    <w:rsid w:val="009932DB"/>
    <w:rsid w:val="009943FB"/>
    <w:rsid w:val="009945FD"/>
    <w:rsid w:val="00994676"/>
    <w:rsid w:val="0099473A"/>
    <w:rsid w:val="009948A3"/>
    <w:rsid w:val="00994C32"/>
    <w:rsid w:val="009956DA"/>
    <w:rsid w:val="009957C8"/>
    <w:rsid w:val="00995864"/>
    <w:rsid w:val="009959BE"/>
    <w:rsid w:val="00995A86"/>
    <w:rsid w:val="00995B99"/>
    <w:rsid w:val="00995D96"/>
    <w:rsid w:val="00995F9C"/>
    <w:rsid w:val="00995FBC"/>
    <w:rsid w:val="00996064"/>
    <w:rsid w:val="009960C8"/>
    <w:rsid w:val="009960CF"/>
    <w:rsid w:val="009966B2"/>
    <w:rsid w:val="00996B55"/>
    <w:rsid w:val="00997207"/>
    <w:rsid w:val="0099745C"/>
    <w:rsid w:val="0099792D"/>
    <w:rsid w:val="0099799A"/>
    <w:rsid w:val="00997BA4"/>
    <w:rsid w:val="009A0DD2"/>
    <w:rsid w:val="009A13A3"/>
    <w:rsid w:val="009A1746"/>
    <w:rsid w:val="009A1A13"/>
    <w:rsid w:val="009A1C31"/>
    <w:rsid w:val="009A1C50"/>
    <w:rsid w:val="009A1C5C"/>
    <w:rsid w:val="009A1ED9"/>
    <w:rsid w:val="009A1F67"/>
    <w:rsid w:val="009A239C"/>
    <w:rsid w:val="009A2724"/>
    <w:rsid w:val="009A28BD"/>
    <w:rsid w:val="009A29FA"/>
    <w:rsid w:val="009A3062"/>
    <w:rsid w:val="009A398D"/>
    <w:rsid w:val="009A41B8"/>
    <w:rsid w:val="009A429D"/>
    <w:rsid w:val="009A4365"/>
    <w:rsid w:val="009A46D8"/>
    <w:rsid w:val="009A4A8F"/>
    <w:rsid w:val="009A4C0C"/>
    <w:rsid w:val="009A4CB5"/>
    <w:rsid w:val="009A4D0F"/>
    <w:rsid w:val="009A4DEC"/>
    <w:rsid w:val="009A537B"/>
    <w:rsid w:val="009A55E9"/>
    <w:rsid w:val="009A569E"/>
    <w:rsid w:val="009A5864"/>
    <w:rsid w:val="009A58BB"/>
    <w:rsid w:val="009A5965"/>
    <w:rsid w:val="009A5A17"/>
    <w:rsid w:val="009A600A"/>
    <w:rsid w:val="009A64D4"/>
    <w:rsid w:val="009A67D4"/>
    <w:rsid w:val="009A69EC"/>
    <w:rsid w:val="009A6CCB"/>
    <w:rsid w:val="009A6D8D"/>
    <w:rsid w:val="009A74D9"/>
    <w:rsid w:val="009A76D6"/>
    <w:rsid w:val="009A7E0B"/>
    <w:rsid w:val="009A7E64"/>
    <w:rsid w:val="009B03CB"/>
    <w:rsid w:val="009B0419"/>
    <w:rsid w:val="009B04F5"/>
    <w:rsid w:val="009B0578"/>
    <w:rsid w:val="009B1085"/>
    <w:rsid w:val="009B1291"/>
    <w:rsid w:val="009B13E2"/>
    <w:rsid w:val="009B13EA"/>
    <w:rsid w:val="009B1A31"/>
    <w:rsid w:val="009B1A54"/>
    <w:rsid w:val="009B1AA9"/>
    <w:rsid w:val="009B1D9B"/>
    <w:rsid w:val="009B1DC6"/>
    <w:rsid w:val="009B20A3"/>
    <w:rsid w:val="009B20C8"/>
    <w:rsid w:val="009B2446"/>
    <w:rsid w:val="009B2915"/>
    <w:rsid w:val="009B2BDD"/>
    <w:rsid w:val="009B306E"/>
    <w:rsid w:val="009B321F"/>
    <w:rsid w:val="009B3333"/>
    <w:rsid w:val="009B36B9"/>
    <w:rsid w:val="009B36CC"/>
    <w:rsid w:val="009B4010"/>
    <w:rsid w:val="009B40A3"/>
    <w:rsid w:val="009B47FB"/>
    <w:rsid w:val="009B4B5C"/>
    <w:rsid w:val="009B507A"/>
    <w:rsid w:val="009B50F1"/>
    <w:rsid w:val="009B55C5"/>
    <w:rsid w:val="009B57DB"/>
    <w:rsid w:val="009B5810"/>
    <w:rsid w:val="009B59C6"/>
    <w:rsid w:val="009B5F88"/>
    <w:rsid w:val="009B641F"/>
    <w:rsid w:val="009B6611"/>
    <w:rsid w:val="009B67FD"/>
    <w:rsid w:val="009B6866"/>
    <w:rsid w:val="009B68FC"/>
    <w:rsid w:val="009B6B94"/>
    <w:rsid w:val="009B715E"/>
    <w:rsid w:val="009B7BC7"/>
    <w:rsid w:val="009B7D9A"/>
    <w:rsid w:val="009B7DE5"/>
    <w:rsid w:val="009C07C3"/>
    <w:rsid w:val="009C0A0B"/>
    <w:rsid w:val="009C0D83"/>
    <w:rsid w:val="009C27DA"/>
    <w:rsid w:val="009C28B3"/>
    <w:rsid w:val="009C2BB4"/>
    <w:rsid w:val="009C2EE6"/>
    <w:rsid w:val="009C38C1"/>
    <w:rsid w:val="009C3BA3"/>
    <w:rsid w:val="009C3DFE"/>
    <w:rsid w:val="009C441C"/>
    <w:rsid w:val="009C4A0F"/>
    <w:rsid w:val="009C4A84"/>
    <w:rsid w:val="009C4BB4"/>
    <w:rsid w:val="009C4D90"/>
    <w:rsid w:val="009C5130"/>
    <w:rsid w:val="009C5297"/>
    <w:rsid w:val="009C531F"/>
    <w:rsid w:val="009C5375"/>
    <w:rsid w:val="009C537D"/>
    <w:rsid w:val="009C53F4"/>
    <w:rsid w:val="009C572E"/>
    <w:rsid w:val="009C5B62"/>
    <w:rsid w:val="009C5BE8"/>
    <w:rsid w:val="009C6B36"/>
    <w:rsid w:val="009C7832"/>
    <w:rsid w:val="009C787C"/>
    <w:rsid w:val="009C7AD7"/>
    <w:rsid w:val="009C7B99"/>
    <w:rsid w:val="009C7EB0"/>
    <w:rsid w:val="009D0387"/>
    <w:rsid w:val="009D07F4"/>
    <w:rsid w:val="009D0DA0"/>
    <w:rsid w:val="009D13AD"/>
    <w:rsid w:val="009D144C"/>
    <w:rsid w:val="009D173F"/>
    <w:rsid w:val="009D1DA2"/>
    <w:rsid w:val="009D1E84"/>
    <w:rsid w:val="009D263A"/>
    <w:rsid w:val="009D2EF3"/>
    <w:rsid w:val="009D312A"/>
    <w:rsid w:val="009D313C"/>
    <w:rsid w:val="009D31FA"/>
    <w:rsid w:val="009D3223"/>
    <w:rsid w:val="009D33C5"/>
    <w:rsid w:val="009D3496"/>
    <w:rsid w:val="009D35A3"/>
    <w:rsid w:val="009D35A6"/>
    <w:rsid w:val="009D383C"/>
    <w:rsid w:val="009D38A5"/>
    <w:rsid w:val="009D3A67"/>
    <w:rsid w:val="009D3C0B"/>
    <w:rsid w:val="009D3C4E"/>
    <w:rsid w:val="009D3DAE"/>
    <w:rsid w:val="009D41C8"/>
    <w:rsid w:val="009D46B0"/>
    <w:rsid w:val="009D4837"/>
    <w:rsid w:val="009D4884"/>
    <w:rsid w:val="009D493F"/>
    <w:rsid w:val="009D4A0A"/>
    <w:rsid w:val="009D4EFA"/>
    <w:rsid w:val="009D4FCE"/>
    <w:rsid w:val="009D508B"/>
    <w:rsid w:val="009D51AE"/>
    <w:rsid w:val="009D51C6"/>
    <w:rsid w:val="009D52D5"/>
    <w:rsid w:val="009D5368"/>
    <w:rsid w:val="009D5423"/>
    <w:rsid w:val="009D5D0D"/>
    <w:rsid w:val="009D5D19"/>
    <w:rsid w:val="009D5D3E"/>
    <w:rsid w:val="009D5F0F"/>
    <w:rsid w:val="009D5FEF"/>
    <w:rsid w:val="009D608C"/>
    <w:rsid w:val="009D609C"/>
    <w:rsid w:val="009D62AD"/>
    <w:rsid w:val="009D6948"/>
    <w:rsid w:val="009D6AB8"/>
    <w:rsid w:val="009D7A0E"/>
    <w:rsid w:val="009D7D32"/>
    <w:rsid w:val="009D7D68"/>
    <w:rsid w:val="009E01D2"/>
    <w:rsid w:val="009E0C5A"/>
    <w:rsid w:val="009E0FE4"/>
    <w:rsid w:val="009E1136"/>
    <w:rsid w:val="009E14A4"/>
    <w:rsid w:val="009E15B7"/>
    <w:rsid w:val="009E19FB"/>
    <w:rsid w:val="009E1AC9"/>
    <w:rsid w:val="009E1C4F"/>
    <w:rsid w:val="009E1DD8"/>
    <w:rsid w:val="009E1F52"/>
    <w:rsid w:val="009E1FEE"/>
    <w:rsid w:val="009E2212"/>
    <w:rsid w:val="009E235B"/>
    <w:rsid w:val="009E2968"/>
    <w:rsid w:val="009E2F66"/>
    <w:rsid w:val="009E3090"/>
    <w:rsid w:val="009E3096"/>
    <w:rsid w:val="009E38C5"/>
    <w:rsid w:val="009E39DB"/>
    <w:rsid w:val="009E3B95"/>
    <w:rsid w:val="009E3C47"/>
    <w:rsid w:val="009E3E0A"/>
    <w:rsid w:val="009E428D"/>
    <w:rsid w:val="009E4789"/>
    <w:rsid w:val="009E4E14"/>
    <w:rsid w:val="009E5244"/>
    <w:rsid w:val="009E53A3"/>
    <w:rsid w:val="009E5439"/>
    <w:rsid w:val="009E5DC3"/>
    <w:rsid w:val="009E6399"/>
    <w:rsid w:val="009E6530"/>
    <w:rsid w:val="009E668D"/>
    <w:rsid w:val="009E69AB"/>
    <w:rsid w:val="009E6E33"/>
    <w:rsid w:val="009E6E4E"/>
    <w:rsid w:val="009E6EDD"/>
    <w:rsid w:val="009E765B"/>
    <w:rsid w:val="009E76CB"/>
    <w:rsid w:val="009E777D"/>
    <w:rsid w:val="009E7B99"/>
    <w:rsid w:val="009F03BD"/>
    <w:rsid w:val="009F17FB"/>
    <w:rsid w:val="009F1BE9"/>
    <w:rsid w:val="009F1C7C"/>
    <w:rsid w:val="009F1C87"/>
    <w:rsid w:val="009F1CAF"/>
    <w:rsid w:val="009F1F75"/>
    <w:rsid w:val="009F1FA0"/>
    <w:rsid w:val="009F20E2"/>
    <w:rsid w:val="009F22E4"/>
    <w:rsid w:val="009F2304"/>
    <w:rsid w:val="009F2F00"/>
    <w:rsid w:val="009F30EB"/>
    <w:rsid w:val="009F322C"/>
    <w:rsid w:val="009F37D3"/>
    <w:rsid w:val="009F3B64"/>
    <w:rsid w:val="009F3B7F"/>
    <w:rsid w:val="009F3D4C"/>
    <w:rsid w:val="009F419C"/>
    <w:rsid w:val="009F4507"/>
    <w:rsid w:val="009F470C"/>
    <w:rsid w:val="009F4959"/>
    <w:rsid w:val="009F4966"/>
    <w:rsid w:val="009F4C2D"/>
    <w:rsid w:val="009F4E24"/>
    <w:rsid w:val="009F61DA"/>
    <w:rsid w:val="009F61FD"/>
    <w:rsid w:val="009F6E74"/>
    <w:rsid w:val="009F6E84"/>
    <w:rsid w:val="009F7522"/>
    <w:rsid w:val="009F79A7"/>
    <w:rsid w:val="009F7BE4"/>
    <w:rsid w:val="009F7C70"/>
    <w:rsid w:val="00A00096"/>
    <w:rsid w:val="00A001AA"/>
    <w:rsid w:val="00A0070F"/>
    <w:rsid w:val="00A007C1"/>
    <w:rsid w:val="00A00AF6"/>
    <w:rsid w:val="00A00D64"/>
    <w:rsid w:val="00A00EBF"/>
    <w:rsid w:val="00A01740"/>
    <w:rsid w:val="00A019A5"/>
    <w:rsid w:val="00A01A39"/>
    <w:rsid w:val="00A01BBE"/>
    <w:rsid w:val="00A01BEB"/>
    <w:rsid w:val="00A02284"/>
    <w:rsid w:val="00A0269C"/>
    <w:rsid w:val="00A02847"/>
    <w:rsid w:val="00A028BD"/>
    <w:rsid w:val="00A02CE5"/>
    <w:rsid w:val="00A02D46"/>
    <w:rsid w:val="00A02E8F"/>
    <w:rsid w:val="00A02F55"/>
    <w:rsid w:val="00A031C6"/>
    <w:rsid w:val="00A038C4"/>
    <w:rsid w:val="00A03B2D"/>
    <w:rsid w:val="00A03B7E"/>
    <w:rsid w:val="00A03B90"/>
    <w:rsid w:val="00A03DFC"/>
    <w:rsid w:val="00A03E2D"/>
    <w:rsid w:val="00A043F9"/>
    <w:rsid w:val="00A04EAC"/>
    <w:rsid w:val="00A04FCD"/>
    <w:rsid w:val="00A059D1"/>
    <w:rsid w:val="00A05DDD"/>
    <w:rsid w:val="00A05EB4"/>
    <w:rsid w:val="00A05F9B"/>
    <w:rsid w:val="00A0638A"/>
    <w:rsid w:val="00A06416"/>
    <w:rsid w:val="00A0649F"/>
    <w:rsid w:val="00A064BA"/>
    <w:rsid w:val="00A0652A"/>
    <w:rsid w:val="00A06FB3"/>
    <w:rsid w:val="00A073B5"/>
    <w:rsid w:val="00A074EB"/>
    <w:rsid w:val="00A075C9"/>
    <w:rsid w:val="00A078AF"/>
    <w:rsid w:val="00A07ABD"/>
    <w:rsid w:val="00A07E02"/>
    <w:rsid w:val="00A07FDD"/>
    <w:rsid w:val="00A10139"/>
    <w:rsid w:val="00A102F4"/>
    <w:rsid w:val="00A10549"/>
    <w:rsid w:val="00A10958"/>
    <w:rsid w:val="00A113F9"/>
    <w:rsid w:val="00A114FC"/>
    <w:rsid w:val="00A117D2"/>
    <w:rsid w:val="00A11A81"/>
    <w:rsid w:val="00A11DA6"/>
    <w:rsid w:val="00A11EFA"/>
    <w:rsid w:val="00A12364"/>
    <w:rsid w:val="00A1283C"/>
    <w:rsid w:val="00A12FC0"/>
    <w:rsid w:val="00A1366B"/>
    <w:rsid w:val="00A13B37"/>
    <w:rsid w:val="00A14098"/>
    <w:rsid w:val="00A14550"/>
    <w:rsid w:val="00A1462A"/>
    <w:rsid w:val="00A14D50"/>
    <w:rsid w:val="00A14DA9"/>
    <w:rsid w:val="00A1507A"/>
    <w:rsid w:val="00A152BA"/>
    <w:rsid w:val="00A15601"/>
    <w:rsid w:val="00A15E70"/>
    <w:rsid w:val="00A15E9A"/>
    <w:rsid w:val="00A16752"/>
    <w:rsid w:val="00A16916"/>
    <w:rsid w:val="00A16B03"/>
    <w:rsid w:val="00A16C28"/>
    <w:rsid w:val="00A16F71"/>
    <w:rsid w:val="00A171A2"/>
    <w:rsid w:val="00A17245"/>
    <w:rsid w:val="00A1725F"/>
    <w:rsid w:val="00A1738E"/>
    <w:rsid w:val="00A17398"/>
    <w:rsid w:val="00A173E7"/>
    <w:rsid w:val="00A17890"/>
    <w:rsid w:val="00A17E85"/>
    <w:rsid w:val="00A17F95"/>
    <w:rsid w:val="00A17FF9"/>
    <w:rsid w:val="00A20133"/>
    <w:rsid w:val="00A20143"/>
    <w:rsid w:val="00A204C1"/>
    <w:rsid w:val="00A207B6"/>
    <w:rsid w:val="00A20A33"/>
    <w:rsid w:val="00A20F9B"/>
    <w:rsid w:val="00A2105F"/>
    <w:rsid w:val="00A212C2"/>
    <w:rsid w:val="00A21700"/>
    <w:rsid w:val="00A21988"/>
    <w:rsid w:val="00A21C63"/>
    <w:rsid w:val="00A21EBA"/>
    <w:rsid w:val="00A21F40"/>
    <w:rsid w:val="00A22165"/>
    <w:rsid w:val="00A22359"/>
    <w:rsid w:val="00A22594"/>
    <w:rsid w:val="00A22700"/>
    <w:rsid w:val="00A228EB"/>
    <w:rsid w:val="00A229C9"/>
    <w:rsid w:val="00A22C75"/>
    <w:rsid w:val="00A22D11"/>
    <w:rsid w:val="00A23003"/>
    <w:rsid w:val="00A231C3"/>
    <w:rsid w:val="00A233A0"/>
    <w:rsid w:val="00A234F4"/>
    <w:rsid w:val="00A2358D"/>
    <w:rsid w:val="00A2371A"/>
    <w:rsid w:val="00A2373F"/>
    <w:rsid w:val="00A23744"/>
    <w:rsid w:val="00A23F24"/>
    <w:rsid w:val="00A241BE"/>
    <w:rsid w:val="00A2434B"/>
    <w:rsid w:val="00A2438D"/>
    <w:rsid w:val="00A243B3"/>
    <w:rsid w:val="00A24602"/>
    <w:rsid w:val="00A24633"/>
    <w:rsid w:val="00A24756"/>
    <w:rsid w:val="00A24927"/>
    <w:rsid w:val="00A24FFD"/>
    <w:rsid w:val="00A250C9"/>
    <w:rsid w:val="00A25445"/>
    <w:rsid w:val="00A254CA"/>
    <w:rsid w:val="00A2563A"/>
    <w:rsid w:val="00A257F0"/>
    <w:rsid w:val="00A260B4"/>
    <w:rsid w:val="00A26BEF"/>
    <w:rsid w:val="00A26DA6"/>
    <w:rsid w:val="00A274D6"/>
    <w:rsid w:val="00A27600"/>
    <w:rsid w:val="00A27B99"/>
    <w:rsid w:val="00A27F30"/>
    <w:rsid w:val="00A30125"/>
    <w:rsid w:val="00A30229"/>
    <w:rsid w:val="00A302E3"/>
    <w:rsid w:val="00A305A8"/>
    <w:rsid w:val="00A30942"/>
    <w:rsid w:val="00A30DB7"/>
    <w:rsid w:val="00A30F3D"/>
    <w:rsid w:val="00A312F5"/>
    <w:rsid w:val="00A3136A"/>
    <w:rsid w:val="00A31A5B"/>
    <w:rsid w:val="00A31B3A"/>
    <w:rsid w:val="00A31BF0"/>
    <w:rsid w:val="00A31CAE"/>
    <w:rsid w:val="00A31CEB"/>
    <w:rsid w:val="00A32192"/>
    <w:rsid w:val="00A32311"/>
    <w:rsid w:val="00A3253C"/>
    <w:rsid w:val="00A32710"/>
    <w:rsid w:val="00A32790"/>
    <w:rsid w:val="00A32ABE"/>
    <w:rsid w:val="00A32AFD"/>
    <w:rsid w:val="00A330AF"/>
    <w:rsid w:val="00A3326C"/>
    <w:rsid w:val="00A33A5F"/>
    <w:rsid w:val="00A342B7"/>
    <w:rsid w:val="00A34633"/>
    <w:rsid w:val="00A346AB"/>
    <w:rsid w:val="00A348F2"/>
    <w:rsid w:val="00A34A91"/>
    <w:rsid w:val="00A34BDB"/>
    <w:rsid w:val="00A35027"/>
    <w:rsid w:val="00A35177"/>
    <w:rsid w:val="00A35248"/>
    <w:rsid w:val="00A353F0"/>
    <w:rsid w:val="00A3556E"/>
    <w:rsid w:val="00A3558E"/>
    <w:rsid w:val="00A35D0B"/>
    <w:rsid w:val="00A35D17"/>
    <w:rsid w:val="00A35F02"/>
    <w:rsid w:val="00A366D8"/>
    <w:rsid w:val="00A3685F"/>
    <w:rsid w:val="00A36DA7"/>
    <w:rsid w:val="00A36F3D"/>
    <w:rsid w:val="00A36F61"/>
    <w:rsid w:val="00A36FEE"/>
    <w:rsid w:val="00A3721D"/>
    <w:rsid w:val="00A3741B"/>
    <w:rsid w:val="00A37696"/>
    <w:rsid w:val="00A37823"/>
    <w:rsid w:val="00A379C8"/>
    <w:rsid w:val="00A37A50"/>
    <w:rsid w:val="00A37ACE"/>
    <w:rsid w:val="00A37E36"/>
    <w:rsid w:val="00A4036C"/>
    <w:rsid w:val="00A408CE"/>
    <w:rsid w:val="00A40BB0"/>
    <w:rsid w:val="00A40D79"/>
    <w:rsid w:val="00A4134F"/>
    <w:rsid w:val="00A417F5"/>
    <w:rsid w:val="00A42D01"/>
    <w:rsid w:val="00A42FC4"/>
    <w:rsid w:val="00A43070"/>
    <w:rsid w:val="00A433E9"/>
    <w:rsid w:val="00A43429"/>
    <w:rsid w:val="00A434BD"/>
    <w:rsid w:val="00A434C0"/>
    <w:rsid w:val="00A436A9"/>
    <w:rsid w:val="00A4383F"/>
    <w:rsid w:val="00A438C8"/>
    <w:rsid w:val="00A43B79"/>
    <w:rsid w:val="00A43BF0"/>
    <w:rsid w:val="00A43FE3"/>
    <w:rsid w:val="00A44093"/>
    <w:rsid w:val="00A441A9"/>
    <w:rsid w:val="00A443F7"/>
    <w:rsid w:val="00A444E3"/>
    <w:rsid w:val="00A445EE"/>
    <w:rsid w:val="00A44A4E"/>
    <w:rsid w:val="00A44B51"/>
    <w:rsid w:val="00A44B9E"/>
    <w:rsid w:val="00A44C5B"/>
    <w:rsid w:val="00A44F30"/>
    <w:rsid w:val="00A450E2"/>
    <w:rsid w:val="00A453A7"/>
    <w:rsid w:val="00A45A7A"/>
    <w:rsid w:val="00A45FAD"/>
    <w:rsid w:val="00A45FB7"/>
    <w:rsid w:val="00A4634F"/>
    <w:rsid w:val="00A46362"/>
    <w:rsid w:val="00A464FD"/>
    <w:rsid w:val="00A46911"/>
    <w:rsid w:val="00A46B22"/>
    <w:rsid w:val="00A46BB6"/>
    <w:rsid w:val="00A46CDD"/>
    <w:rsid w:val="00A46D0B"/>
    <w:rsid w:val="00A46F9C"/>
    <w:rsid w:val="00A47411"/>
    <w:rsid w:val="00A47827"/>
    <w:rsid w:val="00A4790C"/>
    <w:rsid w:val="00A47BA4"/>
    <w:rsid w:val="00A500CB"/>
    <w:rsid w:val="00A50D56"/>
    <w:rsid w:val="00A51100"/>
    <w:rsid w:val="00A515B4"/>
    <w:rsid w:val="00A51E2F"/>
    <w:rsid w:val="00A51F4C"/>
    <w:rsid w:val="00A51FDD"/>
    <w:rsid w:val="00A522A5"/>
    <w:rsid w:val="00A5257B"/>
    <w:rsid w:val="00A525A6"/>
    <w:rsid w:val="00A52674"/>
    <w:rsid w:val="00A528FB"/>
    <w:rsid w:val="00A52BEC"/>
    <w:rsid w:val="00A52D03"/>
    <w:rsid w:val="00A52D9A"/>
    <w:rsid w:val="00A52EA6"/>
    <w:rsid w:val="00A5324C"/>
    <w:rsid w:val="00A5328D"/>
    <w:rsid w:val="00A53EE5"/>
    <w:rsid w:val="00A54066"/>
    <w:rsid w:val="00A543E0"/>
    <w:rsid w:val="00A54624"/>
    <w:rsid w:val="00A54B8D"/>
    <w:rsid w:val="00A54F4A"/>
    <w:rsid w:val="00A54FC7"/>
    <w:rsid w:val="00A551C0"/>
    <w:rsid w:val="00A554E0"/>
    <w:rsid w:val="00A557ED"/>
    <w:rsid w:val="00A5581E"/>
    <w:rsid w:val="00A55AEE"/>
    <w:rsid w:val="00A56198"/>
    <w:rsid w:val="00A56523"/>
    <w:rsid w:val="00A56670"/>
    <w:rsid w:val="00A56725"/>
    <w:rsid w:val="00A56D56"/>
    <w:rsid w:val="00A56DA1"/>
    <w:rsid w:val="00A57040"/>
    <w:rsid w:val="00A57071"/>
    <w:rsid w:val="00A571C5"/>
    <w:rsid w:val="00A576F7"/>
    <w:rsid w:val="00A57F7B"/>
    <w:rsid w:val="00A600DE"/>
    <w:rsid w:val="00A6033D"/>
    <w:rsid w:val="00A607D6"/>
    <w:rsid w:val="00A608DA"/>
    <w:rsid w:val="00A60D71"/>
    <w:rsid w:val="00A60E39"/>
    <w:rsid w:val="00A60F90"/>
    <w:rsid w:val="00A61016"/>
    <w:rsid w:val="00A61311"/>
    <w:rsid w:val="00A617E3"/>
    <w:rsid w:val="00A61A4C"/>
    <w:rsid w:val="00A61E1C"/>
    <w:rsid w:val="00A61E61"/>
    <w:rsid w:val="00A61F82"/>
    <w:rsid w:val="00A620FA"/>
    <w:rsid w:val="00A6251F"/>
    <w:rsid w:val="00A62D67"/>
    <w:rsid w:val="00A62ED3"/>
    <w:rsid w:val="00A6399C"/>
    <w:rsid w:val="00A63A64"/>
    <w:rsid w:val="00A63F91"/>
    <w:rsid w:val="00A64114"/>
    <w:rsid w:val="00A64208"/>
    <w:rsid w:val="00A64330"/>
    <w:rsid w:val="00A64598"/>
    <w:rsid w:val="00A6459C"/>
    <w:rsid w:val="00A64C4D"/>
    <w:rsid w:val="00A64C8D"/>
    <w:rsid w:val="00A650AF"/>
    <w:rsid w:val="00A652AC"/>
    <w:rsid w:val="00A653B2"/>
    <w:rsid w:val="00A65E0D"/>
    <w:rsid w:val="00A6648C"/>
    <w:rsid w:val="00A66BCF"/>
    <w:rsid w:val="00A66F47"/>
    <w:rsid w:val="00A672D7"/>
    <w:rsid w:val="00A6755F"/>
    <w:rsid w:val="00A67722"/>
    <w:rsid w:val="00A677D3"/>
    <w:rsid w:val="00A67C09"/>
    <w:rsid w:val="00A67C98"/>
    <w:rsid w:val="00A70152"/>
    <w:rsid w:val="00A702A5"/>
    <w:rsid w:val="00A70614"/>
    <w:rsid w:val="00A70713"/>
    <w:rsid w:val="00A70BE2"/>
    <w:rsid w:val="00A70D87"/>
    <w:rsid w:val="00A71339"/>
    <w:rsid w:val="00A71477"/>
    <w:rsid w:val="00A7166C"/>
    <w:rsid w:val="00A71ADE"/>
    <w:rsid w:val="00A71D82"/>
    <w:rsid w:val="00A720DF"/>
    <w:rsid w:val="00A722BA"/>
    <w:rsid w:val="00A72495"/>
    <w:rsid w:val="00A728B6"/>
    <w:rsid w:val="00A72D90"/>
    <w:rsid w:val="00A72DDE"/>
    <w:rsid w:val="00A72FB7"/>
    <w:rsid w:val="00A7309D"/>
    <w:rsid w:val="00A730E1"/>
    <w:rsid w:val="00A7317F"/>
    <w:rsid w:val="00A7320E"/>
    <w:rsid w:val="00A73359"/>
    <w:rsid w:val="00A7344D"/>
    <w:rsid w:val="00A735A5"/>
    <w:rsid w:val="00A73668"/>
    <w:rsid w:val="00A73919"/>
    <w:rsid w:val="00A73DB9"/>
    <w:rsid w:val="00A740D3"/>
    <w:rsid w:val="00A74385"/>
    <w:rsid w:val="00A74512"/>
    <w:rsid w:val="00A74519"/>
    <w:rsid w:val="00A745C5"/>
    <w:rsid w:val="00A74A03"/>
    <w:rsid w:val="00A74E91"/>
    <w:rsid w:val="00A74F72"/>
    <w:rsid w:val="00A7516E"/>
    <w:rsid w:val="00A751FB"/>
    <w:rsid w:val="00A7535E"/>
    <w:rsid w:val="00A75BDF"/>
    <w:rsid w:val="00A75F1A"/>
    <w:rsid w:val="00A7630D"/>
    <w:rsid w:val="00A76ED4"/>
    <w:rsid w:val="00A7788F"/>
    <w:rsid w:val="00A77902"/>
    <w:rsid w:val="00A77A32"/>
    <w:rsid w:val="00A77D5C"/>
    <w:rsid w:val="00A77DD9"/>
    <w:rsid w:val="00A80002"/>
    <w:rsid w:val="00A80612"/>
    <w:rsid w:val="00A806F6"/>
    <w:rsid w:val="00A80E56"/>
    <w:rsid w:val="00A80EBD"/>
    <w:rsid w:val="00A81C21"/>
    <w:rsid w:val="00A81D3F"/>
    <w:rsid w:val="00A81DDF"/>
    <w:rsid w:val="00A81EE2"/>
    <w:rsid w:val="00A821A0"/>
    <w:rsid w:val="00A82668"/>
    <w:rsid w:val="00A82A37"/>
    <w:rsid w:val="00A83448"/>
    <w:rsid w:val="00A8396C"/>
    <w:rsid w:val="00A83E55"/>
    <w:rsid w:val="00A83FC5"/>
    <w:rsid w:val="00A84036"/>
    <w:rsid w:val="00A842B0"/>
    <w:rsid w:val="00A84396"/>
    <w:rsid w:val="00A8466E"/>
    <w:rsid w:val="00A848F9"/>
    <w:rsid w:val="00A84A5C"/>
    <w:rsid w:val="00A85042"/>
    <w:rsid w:val="00A8565A"/>
    <w:rsid w:val="00A85804"/>
    <w:rsid w:val="00A8627B"/>
    <w:rsid w:val="00A86443"/>
    <w:rsid w:val="00A865FD"/>
    <w:rsid w:val="00A86AE1"/>
    <w:rsid w:val="00A86BDC"/>
    <w:rsid w:val="00A877B2"/>
    <w:rsid w:val="00A87AAD"/>
    <w:rsid w:val="00A87FE1"/>
    <w:rsid w:val="00A905A9"/>
    <w:rsid w:val="00A90A91"/>
    <w:rsid w:val="00A90AF5"/>
    <w:rsid w:val="00A90D6D"/>
    <w:rsid w:val="00A90ED9"/>
    <w:rsid w:val="00A91805"/>
    <w:rsid w:val="00A918F8"/>
    <w:rsid w:val="00A91990"/>
    <w:rsid w:val="00A91BB0"/>
    <w:rsid w:val="00A91BCD"/>
    <w:rsid w:val="00A91D26"/>
    <w:rsid w:val="00A91E51"/>
    <w:rsid w:val="00A920CA"/>
    <w:rsid w:val="00A92345"/>
    <w:rsid w:val="00A923FB"/>
    <w:rsid w:val="00A92B38"/>
    <w:rsid w:val="00A92DFD"/>
    <w:rsid w:val="00A9307F"/>
    <w:rsid w:val="00A937D6"/>
    <w:rsid w:val="00A938D3"/>
    <w:rsid w:val="00A93A93"/>
    <w:rsid w:val="00A94113"/>
    <w:rsid w:val="00A94231"/>
    <w:rsid w:val="00A9441C"/>
    <w:rsid w:val="00A945CE"/>
    <w:rsid w:val="00A94727"/>
    <w:rsid w:val="00A94E32"/>
    <w:rsid w:val="00A950AA"/>
    <w:rsid w:val="00A95134"/>
    <w:rsid w:val="00A95332"/>
    <w:rsid w:val="00A9579B"/>
    <w:rsid w:val="00A95BD4"/>
    <w:rsid w:val="00A95F56"/>
    <w:rsid w:val="00A95F86"/>
    <w:rsid w:val="00A968AE"/>
    <w:rsid w:val="00A96D6C"/>
    <w:rsid w:val="00A96D91"/>
    <w:rsid w:val="00A96ECD"/>
    <w:rsid w:val="00A970C8"/>
    <w:rsid w:val="00A9717E"/>
    <w:rsid w:val="00AA0157"/>
    <w:rsid w:val="00AA01DC"/>
    <w:rsid w:val="00AA0705"/>
    <w:rsid w:val="00AA0A05"/>
    <w:rsid w:val="00AA0B12"/>
    <w:rsid w:val="00AA1129"/>
    <w:rsid w:val="00AA1287"/>
    <w:rsid w:val="00AA1B6B"/>
    <w:rsid w:val="00AA1BA7"/>
    <w:rsid w:val="00AA1CE4"/>
    <w:rsid w:val="00AA1F2D"/>
    <w:rsid w:val="00AA1FCE"/>
    <w:rsid w:val="00AA223F"/>
    <w:rsid w:val="00AA24FB"/>
    <w:rsid w:val="00AA27C7"/>
    <w:rsid w:val="00AA27DE"/>
    <w:rsid w:val="00AA2EB2"/>
    <w:rsid w:val="00AA2F1D"/>
    <w:rsid w:val="00AA2F5E"/>
    <w:rsid w:val="00AA37D2"/>
    <w:rsid w:val="00AA38D0"/>
    <w:rsid w:val="00AA42EB"/>
    <w:rsid w:val="00AA4376"/>
    <w:rsid w:val="00AA4A3E"/>
    <w:rsid w:val="00AA4BAD"/>
    <w:rsid w:val="00AA4C7E"/>
    <w:rsid w:val="00AA4D1A"/>
    <w:rsid w:val="00AA4D5E"/>
    <w:rsid w:val="00AA5456"/>
    <w:rsid w:val="00AA55FC"/>
    <w:rsid w:val="00AA56B8"/>
    <w:rsid w:val="00AA57F7"/>
    <w:rsid w:val="00AA59E9"/>
    <w:rsid w:val="00AA6279"/>
    <w:rsid w:val="00AA62CD"/>
    <w:rsid w:val="00AA644B"/>
    <w:rsid w:val="00AA6B52"/>
    <w:rsid w:val="00AA6F54"/>
    <w:rsid w:val="00AA71D8"/>
    <w:rsid w:val="00AA72F6"/>
    <w:rsid w:val="00AA7370"/>
    <w:rsid w:val="00AA744E"/>
    <w:rsid w:val="00AA7A70"/>
    <w:rsid w:val="00AB0591"/>
    <w:rsid w:val="00AB0646"/>
    <w:rsid w:val="00AB0925"/>
    <w:rsid w:val="00AB0A39"/>
    <w:rsid w:val="00AB10D9"/>
    <w:rsid w:val="00AB13F3"/>
    <w:rsid w:val="00AB143B"/>
    <w:rsid w:val="00AB1671"/>
    <w:rsid w:val="00AB1E43"/>
    <w:rsid w:val="00AB1E87"/>
    <w:rsid w:val="00AB1EAC"/>
    <w:rsid w:val="00AB22CE"/>
    <w:rsid w:val="00AB24C1"/>
    <w:rsid w:val="00AB2504"/>
    <w:rsid w:val="00AB275C"/>
    <w:rsid w:val="00AB2A6F"/>
    <w:rsid w:val="00AB2D02"/>
    <w:rsid w:val="00AB2DEB"/>
    <w:rsid w:val="00AB2E26"/>
    <w:rsid w:val="00AB2F97"/>
    <w:rsid w:val="00AB30DA"/>
    <w:rsid w:val="00AB3130"/>
    <w:rsid w:val="00AB34F3"/>
    <w:rsid w:val="00AB353E"/>
    <w:rsid w:val="00AB44C6"/>
    <w:rsid w:val="00AB47AF"/>
    <w:rsid w:val="00AB4EF7"/>
    <w:rsid w:val="00AB4FBD"/>
    <w:rsid w:val="00AB50BC"/>
    <w:rsid w:val="00AB527B"/>
    <w:rsid w:val="00AB52FB"/>
    <w:rsid w:val="00AB5341"/>
    <w:rsid w:val="00AB5688"/>
    <w:rsid w:val="00AB5799"/>
    <w:rsid w:val="00AB5AAA"/>
    <w:rsid w:val="00AB5BC5"/>
    <w:rsid w:val="00AB5C0E"/>
    <w:rsid w:val="00AB648F"/>
    <w:rsid w:val="00AB66E8"/>
    <w:rsid w:val="00AB6EFA"/>
    <w:rsid w:val="00AB6FBD"/>
    <w:rsid w:val="00AB70FC"/>
    <w:rsid w:val="00AB7683"/>
    <w:rsid w:val="00AB76B2"/>
    <w:rsid w:val="00AB7BD0"/>
    <w:rsid w:val="00AC05B7"/>
    <w:rsid w:val="00AC0F3B"/>
    <w:rsid w:val="00AC102F"/>
    <w:rsid w:val="00AC1118"/>
    <w:rsid w:val="00AC129B"/>
    <w:rsid w:val="00AC1750"/>
    <w:rsid w:val="00AC19D9"/>
    <w:rsid w:val="00AC1DE2"/>
    <w:rsid w:val="00AC1F43"/>
    <w:rsid w:val="00AC2018"/>
    <w:rsid w:val="00AC237C"/>
    <w:rsid w:val="00AC243F"/>
    <w:rsid w:val="00AC26C2"/>
    <w:rsid w:val="00AC2CC6"/>
    <w:rsid w:val="00AC2CDC"/>
    <w:rsid w:val="00AC2D5C"/>
    <w:rsid w:val="00AC3427"/>
    <w:rsid w:val="00AC3B6F"/>
    <w:rsid w:val="00AC3E4C"/>
    <w:rsid w:val="00AC3FE1"/>
    <w:rsid w:val="00AC43E1"/>
    <w:rsid w:val="00AC44D6"/>
    <w:rsid w:val="00AC461A"/>
    <w:rsid w:val="00AC4620"/>
    <w:rsid w:val="00AC47BB"/>
    <w:rsid w:val="00AC5271"/>
    <w:rsid w:val="00AC5A5D"/>
    <w:rsid w:val="00AC5EDF"/>
    <w:rsid w:val="00AC5FAB"/>
    <w:rsid w:val="00AC6063"/>
    <w:rsid w:val="00AC60AF"/>
    <w:rsid w:val="00AC60B5"/>
    <w:rsid w:val="00AC6165"/>
    <w:rsid w:val="00AC6515"/>
    <w:rsid w:val="00AC6E5E"/>
    <w:rsid w:val="00AC7210"/>
    <w:rsid w:val="00AC7502"/>
    <w:rsid w:val="00AC7557"/>
    <w:rsid w:val="00AC7560"/>
    <w:rsid w:val="00AC7587"/>
    <w:rsid w:val="00AC75D7"/>
    <w:rsid w:val="00AC75E7"/>
    <w:rsid w:val="00AD027D"/>
    <w:rsid w:val="00AD02AA"/>
    <w:rsid w:val="00AD03CA"/>
    <w:rsid w:val="00AD07BC"/>
    <w:rsid w:val="00AD08A4"/>
    <w:rsid w:val="00AD0CF2"/>
    <w:rsid w:val="00AD16F5"/>
    <w:rsid w:val="00AD1EFE"/>
    <w:rsid w:val="00AD2568"/>
    <w:rsid w:val="00AD26D1"/>
    <w:rsid w:val="00AD2991"/>
    <w:rsid w:val="00AD2AA3"/>
    <w:rsid w:val="00AD2AD5"/>
    <w:rsid w:val="00AD2FBF"/>
    <w:rsid w:val="00AD32BD"/>
    <w:rsid w:val="00AD3B91"/>
    <w:rsid w:val="00AD3C78"/>
    <w:rsid w:val="00AD3CBF"/>
    <w:rsid w:val="00AD411C"/>
    <w:rsid w:val="00AD43E0"/>
    <w:rsid w:val="00AD486C"/>
    <w:rsid w:val="00AD48EF"/>
    <w:rsid w:val="00AD5096"/>
    <w:rsid w:val="00AD5101"/>
    <w:rsid w:val="00AD52AD"/>
    <w:rsid w:val="00AD5471"/>
    <w:rsid w:val="00AD5720"/>
    <w:rsid w:val="00AD57BD"/>
    <w:rsid w:val="00AD5868"/>
    <w:rsid w:val="00AD5D20"/>
    <w:rsid w:val="00AD664B"/>
    <w:rsid w:val="00AD69DB"/>
    <w:rsid w:val="00AD6CC8"/>
    <w:rsid w:val="00AD6E7A"/>
    <w:rsid w:val="00AD73C6"/>
    <w:rsid w:val="00AD74C6"/>
    <w:rsid w:val="00AD77A6"/>
    <w:rsid w:val="00AD7829"/>
    <w:rsid w:val="00AE025C"/>
    <w:rsid w:val="00AE0538"/>
    <w:rsid w:val="00AE059E"/>
    <w:rsid w:val="00AE080B"/>
    <w:rsid w:val="00AE0C6D"/>
    <w:rsid w:val="00AE0F0F"/>
    <w:rsid w:val="00AE1396"/>
    <w:rsid w:val="00AE14BB"/>
    <w:rsid w:val="00AE1572"/>
    <w:rsid w:val="00AE1767"/>
    <w:rsid w:val="00AE1808"/>
    <w:rsid w:val="00AE1B48"/>
    <w:rsid w:val="00AE20C1"/>
    <w:rsid w:val="00AE2260"/>
    <w:rsid w:val="00AE22F9"/>
    <w:rsid w:val="00AE239D"/>
    <w:rsid w:val="00AE29D0"/>
    <w:rsid w:val="00AE2AFD"/>
    <w:rsid w:val="00AE2BEE"/>
    <w:rsid w:val="00AE2BFC"/>
    <w:rsid w:val="00AE2F7B"/>
    <w:rsid w:val="00AE368F"/>
    <w:rsid w:val="00AE36AD"/>
    <w:rsid w:val="00AE38DA"/>
    <w:rsid w:val="00AE3E96"/>
    <w:rsid w:val="00AE3ECE"/>
    <w:rsid w:val="00AE3F58"/>
    <w:rsid w:val="00AE4304"/>
    <w:rsid w:val="00AE440C"/>
    <w:rsid w:val="00AE4482"/>
    <w:rsid w:val="00AE4755"/>
    <w:rsid w:val="00AE4904"/>
    <w:rsid w:val="00AE492C"/>
    <w:rsid w:val="00AE4A32"/>
    <w:rsid w:val="00AE510D"/>
    <w:rsid w:val="00AE530B"/>
    <w:rsid w:val="00AE530F"/>
    <w:rsid w:val="00AE5452"/>
    <w:rsid w:val="00AE5501"/>
    <w:rsid w:val="00AE55F0"/>
    <w:rsid w:val="00AE5968"/>
    <w:rsid w:val="00AE5C46"/>
    <w:rsid w:val="00AE5EAD"/>
    <w:rsid w:val="00AE5FCE"/>
    <w:rsid w:val="00AE608F"/>
    <w:rsid w:val="00AE63ED"/>
    <w:rsid w:val="00AE6C87"/>
    <w:rsid w:val="00AE6F91"/>
    <w:rsid w:val="00AE6FD6"/>
    <w:rsid w:val="00AE7009"/>
    <w:rsid w:val="00AE70CE"/>
    <w:rsid w:val="00AE751B"/>
    <w:rsid w:val="00AE77FC"/>
    <w:rsid w:val="00AE7988"/>
    <w:rsid w:val="00AE7A04"/>
    <w:rsid w:val="00AE7A9E"/>
    <w:rsid w:val="00AF0701"/>
    <w:rsid w:val="00AF076B"/>
    <w:rsid w:val="00AF07C1"/>
    <w:rsid w:val="00AF080E"/>
    <w:rsid w:val="00AF0AD6"/>
    <w:rsid w:val="00AF0B20"/>
    <w:rsid w:val="00AF0B7A"/>
    <w:rsid w:val="00AF0CD6"/>
    <w:rsid w:val="00AF0F14"/>
    <w:rsid w:val="00AF0F35"/>
    <w:rsid w:val="00AF0FB9"/>
    <w:rsid w:val="00AF157E"/>
    <w:rsid w:val="00AF1B80"/>
    <w:rsid w:val="00AF1FD0"/>
    <w:rsid w:val="00AF23B8"/>
    <w:rsid w:val="00AF2639"/>
    <w:rsid w:val="00AF29F3"/>
    <w:rsid w:val="00AF2B12"/>
    <w:rsid w:val="00AF334C"/>
    <w:rsid w:val="00AF36F2"/>
    <w:rsid w:val="00AF37E9"/>
    <w:rsid w:val="00AF38FF"/>
    <w:rsid w:val="00AF3F56"/>
    <w:rsid w:val="00AF5405"/>
    <w:rsid w:val="00AF5481"/>
    <w:rsid w:val="00AF55AE"/>
    <w:rsid w:val="00AF5991"/>
    <w:rsid w:val="00AF599A"/>
    <w:rsid w:val="00AF5FF0"/>
    <w:rsid w:val="00AF64D6"/>
    <w:rsid w:val="00AF660B"/>
    <w:rsid w:val="00AF664C"/>
    <w:rsid w:val="00AF69FD"/>
    <w:rsid w:val="00AF6A49"/>
    <w:rsid w:val="00AF6A78"/>
    <w:rsid w:val="00AF716C"/>
    <w:rsid w:val="00AF7A59"/>
    <w:rsid w:val="00AF7E53"/>
    <w:rsid w:val="00AF7F36"/>
    <w:rsid w:val="00B001FF"/>
    <w:rsid w:val="00B00360"/>
    <w:rsid w:val="00B00579"/>
    <w:rsid w:val="00B00907"/>
    <w:rsid w:val="00B0098C"/>
    <w:rsid w:val="00B00E3D"/>
    <w:rsid w:val="00B00E95"/>
    <w:rsid w:val="00B00F84"/>
    <w:rsid w:val="00B0164E"/>
    <w:rsid w:val="00B01712"/>
    <w:rsid w:val="00B01749"/>
    <w:rsid w:val="00B017E6"/>
    <w:rsid w:val="00B0198F"/>
    <w:rsid w:val="00B0211F"/>
    <w:rsid w:val="00B02130"/>
    <w:rsid w:val="00B02133"/>
    <w:rsid w:val="00B025FC"/>
    <w:rsid w:val="00B02656"/>
    <w:rsid w:val="00B028A9"/>
    <w:rsid w:val="00B02995"/>
    <w:rsid w:val="00B02A3D"/>
    <w:rsid w:val="00B02AA6"/>
    <w:rsid w:val="00B02DBA"/>
    <w:rsid w:val="00B02FE5"/>
    <w:rsid w:val="00B0304A"/>
    <w:rsid w:val="00B0328E"/>
    <w:rsid w:val="00B03383"/>
    <w:rsid w:val="00B03A2E"/>
    <w:rsid w:val="00B03ED9"/>
    <w:rsid w:val="00B04115"/>
    <w:rsid w:val="00B0412C"/>
    <w:rsid w:val="00B04312"/>
    <w:rsid w:val="00B045FA"/>
    <w:rsid w:val="00B04C0D"/>
    <w:rsid w:val="00B04C2D"/>
    <w:rsid w:val="00B04C63"/>
    <w:rsid w:val="00B04D16"/>
    <w:rsid w:val="00B04D9A"/>
    <w:rsid w:val="00B051AA"/>
    <w:rsid w:val="00B0534D"/>
    <w:rsid w:val="00B05351"/>
    <w:rsid w:val="00B056EB"/>
    <w:rsid w:val="00B059D3"/>
    <w:rsid w:val="00B05A5D"/>
    <w:rsid w:val="00B05D56"/>
    <w:rsid w:val="00B05DEB"/>
    <w:rsid w:val="00B06912"/>
    <w:rsid w:val="00B06E5B"/>
    <w:rsid w:val="00B075E5"/>
    <w:rsid w:val="00B0779D"/>
    <w:rsid w:val="00B07C20"/>
    <w:rsid w:val="00B07C75"/>
    <w:rsid w:val="00B07CB1"/>
    <w:rsid w:val="00B1011D"/>
    <w:rsid w:val="00B103C4"/>
    <w:rsid w:val="00B1057B"/>
    <w:rsid w:val="00B106FA"/>
    <w:rsid w:val="00B1078A"/>
    <w:rsid w:val="00B10FD1"/>
    <w:rsid w:val="00B1104D"/>
    <w:rsid w:val="00B1111A"/>
    <w:rsid w:val="00B114F8"/>
    <w:rsid w:val="00B11791"/>
    <w:rsid w:val="00B1236F"/>
    <w:rsid w:val="00B124BB"/>
    <w:rsid w:val="00B1281D"/>
    <w:rsid w:val="00B12A23"/>
    <w:rsid w:val="00B13111"/>
    <w:rsid w:val="00B1331C"/>
    <w:rsid w:val="00B136A4"/>
    <w:rsid w:val="00B13952"/>
    <w:rsid w:val="00B13D49"/>
    <w:rsid w:val="00B13E35"/>
    <w:rsid w:val="00B13E3C"/>
    <w:rsid w:val="00B13FC1"/>
    <w:rsid w:val="00B1415C"/>
    <w:rsid w:val="00B142B2"/>
    <w:rsid w:val="00B14313"/>
    <w:rsid w:val="00B14475"/>
    <w:rsid w:val="00B1448D"/>
    <w:rsid w:val="00B14D42"/>
    <w:rsid w:val="00B14E9F"/>
    <w:rsid w:val="00B15A3F"/>
    <w:rsid w:val="00B15B30"/>
    <w:rsid w:val="00B1638D"/>
    <w:rsid w:val="00B168D5"/>
    <w:rsid w:val="00B16B53"/>
    <w:rsid w:val="00B16F18"/>
    <w:rsid w:val="00B16F1D"/>
    <w:rsid w:val="00B1782E"/>
    <w:rsid w:val="00B179B7"/>
    <w:rsid w:val="00B17E3E"/>
    <w:rsid w:val="00B20A4B"/>
    <w:rsid w:val="00B20F03"/>
    <w:rsid w:val="00B218AE"/>
    <w:rsid w:val="00B21D0A"/>
    <w:rsid w:val="00B21D2A"/>
    <w:rsid w:val="00B2235D"/>
    <w:rsid w:val="00B22908"/>
    <w:rsid w:val="00B22B03"/>
    <w:rsid w:val="00B22C7C"/>
    <w:rsid w:val="00B23C5D"/>
    <w:rsid w:val="00B23C9C"/>
    <w:rsid w:val="00B23E73"/>
    <w:rsid w:val="00B241A8"/>
    <w:rsid w:val="00B243B7"/>
    <w:rsid w:val="00B2452A"/>
    <w:rsid w:val="00B24A00"/>
    <w:rsid w:val="00B24E1C"/>
    <w:rsid w:val="00B2505C"/>
    <w:rsid w:val="00B251D8"/>
    <w:rsid w:val="00B252DA"/>
    <w:rsid w:val="00B25372"/>
    <w:rsid w:val="00B254B8"/>
    <w:rsid w:val="00B254CD"/>
    <w:rsid w:val="00B257C8"/>
    <w:rsid w:val="00B257D2"/>
    <w:rsid w:val="00B2584F"/>
    <w:rsid w:val="00B25915"/>
    <w:rsid w:val="00B25982"/>
    <w:rsid w:val="00B25989"/>
    <w:rsid w:val="00B262CB"/>
    <w:rsid w:val="00B266EA"/>
    <w:rsid w:val="00B2684E"/>
    <w:rsid w:val="00B26B42"/>
    <w:rsid w:val="00B26CFC"/>
    <w:rsid w:val="00B26D79"/>
    <w:rsid w:val="00B26D9B"/>
    <w:rsid w:val="00B26FC4"/>
    <w:rsid w:val="00B2725C"/>
    <w:rsid w:val="00B273FC"/>
    <w:rsid w:val="00B274D7"/>
    <w:rsid w:val="00B2763D"/>
    <w:rsid w:val="00B27894"/>
    <w:rsid w:val="00B27D13"/>
    <w:rsid w:val="00B27D68"/>
    <w:rsid w:val="00B30250"/>
    <w:rsid w:val="00B30408"/>
    <w:rsid w:val="00B30F86"/>
    <w:rsid w:val="00B311B7"/>
    <w:rsid w:val="00B312DA"/>
    <w:rsid w:val="00B31DE1"/>
    <w:rsid w:val="00B321E2"/>
    <w:rsid w:val="00B32306"/>
    <w:rsid w:val="00B323A8"/>
    <w:rsid w:val="00B323D4"/>
    <w:rsid w:val="00B32A08"/>
    <w:rsid w:val="00B32A0B"/>
    <w:rsid w:val="00B334A3"/>
    <w:rsid w:val="00B33A3A"/>
    <w:rsid w:val="00B33B03"/>
    <w:rsid w:val="00B33DA6"/>
    <w:rsid w:val="00B33E59"/>
    <w:rsid w:val="00B34244"/>
    <w:rsid w:val="00B34267"/>
    <w:rsid w:val="00B34354"/>
    <w:rsid w:val="00B345DF"/>
    <w:rsid w:val="00B347B7"/>
    <w:rsid w:val="00B34A9B"/>
    <w:rsid w:val="00B34CBC"/>
    <w:rsid w:val="00B34D36"/>
    <w:rsid w:val="00B34E5C"/>
    <w:rsid w:val="00B35206"/>
    <w:rsid w:val="00B35398"/>
    <w:rsid w:val="00B3547A"/>
    <w:rsid w:val="00B358E3"/>
    <w:rsid w:val="00B35FB6"/>
    <w:rsid w:val="00B36053"/>
    <w:rsid w:val="00B3653A"/>
    <w:rsid w:val="00B36692"/>
    <w:rsid w:val="00B36902"/>
    <w:rsid w:val="00B36A78"/>
    <w:rsid w:val="00B36C31"/>
    <w:rsid w:val="00B36D7F"/>
    <w:rsid w:val="00B37210"/>
    <w:rsid w:val="00B37524"/>
    <w:rsid w:val="00B378CE"/>
    <w:rsid w:val="00B37BBA"/>
    <w:rsid w:val="00B37C0A"/>
    <w:rsid w:val="00B37D45"/>
    <w:rsid w:val="00B40452"/>
    <w:rsid w:val="00B406B8"/>
    <w:rsid w:val="00B408F4"/>
    <w:rsid w:val="00B40CF3"/>
    <w:rsid w:val="00B40F5F"/>
    <w:rsid w:val="00B41340"/>
    <w:rsid w:val="00B4237D"/>
    <w:rsid w:val="00B427AA"/>
    <w:rsid w:val="00B4300F"/>
    <w:rsid w:val="00B43B34"/>
    <w:rsid w:val="00B4447F"/>
    <w:rsid w:val="00B44743"/>
    <w:rsid w:val="00B45182"/>
    <w:rsid w:val="00B451BE"/>
    <w:rsid w:val="00B45219"/>
    <w:rsid w:val="00B452C8"/>
    <w:rsid w:val="00B45352"/>
    <w:rsid w:val="00B45539"/>
    <w:rsid w:val="00B457E7"/>
    <w:rsid w:val="00B45D75"/>
    <w:rsid w:val="00B46335"/>
    <w:rsid w:val="00B46559"/>
    <w:rsid w:val="00B46858"/>
    <w:rsid w:val="00B46A13"/>
    <w:rsid w:val="00B4783D"/>
    <w:rsid w:val="00B50453"/>
    <w:rsid w:val="00B50471"/>
    <w:rsid w:val="00B50840"/>
    <w:rsid w:val="00B51006"/>
    <w:rsid w:val="00B51488"/>
    <w:rsid w:val="00B514A5"/>
    <w:rsid w:val="00B51723"/>
    <w:rsid w:val="00B517FE"/>
    <w:rsid w:val="00B518C8"/>
    <w:rsid w:val="00B5210F"/>
    <w:rsid w:val="00B52219"/>
    <w:rsid w:val="00B5235B"/>
    <w:rsid w:val="00B523AC"/>
    <w:rsid w:val="00B5257A"/>
    <w:rsid w:val="00B525FC"/>
    <w:rsid w:val="00B52A2C"/>
    <w:rsid w:val="00B52C14"/>
    <w:rsid w:val="00B5324B"/>
    <w:rsid w:val="00B5356A"/>
    <w:rsid w:val="00B537A6"/>
    <w:rsid w:val="00B53A60"/>
    <w:rsid w:val="00B53B2F"/>
    <w:rsid w:val="00B53C50"/>
    <w:rsid w:val="00B53C8B"/>
    <w:rsid w:val="00B542C7"/>
    <w:rsid w:val="00B5441A"/>
    <w:rsid w:val="00B54AD7"/>
    <w:rsid w:val="00B54CAF"/>
    <w:rsid w:val="00B54E06"/>
    <w:rsid w:val="00B54E34"/>
    <w:rsid w:val="00B552BB"/>
    <w:rsid w:val="00B554FB"/>
    <w:rsid w:val="00B5554D"/>
    <w:rsid w:val="00B556A1"/>
    <w:rsid w:val="00B556B8"/>
    <w:rsid w:val="00B55E09"/>
    <w:rsid w:val="00B55E11"/>
    <w:rsid w:val="00B55E26"/>
    <w:rsid w:val="00B56072"/>
    <w:rsid w:val="00B562A0"/>
    <w:rsid w:val="00B56410"/>
    <w:rsid w:val="00B56424"/>
    <w:rsid w:val="00B56DDA"/>
    <w:rsid w:val="00B56FDC"/>
    <w:rsid w:val="00B57025"/>
    <w:rsid w:val="00B5723A"/>
    <w:rsid w:val="00B576EB"/>
    <w:rsid w:val="00B57754"/>
    <w:rsid w:val="00B6082B"/>
    <w:rsid w:val="00B61651"/>
    <w:rsid w:val="00B6170F"/>
    <w:rsid w:val="00B61774"/>
    <w:rsid w:val="00B61D1C"/>
    <w:rsid w:val="00B61F91"/>
    <w:rsid w:val="00B623B8"/>
    <w:rsid w:val="00B62644"/>
    <w:rsid w:val="00B62670"/>
    <w:rsid w:val="00B626BC"/>
    <w:rsid w:val="00B62A7C"/>
    <w:rsid w:val="00B62CF5"/>
    <w:rsid w:val="00B6314D"/>
    <w:rsid w:val="00B632DE"/>
    <w:rsid w:val="00B63765"/>
    <w:rsid w:val="00B63E45"/>
    <w:rsid w:val="00B6425E"/>
    <w:rsid w:val="00B642DE"/>
    <w:rsid w:val="00B6437A"/>
    <w:rsid w:val="00B6451E"/>
    <w:rsid w:val="00B64636"/>
    <w:rsid w:val="00B64764"/>
    <w:rsid w:val="00B64927"/>
    <w:rsid w:val="00B6493E"/>
    <w:rsid w:val="00B64A43"/>
    <w:rsid w:val="00B64BC6"/>
    <w:rsid w:val="00B64CB3"/>
    <w:rsid w:val="00B64F5F"/>
    <w:rsid w:val="00B64FAA"/>
    <w:rsid w:val="00B660CD"/>
    <w:rsid w:val="00B66265"/>
    <w:rsid w:val="00B66505"/>
    <w:rsid w:val="00B6678B"/>
    <w:rsid w:val="00B66B05"/>
    <w:rsid w:val="00B66D54"/>
    <w:rsid w:val="00B67BDC"/>
    <w:rsid w:val="00B67EAB"/>
    <w:rsid w:val="00B67FA9"/>
    <w:rsid w:val="00B7053D"/>
    <w:rsid w:val="00B70589"/>
    <w:rsid w:val="00B70926"/>
    <w:rsid w:val="00B71089"/>
    <w:rsid w:val="00B71186"/>
    <w:rsid w:val="00B711E9"/>
    <w:rsid w:val="00B7152A"/>
    <w:rsid w:val="00B72083"/>
    <w:rsid w:val="00B726B9"/>
    <w:rsid w:val="00B72833"/>
    <w:rsid w:val="00B72C23"/>
    <w:rsid w:val="00B72D9C"/>
    <w:rsid w:val="00B73072"/>
    <w:rsid w:val="00B734DD"/>
    <w:rsid w:val="00B73750"/>
    <w:rsid w:val="00B73B37"/>
    <w:rsid w:val="00B73D59"/>
    <w:rsid w:val="00B73ECF"/>
    <w:rsid w:val="00B73FEA"/>
    <w:rsid w:val="00B7457E"/>
    <w:rsid w:val="00B74873"/>
    <w:rsid w:val="00B7496D"/>
    <w:rsid w:val="00B74A6F"/>
    <w:rsid w:val="00B74E00"/>
    <w:rsid w:val="00B75196"/>
    <w:rsid w:val="00B7534D"/>
    <w:rsid w:val="00B757C4"/>
    <w:rsid w:val="00B75997"/>
    <w:rsid w:val="00B75A09"/>
    <w:rsid w:val="00B7605D"/>
    <w:rsid w:val="00B7638D"/>
    <w:rsid w:val="00B764AB"/>
    <w:rsid w:val="00B76BDE"/>
    <w:rsid w:val="00B76F4D"/>
    <w:rsid w:val="00B7706F"/>
    <w:rsid w:val="00B771B8"/>
    <w:rsid w:val="00B77988"/>
    <w:rsid w:val="00B77A79"/>
    <w:rsid w:val="00B77E3F"/>
    <w:rsid w:val="00B8053D"/>
    <w:rsid w:val="00B8073F"/>
    <w:rsid w:val="00B808A8"/>
    <w:rsid w:val="00B80EA3"/>
    <w:rsid w:val="00B8102A"/>
    <w:rsid w:val="00B8145C"/>
    <w:rsid w:val="00B81BE7"/>
    <w:rsid w:val="00B81F21"/>
    <w:rsid w:val="00B82735"/>
    <w:rsid w:val="00B8290A"/>
    <w:rsid w:val="00B82935"/>
    <w:rsid w:val="00B82AD5"/>
    <w:rsid w:val="00B82F19"/>
    <w:rsid w:val="00B82FD1"/>
    <w:rsid w:val="00B833ED"/>
    <w:rsid w:val="00B83455"/>
    <w:rsid w:val="00B83987"/>
    <w:rsid w:val="00B83F2A"/>
    <w:rsid w:val="00B83FF3"/>
    <w:rsid w:val="00B8408B"/>
    <w:rsid w:val="00B840CC"/>
    <w:rsid w:val="00B848EE"/>
    <w:rsid w:val="00B84BB7"/>
    <w:rsid w:val="00B84CA3"/>
    <w:rsid w:val="00B852C2"/>
    <w:rsid w:val="00B85683"/>
    <w:rsid w:val="00B85852"/>
    <w:rsid w:val="00B8605E"/>
    <w:rsid w:val="00B8686A"/>
    <w:rsid w:val="00B86AA0"/>
    <w:rsid w:val="00B86EC2"/>
    <w:rsid w:val="00B86F11"/>
    <w:rsid w:val="00B878B6"/>
    <w:rsid w:val="00B87A16"/>
    <w:rsid w:val="00B87D65"/>
    <w:rsid w:val="00B87E48"/>
    <w:rsid w:val="00B90387"/>
    <w:rsid w:val="00B903E9"/>
    <w:rsid w:val="00B9066A"/>
    <w:rsid w:val="00B90A3C"/>
    <w:rsid w:val="00B90F34"/>
    <w:rsid w:val="00B919B7"/>
    <w:rsid w:val="00B91AA2"/>
    <w:rsid w:val="00B91BC5"/>
    <w:rsid w:val="00B91BDD"/>
    <w:rsid w:val="00B91CE1"/>
    <w:rsid w:val="00B91DF8"/>
    <w:rsid w:val="00B92A43"/>
    <w:rsid w:val="00B92AB1"/>
    <w:rsid w:val="00B92B0B"/>
    <w:rsid w:val="00B92C9E"/>
    <w:rsid w:val="00B92DE8"/>
    <w:rsid w:val="00B92F25"/>
    <w:rsid w:val="00B92F72"/>
    <w:rsid w:val="00B931B0"/>
    <w:rsid w:val="00B932AA"/>
    <w:rsid w:val="00B9388B"/>
    <w:rsid w:val="00B93E59"/>
    <w:rsid w:val="00B93E82"/>
    <w:rsid w:val="00B942C6"/>
    <w:rsid w:val="00B94437"/>
    <w:rsid w:val="00B94A17"/>
    <w:rsid w:val="00B94B17"/>
    <w:rsid w:val="00B94C9D"/>
    <w:rsid w:val="00B94D61"/>
    <w:rsid w:val="00B95153"/>
    <w:rsid w:val="00B9520D"/>
    <w:rsid w:val="00B95451"/>
    <w:rsid w:val="00B95760"/>
    <w:rsid w:val="00B959AD"/>
    <w:rsid w:val="00B95C74"/>
    <w:rsid w:val="00B95F63"/>
    <w:rsid w:val="00B9616C"/>
    <w:rsid w:val="00B9619C"/>
    <w:rsid w:val="00B9619D"/>
    <w:rsid w:val="00B96D06"/>
    <w:rsid w:val="00B972D0"/>
    <w:rsid w:val="00B9770B"/>
    <w:rsid w:val="00B9787D"/>
    <w:rsid w:val="00B979FE"/>
    <w:rsid w:val="00B97AF5"/>
    <w:rsid w:val="00BA07FA"/>
    <w:rsid w:val="00BA0A5D"/>
    <w:rsid w:val="00BA0F96"/>
    <w:rsid w:val="00BA21FD"/>
    <w:rsid w:val="00BA2801"/>
    <w:rsid w:val="00BA28F8"/>
    <w:rsid w:val="00BA2A10"/>
    <w:rsid w:val="00BA2A38"/>
    <w:rsid w:val="00BA2A6B"/>
    <w:rsid w:val="00BA3226"/>
    <w:rsid w:val="00BA35E7"/>
    <w:rsid w:val="00BA3693"/>
    <w:rsid w:val="00BA3BC5"/>
    <w:rsid w:val="00BA3D89"/>
    <w:rsid w:val="00BA3EA6"/>
    <w:rsid w:val="00BA3ECE"/>
    <w:rsid w:val="00BA4802"/>
    <w:rsid w:val="00BA4C3A"/>
    <w:rsid w:val="00BA4D77"/>
    <w:rsid w:val="00BA51B9"/>
    <w:rsid w:val="00BA5487"/>
    <w:rsid w:val="00BA586F"/>
    <w:rsid w:val="00BA58D8"/>
    <w:rsid w:val="00BA5AE4"/>
    <w:rsid w:val="00BA6110"/>
    <w:rsid w:val="00BA62FD"/>
    <w:rsid w:val="00BA64CD"/>
    <w:rsid w:val="00BA67A2"/>
    <w:rsid w:val="00BA6957"/>
    <w:rsid w:val="00BA70A0"/>
    <w:rsid w:val="00BA78EA"/>
    <w:rsid w:val="00BA7C7F"/>
    <w:rsid w:val="00BA7E13"/>
    <w:rsid w:val="00BB0329"/>
    <w:rsid w:val="00BB058D"/>
    <w:rsid w:val="00BB066B"/>
    <w:rsid w:val="00BB0697"/>
    <w:rsid w:val="00BB0CD9"/>
    <w:rsid w:val="00BB0DA9"/>
    <w:rsid w:val="00BB0EE2"/>
    <w:rsid w:val="00BB1620"/>
    <w:rsid w:val="00BB1A59"/>
    <w:rsid w:val="00BB1BAB"/>
    <w:rsid w:val="00BB1C51"/>
    <w:rsid w:val="00BB1EC4"/>
    <w:rsid w:val="00BB20C8"/>
    <w:rsid w:val="00BB23E0"/>
    <w:rsid w:val="00BB26F2"/>
    <w:rsid w:val="00BB2D22"/>
    <w:rsid w:val="00BB2D78"/>
    <w:rsid w:val="00BB2DBD"/>
    <w:rsid w:val="00BB326D"/>
    <w:rsid w:val="00BB34FF"/>
    <w:rsid w:val="00BB370B"/>
    <w:rsid w:val="00BB3B7A"/>
    <w:rsid w:val="00BB3CB4"/>
    <w:rsid w:val="00BB3F54"/>
    <w:rsid w:val="00BB4310"/>
    <w:rsid w:val="00BB4572"/>
    <w:rsid w:val="00BB48D1"/>
    <w:rsid w:val="00BB5213"/>
    <w:rsid w:val="00BB54D0"/>
    <w:rsid w:val="00BB5635"/>
    <w:rsid w:val="00BB5846"/>
    <w:rsid w:val="00BB5B7A"/>
    <w:rsid w:val="00BB61B3"/>
    <w:rsid w:val="00BB69D3"/>
    <w:rsid w:val="00BB6B6F"/>
    <w:rsid w:val="00BB713E"/>
    <w:rsid w:val="00BB746D"/>
    <w:rsid w:val="00BB766C"/>
    <w:rsid w:val="00BB7F15"/>
    <w:rsid w:val="00BC0BE8"/>
    <w:rsid w:val="00BC0F0A"/>
    <w:rsid w:val="00BC16E0"/>
    <w:rsid w:val="00BC1736"/>
    <w:rsid w:val="00BC1853"/>
    <w:rsid w:val="00BC1A2D"/>
    <w:rsid w:val="00BC1F98"/>
    <w:rsid w:val="00BC2271"/>
    <w:rsid w:val="00BC24DB"/>
    <w:rsid w:val="00BC255F"/>
    <w:rsid w:val="00BC2783"/>
    <w:rsid w:val="00BC2B07"/>
    <w:rsid w:val="00BC2BD7"/>
    <w:rsid w:val="00BC2C92"/>
    <w:rsid w:val="00BC2DB7"/>
    <w:rsid w:val="00BC2DBD"/>
    <w:rsid w:val="00BC3378"/>
    <w:rsid w:val="00BC3479"/>
    <w:rsid w:val="00BC357F"/>
    <w:rsid w:val="00BC37D7"/>
    <w:rsid w:val="00BC3877"/>
    <w:rsid w:val="00BC38C2"/>
    <w:rsid w:val="00BC3AB9"/>
    <w:rsid w:val="00BC41E8"/>
    <w:rsid w:val="00BC440F"/>
    <w:rsid w:val="00BC471B"/>
    <w:rsid w:val="00BC47FE"/>
    <w:rsid w:val="00BC4898"/>
    <w:rsid w:val="00BC4CFC"/>
    <w:rsid w:val="00BC4D13"/>
    <w:rsid w:val="00BC4E85"/>
    <w:rsid w:val="00BC5074"/>
    <w:rsid w:val="00BC54C0"/>
    <w:rsid w:val="00BC5849"/>
    <w:rsid w:val="00BC5942"/>
    <w:rsid w:val="00BC5ADC"/>
    <w:rsid w:val="00BC5B45"/>
    <w:rsid w:val="00BC5E7D"/>
    <w:rsid w:val="00BC5F10"/>
    <w:rsid w:val="00BC5F1A"/>
    <w:rsid w:val="00BC6160"/>
    <w:rsid w:val="00BC63F8"/>
    <w:rsid w:val="00BC6539"/>
    <w:rsid w:val="00BC6883"/>
    <w:rsid w:val="00BC6B1D"/>
    <w:rsid w:val="00BC6F2B"/>
    <w:rsid w:val="00BC773A"/>
    <w:rsid w:val="00BC7973"/>
    <w:rsid w:val="00BC79D6"/>
    <w:rsid w:val="00BC7A4A"/>
    <w:rsid w:val="00BC7D16"/>
    <w:rsid w:val="00BC7FDA"/>
    <w:rsid w:val="00BD0065"/>
    <w:rsid w:val="00BD01BE"/>
    <w:rsid w:val="00BD032A"/>
    <w:rsid w:val="00BD0510"/>
    <w:rsid w:val="00BD072A"/>
    <w:rsid w:val="00BD0A7E"/>
    <w:rsid w:val="00BD0D85"/>
    <w:rsid w:val="00BD11F0"/>
    <w:rsid w:val="00BD1364"/>
    <w:rsid w:val="00BD182F"/>
    <w:rsid w:val="00BD1CFE"/>
    <w:rsid w:val="00BD23B4"/>
    <w:rsid w:val="00BD29DB"/>
    <w:rsid w:val="00BD2A0C"/>
    <w:rsid w:val="00BD2C10"/>
    <w:rsid w:val="00BD2C33"/>
    <w:rsid w:val="00BD313B"/>
    <w:rsid w:val="00BD3195"/>
    <w:rsid w:val="00BD3321"/>
    <w:rsid w:val="00BD348B"/>
    <w:rsid w:val="00BD3663"/>
    <w:rsid w:val="00BD3884"/>
    <w:rsid w:val="00BD3965"/>
    <w:rsid w:val="00BD3BB0"/>
    <w:rsid w:val="00BD3DA3"/>
    <w:rsid w:val="00BD4322"/>
    <w:rsid w:val="00BD46E8"/>
    <w:rsid w:val="00BD4930"/>
    <w:rsid w:val="00BD4F7D"/>
    <w:rsid w:val="00BD5063"/>
    <w:rsid w:val="00BD5595"/>
    <w:rsid w:val="00BD599F"/>
    <w:rsid w:val="00BD5AED"/>
    <w:rsid w:val="00BD5E7F"/>
    <w:rsid w:val="00BD6145"/>
    <w:rsid w:val="00BD61B2"/>
    <w:rsid w:val="00BD6996"/>
    <w:rsid w:val="00BD6B1C"/>
    <w:rsid w:val="00BD6D58"/>
    <w:rsid w:val="00BD7833"/>
    <w:rsid w:val="00BD7DE5"/>
    <w:rsid w:val="00BD7EB1"/>
    <w:rsid w:val="00BE0568"/>
    <w:rsid w:val="00BE063B"/>
    <w:rsid w:val="00BE0761"/>
    <w:rsid w:val="00BE0BD5"/>
    <w:rsid w:val="00BE0FF7"/>
    <w:rsid w:val="00BE1087"/>
    <w:rsid w:val="00BE1473"/>
    <w:rsid w:val="00BE1A4D"/>
    <w:rsid w:val="00BE1EC1"/>
    <w:rsid w:val="00BE2971"/>
    <w:rsid w:val="00BE2A77"/>
    <w:rsid w:val="00BE2C4C"/>
    <w:rsid w:val="00BE2F86"/>
    <w:rsid w:val="00BE32CB"/>
    <w:rsid w:val="00BE3A98"/>
    <w:rsid w:val="00BE3BBD"/>
    <w:rsid w:val="00BE3FD1"/>
    <w:rsid w:val="00BE4201"/>
    <w:rsid w:val="00BE439D"/>
    <w:rsid w:val="00BE467A"/>
    <w:rsid w:val="00BE4755"/>
    <w:rsid w:val="00BE47A7"/>
    <w:rsid w:val="00BE48EF"/>
    <w:rsid w:val="00BE4B5B"/>
    <w:rsid w:val="00BE4F88"/>
    <w:rsid w:val="00BE5336"/>
    <w:rsid w:val="00BE559B"/>
    <w:rsid w:val="00BE5850"/>
    <w:rsid w:val="00BE5A7E"/>
    <w:rsid w:val="00BE5ADC"/>
    <w:rsid w:val="00BE5E24"/>
    <w:rsid w:val="00BE5F57"/>
    <w:rsid w:val="00BE6289"/>
    <w:rsid w:val="00BE6E7C"/>
    <w:rsid w:val="00BE75C9"/>
    <w:rsid w:val="00BE7C1D"/>
    <w:rsid w:val="00BE7F7E"/>
    <w:rsid w:val="00BE7F8A"/>
    <w:rsid w:val="00BF0812"/>
    <w:rsid w:val="00BF0FA7"/>
    <w:rsid w:val="00BF1938"/>
    <w:rsid w:val="00BF1C6E"/>
    <w:rsid w:val="00BF1D1A"/>
    <w:rsid w:val="00BF1DA4"/>
    <w:rsid w:val="00BF1FCE"/>
    <w:rsid w:val="00BF1FDE"/>
    <w:rsid w:val="00BF27F9"/>
    <w:rsid w:val="00BF2887"/>
    <w:rsid w:val="00BF2AB3"/>
    <w:rsid w:val="00BF2AB9"/>
    <w:rsid w:val="00BF2ABF"/>
    <w:rsid w:val="00BF2E51"/>
    <w:rsid w:val="00BF2E7E"/>
    <w:rsid w:val="00BF32B9"/>
    <w:rsid w:val="00BF3873"/>
    <w:rsid w:val="00BF3C99"/>
    <w:rsid w:val="00BF4105"/>
    <w:rsid w:val="00BF42A6"/>
    <w:rsid w:val="00BF4564"/>
    <w:rsid w:val="00BF4CEC"/>
    <w:rsid w:val="00BF4EF1"/>
    <w:rsid w:val="00BF52A1"/>
    <w:rsid w:val="00BF5FD6"/>
    <w:rsid w:val="00BF604E"/>
    <w:rsid w:val="00BF6050"/>
    <w:rsid w:val="00BF647D"/>
    <w:rsid w:val="00BF653B"/>
    <w:rsid w:val="00BF6987"/>
    <w:rsid w:val="00BF6DBA"/>
    <w:rsid w:val="00BF71CE"/>
    <w:rsid w:val="00BF720C"/>
    <w:rsid w:val="00BF72F1"/>
    <w:rsid w:val="00BF74A3"/>
    <w:rsid w:val="00BF74AD"/>
    <w:rsid w:val="00BF74DB"/>
    <w:rsid w:val="00BF77D5"/>
    <w:rsid w:val="00BF78C1"/>
    <w:rsid w:val="00BF7AFD"/>
    <w:rsid w:val="00BF7DD1"/>
    <w:rsid w:val="00BF7EE3"/>
    <w:rsid w:val="00C00180"/>
    <w:rsid w:val="00C010D5"/>
    <w:rsid w:val="00C01170"/>
    <w:rsid w:val="00C0117B"/>
    <w:rsid w:val="00C01562"/>
    <w:rsid w:val="00C017D1"/>
    <w:rsid w:val="00C01CE2"/>
    <w:rsid w:val="00C01DD9"/>
    <w:rsid w:val="00C02196"/>
    <w:rsid w:val="00C022F7"/>
    <w:rsid w:val="00C02410"/>
    <w:rsid w:val="00C02A08"/>
    <w:rsid w:val="00C02AA2"/>
    <w:rsid w:val="00C02DC6"/>
    <w:rsid w:val="00C03028"/>
    <w:rsid w:val="00C03609"/>
    <w:rsid w:val="00C036D2"/>
    <w:rsid w:val="00C0475F"/>
    <w:rsid w:val="00C048EA"/>
    <w:rsid w:val="00C04BE1"/>
    <w:rsid w:val="00C0557A"/>
    <w:rsid w:val="00C0566F"/>
    <w:rsid w:val="00C05E38"/>
    <w:rsid w:val="00C05E4F"/>
    <w:rsid w:val="00C05F94"/>
    <w:rsid w:val="00C0603A"/>
    <w:rsid w:val="00C06194"/>
    <w:rsid w:val="00C06339"/>
    <w:rsid w:val="00C06908"/>
    <w:rsid w:val="00C072ED"/>
    <w:rsid w:val="00C074D3"/>
    <w:rsid w:val="00C0794C"/>
    <w:rsid w:val="00C1089D"/>
    <w:rsid w:val="00C10E86"/>
    <w:rsid w:val="00C10EB8"/>
    <w:rsid w:val="00C1100D"/>
    <w:rsid w:val="00C1112C"/>
    <w:rsid w:val="00C114F7"/>
    <w:rsid w:val="00C11B54"/>
    <w:rsid w:val="00C11C0B"/>
    <w:rsid w:val="00C123B7"/>
    <w:rsid w:val="00C125C4"/>
    <w:rsid w:val="00C12604"/>
    <w:rsid w:val="00C1306A"/>
    <w:rsid w:val="00C13171"/>
    <w:rsid w:val="00C13404"/>
    <w:rsid w:val="00C138EA"/>
    <w:rsid w:val="00C13ABE"/>
    <w:rsid w:val="00C1408A"/>
    <w:rsid w:val="00C140D6"/>
    <w:rsid w:val="00C14482"/>
    <w:rsid w:val="00C14514"/>
    <w:rsid w:val="00C14CDD"/>
    <w:rsid w:val="00C14D99"/>
    <w:rsid w:val="00C15553"/>
    <w:rsid w:val="00C1562D"/>
    <w:rsid w:val="00C156B9"/>
    <w:rsid w:val="00C15C27"/>
    <w:rsid w:val="00C15C54"/>
    <w:rsid w:val="00C15D4F"/>
    <w:rsid w:val="00C15D6D"/>
    <w:rsid w:val="00C15E3A"/>
    <w:rsid w:val="00C15EFB"/>
    <w:rsid w:val="00C16314"/>
    <w:rsid w:val="00C16952"/>
    <w:rsid w:val="00C16D03"/>
    <w:rsid w:val="00C17133"/>
    <w:rsid w:val="00C17274"/>
    <w:rsid w:val="00C176B8"/>
    <w:rsid w:val="00C17801"/>
    <w:rsid w:val="00C179B0"/>
    <w:rsid w:val="00C17D7A"/>
    <w:rsid w:val="00C2007D"/>
    <w:rsid w:val="00C20716"/>
    <w:rsid w:val="00C209D2"/>
    <w:rsid w:val="00C20F53"/>
    <w:rsid w:val="00C2109B"/>
    <w:rsid w:val="00C211F5"/>
    <w:rsid w:val="00C21346"/>
    <w:rsid w:val="00C21347"/>
    <w:rsid w:val="00C2147A"/>
    <w:rsid w:val="00C2182F"/>
    <w:rsid w:val="00C218EC"/>
    <w:rsid w:val="00C21914"/>
    <w:rsid w:val="00C21D7C"/>
    <w:rsid w:val="00C220F4"/>
    <w:rsid w:val="00C22637"/>
    <w:rsid w:val="00C226D3"/>
    <w:rsid w:val="00C22D54"/>
    <w:rsid w:val="00C22E2A"/>
    <w:rsid w:val="00C2311E"/>
    <w:rsid w:val="00C2340A"/>
    <w:rsid w:val="00C237F9"/>
    <w:rsid w:val="00C239B7"/>
    <w:rsid w:val="00C23E60"/>
    <w:rsid w:val="00C24469"/>
    <w:rsid w:val="00C24AEF"/>
    <w:rsid w:val="00C24FF1"/>
    <w:rsid w:val="00C2526D"/>
    <w:rsid w:val="00C25690"/>
    <w:rsid w:val="00C256E0"/>
    <w:rsid w:val="00C25719"/>
    <w:rsid w:val="00C259AE"/>
    <w:rsid w:val="00C25C4A"/>
    <w:rsid w:val="00C25D9B"/>
    <w:rsid w:val="00C26086"/>
    <w:rsid w:val="00C26196"/>
    <w:rsid w:val="00C261C7"/>
    <w:rsid w:val="00C2679F"/>
    <w:rsid w:val="00C26949"/>
    <w:rsid w:val="00C2714D"/>
    <w:rsid w:val="00C27E99"/>
    <w:rsid w:val="00C3088B"/>
    <w:rsid w:val="00C30E0A"/>
    <w:rsid w:val="00C31406"/>
    <w:rsid w:val="00C3160E"/>
    <w:rsid w:val="00C31D94"/>
    <w:rsid w:val="00C31EAD"/>
    <w:rsid w:val="00C32862"/>
    <w:rsid w:val="00C329EF"/>
    <w:rsid w:val="00C32D4D"/>
    <w:rsid w:val="00C32D9E"/>
    <w:rsid w:val="00C32E12"/>
    <w:rsid w:val="00C32F30"/>
    <w:rsid w:val="00C32FAF"/>
    <w:rsid w:val="00C3301D"/>
    <w:rsid w:val="00C3328B"/>
    <w:rsid w:val="00C33B33"/>
    <w:rsid w:val="00C340C2"/>
    <w:rsid w:val="00C3436A"/>
    <w:rsid w:val="00C3437D"/>
    <w:rsid w:val="00C34602"/>
    <w:rsid w:val="00C34DC0"/>
    <w:rsid w:val="00C35B62"/>
    <w:rsid w:val="00C35FEF"/>
    <w:rsid w:val="00C36256"/>
    <w:rsid w:val="00C36857"/>
    <w:rsid w:val="00C376F0"/>
    <w:rsid w:val="00C37CE2"/>
    <w:rsid w:val="00C37FBB"/>
    <w:rsid w:val="00C40089"/>
    <w:rsid w:val="00C400A1"/>
    <w:rsid w:val="00C40580"/>
    <w:rsid w:val="00C413F5"/>
    <w:rsid w:val="00C41823"/>
    <w:rsid w:val="00C41962"/>
    <w:rsid w:val="00C41DAF"/>
    <w:rsid w:val="00C42212"/>
    <w:rsid w:val="00C4240C"/>
    <w:rsid w:val="00C427F0"/>
    <w:rsid w:val="00C4328F"/>
    <w:rsid w:val="00C43425"/>
    <w:rsid w:val="00C434A1"/>
    <w:rsid w:val="00C43673"/>
    <w:rsid w:val="00C43707"/>
    <w:rsid w:val="00C438D7"/>
    <w:rsid w:val="00C43F59"/>
    <w:rsid w:val="00C44A1F"/>
    <w:rsid w:val="00C44A26"/>
    <w:rsid w:val="00C45033"/>
    <w:rsid w:val="00C45292"/>
    <w:rsid w:val="00C45405"/>
    <w:rsid w:val="00C45408"/>
    <w:rsid w:val="00C4563D"/>
    <w:rsid w:val="00C45B04"/>
    <w:rsid w:val="00C45F58"/>
    <w:rsid w:val="00C460B1"/>
    <w:rsid w:val="00C46333"/>
    <w:rsid w:val="00C466EB"/>
    <w:rsid w:val="00C46965"/>
    <w:rsid w:val="00C46B82"/>
    <w:rsid w:val="00C472F0"/>
    <w:rsid w:val="00C472F7"/>
    <w:rsid w:val="00C473E4"/>
    <w:rsid w:val="00C476FF"/>
    <w:rsid w:val="00C47C6C"/>
    <w:rsid w:val="00C47DFE"/>
    <w:rsid w:val="00C47EE8"/>
    <w:rsid w:val="00C47EE9"/>
    <w:rsid w:val="00C47FD0"/>
    <w:rsid w:val="00C501DE"/>
    <w:rsid w:val="00C5046F"/>
    <w:rsid w:val="00C50852"/>
    <w:rsid w:val="00C50CBE"/>
    <w:rsid w:val="00C50DF0"/>
    <w:rsid w:val="00C50EF1"/>
    <w:rsid w:val="00C5126A"/>
    <w:rsid w:val="00C519F2"/>
    <w:rsid w:val="00C51D1F"/>
    <w:rsid w:val="00C51F64"/>
    <w:rsid w:val="00C528D1"/>
    <w:rsid w:val="00C52E02"/>
    <w:rsid w:val="00C52F35"/>
    <w:rsid w:val="00C530B6"/>
    <w:rsid w:val="00C53330"/>
    <w:rsid w:val="00C53368"/>
    <w:rsid w:val="00C5391C"/>
    <w:rsid w:val="00C53DA9"/>
    <w:rsid w:val="00C5438F"/>
    <w:rsid w:val="00C546A8"/>
    <w:rsid w:val="00C546B3"/>
    <w:rsid w:val="00C5483D"/>
    <w:rsid w:val="00C55056"/>
    <w:rsid w:val="00C553D0"/>
    <w:rsid w:val="00C559A7"/>
    <w:rsid w:val="00C55D18"/>
    <w:rsid w:val="00C55D36"/>
    <w:rsid w:val="00C55E98"/>
    <w:rsid w:val="00C56324"/>
    <w:rsid w:val="00C5658D"/>
    <w:rsid w:val="00C565DA"/>
    <w:rsid w:val="00C565F0"/>
    <w:rsid w:val="00C56922"/>
    <w:rsid w:val="00C56EB2"/>
    <w:rsid w:val="00C56F6F"/>
    <w:rsid w:val="00C56F97"/>
    <w:rsid w:val="00C57472"/>
    <w:rsid w:val="00C57587"/>
    <w:rsid w:val="00C57607"/>
    <w:rsid w:val="00C5769C"/>
    <w:rsid w:val="00C600A0"/>
    <w:rsid w:val="00C60220"/>
    <w:rsid w:val="00C603CE"/>
    <w:rsid w:val="00C60BCC"/>
    <w:rsid w:val="00C60BEB"/>
    <w:rsid w:val="00C61211"/>
    <w:rsid w:val="00C612E2"/>
    <w:rsid w:val="00C613C2"/>
    <w:rsid w:val="00C614CC"/>
    <w:rsid w:val="00C61B0C"/>
    <w:rsid w:val="00C624D1"/>
    <w:rsid w:val="00C624E3"/>
    <w:rsid w:val="00C6280A"/>
    <w:rsid w:val="00C62C70"/>
    <w:rsid w:val="00C62E1C"/>
    <w:rsid w:val="00C63081"/>
    <w:rsid w:val="00C632A0"/>
    <w:rsid w:val="00C63B1E"/>
    <w:rsid w:val="00C63C91"/>
    <w:rsid w:val="00C63E90"/>
    <w:rsid w:val="00C64045"/>
    <w:rsid w:val="00C640AF"/>
    <w:rsid w:val="00C6422D"/>
    <w:rsid w:val="00C6436B"/>
    <w:rsid w:val="00C64985"/>
    <w:rsid w:val="00C64A9B"/>
    <w:rsid w:val="00C64B3D"/>
    <w:rsid w:val="00C64E28"/>
    <w:rsid w:val="00C654FD"/>
    <w:rsid w:val="00C65B5A"/>
    <w:rsid w:val="00C65ECD"/>
    <w:rsid w:val="00C67316"/>
    <w:rsid w:val="00C67B09"/>
    <w:rsid w:val="00C67B51"/>
    <w:rsid w:val="00C67F6B"/>
    <w:rsid w:val="00C702BE"/>
    <w:rsid w:val="00C70359"/>
    <w:rsid w:val="00C705DE"/>
    <w:rsid w:val="00C70662"/>
    <w:rsid w:val="00C7085A"/>
    <w:rsid w:val="00C70871"/>
    <w:rsid w:val="00C70B9C"/>
    <w:rsid w:val="00C71509"/>
    <w:rsid w:val="00C7202C"/>
    <w:rsid w:val="00C72120"/>
    <w:rsid w:val="00C7245C"/>
    <w:rsid w:val="00C72EC9"/>
    <w:rsid w:val="00C731B9"/>
    <w:rsid w:val="00C7336F"/>
    <w:rsid w:val="00C733E5"/>
    <w:rsid w:val="00C73669"/>
    <w:rsid w:val="00C73814"/>
    <w:rsid w:val="00C73DBE"/>
    <w:rsid w:val="00C73E78"/>
    <w:rsid w:val="00C7423C"/>
    <w:rsid w:val="00C74351"/>
    <w:rsid w:val="00C74630"/>
    <w:rsid w:val="00C747EB"/>
    <w:rsid w:val="00C74A88"/>
    <w:rsid w:val="00C74C8E"/>
    <w:rsid w:val="00C74D2E"/>
    <w:rsid w:val="00C75366"/>
    <w:rsid w:val="00C7544D"/>
    <w:rsid w:val="00C75807"/>
    <w:rsid w:val="00C758BE"/>
    <w:rsid w:val="00C7606A"/>
    <w:rsid w:val="00C76501"/>
    <w:rsid w:val="00C77185"/>
    <w:rsid w:val="00C77229"/>
    <w:rsid w:val="00C776EB"/>
    <w:rsid w:val="00C77D41"/>
    <w:rsid w:val="00C77DE1"/>
    <w:rsid w:val="00C77F01"/>
    <w:rsid w:val="00C80329"/>
    <w:rsid w:val="00C80541"/>
    <w:rsid w:val="00C806F3"/>
    <w:rsid w:val="00C80785"/>
    <w:rsid w:val="00C808FA"/>
    <w:rsid w:val="00C80DDC"/>
    <w:rsid w:val="00C817F6"/>
    <w:rsid w:val="00C81925"/>
    <w:rsid w:val="00C819B0"/>
    <w:rsid w:val="00C81FEC"/>
    <w:rsid w:val="00C82273"/>
    <w:rsid w:val="00C82355"/>
    <w:rsid w:val="00C8243C"/>
    <w:rsid w:val="00C824CC"/>
    <w:rsid w:val="00C82604"/>
    <w:rsid w:val="00C82658"/>
    <w:rsid w:val="00C829E4"/>
    <w:rsid w:val="00C82A07"/>
    <w:rsid w:val="00C8323F"/>
    <w:rsid w:val="00C8333E"/>
    <w:rsid w:val="00C836EF"/>
    <w:rsid w:val="00C83EC1"/>
    <w:rsid w:val="00C83F62"/>
    <w:rsid w:val="00C8452B"/>
    <w:rsid w:val="00C8457B"/>
    <w:rsid w:val="00C84A5E"/>
    <w:rsid w:val="00C84E17"/>
    <w:rsid w:val="00C84E58"/>
    <w:rsid w:val="00C85343"/>
    <w:rsid w:val="00C853EA"/>
    <w:rsid w:val="00C85C41"/>
    <w:rsid w:val="00C85C59"/>
    <w:rsid w:val="00C85F1C"/>
    <w:rsid w:val="00C861AC"/>
    <w:rsid w:val="00C86392"/>
    <w:rsid w:val="00C86995"/>
    <w:rsid w:val="00C86FAC"/>
    <w:rsid w:val="00C870B1"/>
    <w:rsid w:val="00C87141"/>
    <w:rsid w:val="00C872A6"/>
    <w:rsid w:val="00C87CC5"/>
    <w:rsid w:val="00C87D72"/>
    <w:rsid w:val="00C90019"/>
    <w:rsid w:val="00C90560"/>
    <w:rsid w:val="00C908E2"/>
    <w:rsid w:val="00C90A03"/>
    <w:rsid w:val="00C90CEA"/>
    <w:rsid w:val="00C90D56"/>
    <w:rsid w:val="00C90DC5"/>
    <w:rsid w:val="00C90F21"/>
    <w:rsid w:val="00C911DB"/>
    <w:rsid w:val="00C9125B"/>
    <w:rsid w:val="00C91F4A"/>
    <w:rsid w:val="00C91F92"/>
    <w:rsid w:val="00C92078"/>
    <w:rsid w:val="00C920D7"/>
    <w:rsid w:val="00C92174"/>
    <w:rsid w:val="00C92899"/>
    <w:rsid w:val="00C928B1"/>
    <w:rsid w:val="00C92A10"/>
    <w:rsid w:val="00C92E37"/>
    <w:rsid w:val="00C92E80"/>
    <w:rsid w:val="00C934B1"/>
    <w:rsid w:val="00C93D2A"/>
    <w:rsid w:val="00C93E7F"/>
    <w:rsid w:val="00C94004"/>
    <w:rsid w:val="00C9469E"/>
    <w:rsid w:val="00C94823"/>
    <w:rsid w:val="00C94EB2"/>
    <w:rsid w:val="00C9523D"/>
    <w:rsid w:val="00C95249"/>
    <w:rsid w:val="00C952C5"/>
    <w:rsid w:val="00C95341"/>
    <w:rsid w:val="00C95C27"/>
    <w:rsid w:val="00C96195"/>
    <w:rsid w:val="00C961BA"/>
    <w:rsid w:val="00C9630D"/>
    <w:rsid w:val="00C9669C"/>
    <w:rsid w:val="00C96DCE"/>
    <w:rsid w:val="00C96DEC"/>
    <w:rsid w:val="00C9769A"/>
    <w:rsid w:val="00C97761"/>
    <w:rsid w:val="00C977E8"/>
    <w:rsid w:val="00C9780D"/>
    <w:rsid w:val="00C9791E"/>
    <w:rsid w:val="00C97A45"/>
    <w:rsid w:val="00CA00E4"/>
    <w:rsid w:val="00CA01D1"/>
    <w:rsid w:val="00CA029D"/>
    <w:rsid w:val="00CA02A1"/>
    <w:rsid w:val="00CA0344"/>
    <w:rsid w:val="00CA071F"/>
    <w:rsid w:val="00CA090C"/>
    <w:rsid w:val="00CA0CD2"/>
    <w:rsid w:val="00CA11FA"/>
    <w:rsid w:val="00CA138E"/>
    <w:rsid w:val="00CA1478"/>
    <w:rsid w:val="00CA1A5C"/>
    <w:rsid w:val="00CA1CA7"/>
    <w:rsid w:val="00CA1CD0"/>
    <w:rsid w:val="00CA2080"/>
    <w:rsid w:val="00CA227F"/>
    <w:rsid w:val="00CA237D"/>
    <w:rsid w:val="00CA25A3"/>
    <w:rsid w:val="00CA27CE"/>
    <w:rsid w:val="00CA2861"/>
    <w:rsid w:val="00CA31F9"/>
    <w:rsid w:val="00CA3254"/>
    <w:rsid w:val="00CA3392"/>
    <w:rsid w:val="00CA33B5"/>
    <w:rsid w:val="00CA36E7"/>
    <w:rsid w:val="00CA3841"/>
    <w:rsid w:val="00CA3A50"/>
    <w:rsid w:val="00CA40FB"/>
    <w:rsid w:val="00CA4EAD"/>
    <w:rsid w:val="00CA4EC1"/>
    <w:rsid w:val="00CA520A"/>
    <w:rsid w:val="00CA5886"/>
    <w:rsid w:val="00CA58F2"/>
    <w:rsid w:val="00CA60D5"/>
    <w:rsid w:val="00CA6132"/>
    <w:rsid w:val="00CA64CE"/>
    <w:rsid w:val="00CA6610"/>
    <w:rsid w:val="00CA6A3E"/>
    <w:rsid w:val="00CA6E29"/>
    <w:rsid w:val="00CA73EA"/>
    <w:rsid w:val="00CA7447"/>
    <w:rsid w:val="00CA7B3C"/>
    <w:rsid w:val="00CB028F"/>
    <w:rsid w:val="00CB03AA"/>
    <w:rsid w:val="00CB08D4"/>
    <w:rsid w:val="00CB08E4"/>
    <w:rsid w:val="00CB096C"/>
    <w:rsid w:val="00CB0F7F"/>
    <w:rsid w:val="00CB15C5"/>
    <w:rsid w:val="00CB1648"/>
    <w:rsid w:val="00CB1942"/>
    <w:rsid w:val="00CB1FF3"/>
    <w:rsid w:val="00CB289F"/>
    <w:rsid w:val="00CB2CF9"/>
    <w:rsid w:val="00CB2F8E"/>
    <w:rsid w:val="00CB3390"/>
    <w:rsid w:val="00CB3874"/>
    <w:rsid w:val="00CB39F8"/>
    <w:rsid w:val="00CB3A7C"/>
    <w:rsid w:val="00CB3F82"/>
    <w:rsid w:val="00CB408B"/>
    <w:rsid w:val="00CB418D"/>
    <w:rsid w:val="00CB4340"/>
    <w:rsid w:val="00CB467B"/>
    <w:rsid w:val="00CB4704"/>
    <w:rsid w:val="00CB48A0"/>
    <w:rsid w:val="00CB4D71"/>
    <w:rsid w:val="00CB51CA"/>
    <w:rsid w:val="00CB5322"/>
    <w:rsid w:val="00CB59DB"/>
    <w:rsid w:val="00CB613C"/>
    <w:rsid w:val="00CB62AD"/>
    <w:rsid w:val="00CB633C"/>
    <w:rsid w:val="00CB640D"/>
    <w:rsid w:val="00CB65ED"/>
    <w:rsid w:val="00CB6625"/>
    <w:rsid w:val="00CB663B"/>
    <w:rsid w:val="00CB6C9A"/>
    <w:rsid w:val="00CB7315"/>
    <w:rsid w:val="00CB7355"/>
    <w:rsid w:val="00CB74B0"/>
    <w:rsid w:val="00CB7634"/>
    <w:rsid w:val="00CB7816"/>
    <w:rsid w:val="00CB7991"/>
    <w:rsid w:val="00CB7C35"/>
    <w:rsid w:val="00CB7DB0"/>
    <w:rsid w:val="00CB7E6D"/>
    <w:rsid w:val="00CB7EE8"/>
    <w:rsid w:val="00CC00DC"/>
    <w:rsid w:val="00CC0207"/>
    <w:rsid w:val="00CC02C9"/>
    <w:rsid w:val="00CC0396"/>
    <w:rsid w:val="00CC044F"/>
    <w:rsid w:val="00CC0835"/>
    <w:rsid w:val="00CC09A9"/>
    <w:rsid w:val="00CC0E56"/>
    <w:rsid w:val="00CC0FF0"/>
    <w:rsid w:val="00CC13A5"/>
    <w:rsid w:val="00CC15E9"/>
    <w:rsid w:val="00CC1C50"/>
    <w:rsid w:val="00CC24EC"/>
    <w:rsid w:val="00CC2978"/>
    <w:rsid w:val="00CC2CB2"/>
    <w:rsid w:val="00CC2D28"/>
    <w:rsid w:val="00CC336E"/>
    <w:rsid w:val="00CC33ED"/>
    <w:rsid w:val="00CC35C5"/>
    <w:rsid w:val="00CC3671"/>
    <w:rsid w:val="00CC3713"/>
    <w:rsid w:val="00CC374A"/>
    <w:rsid w:val="00CC3D22"/>
    <w:rsid w:val="00CC3D83"/>
    <w:rsid w:val="00CC3EB7"/>
    <w:rsid w:val="00CC3F3C"/>
    <w:rsid w:val="00CC424D"/>
    <w:rsid w:val="00CC507D"/>
    <w:rsid w:val="00CC55A5"/>
    <w:rsid w:val="00CC56C0"/>
    <w:rsid w:val="00CC5A9F"/>
    <w:rsid w:val="00CC5E86"/>
    <w:rsid w:val="00CC6137"/>
    <w:rsid w:val="00CC6392"/>
    <w:rsid w:val="00CC67C1"/>
    <w:rsid w:val="00CC68E0"/>
    <w:rsid w:val="00CC6D92"/>
    <w:rsid w:val="00CC6F48"/>
    <w:rsid w:val="00CC7046"/>
    <w:rsid w:val="00CC71E3"/>
    <w:rsid w:val="00CC723E"/>
    <w:rsid w:val="00CC7625"/>
    <w:rsid w:val="00CC77B9"/>
    <w:rsid w:val="00CC77C5"/>
    <w:rsid w:val="00CC7A2D"/>
    <w:rsid w:val="00CC7E87"/>
    <w:rsid w:val="00CC7ECE"/>
    <w:rsid w:val="00CD05EE"/>
    <w:rsid w:val="00CD06FA"/>
    <w:rsid w:val="00CD072A"/>
    <w:rsid w:val="00CD0BDF"/>
    <w:rsid w:val="00CD0C96"/>
    <w:rsid w:val="00CD15B0"/>
    <w:rsid w:val="00CD1710"/>
    <w:rsid w:val="00CD1C32"/>
    <w:rsid w:val="00CD1E27"/>
    <w:rsid w:val="00CD1FC5"/>
    <w:rsid w:val="00CD1FDF"/>
    <w:rsid w:val="00CD2357"/>
    <w:rsid w:val="00CD24EC"/>
    <w:rsid w:val="00CD26F5"/>
    <w:rsid w:val="00CD2AFF"/>
    <w:rsid w:val="00CD3008"/>
    <w:rsid w:val="00CD374B"/>
    <w:rsid w:val="00CD39EF"/>
    <w:rsid w:val="00CD3A1C"/>
    <w:rsid w:val="00CD3DBE"/>
    <w:rsid w:val="00CD3F21"/>
    <w:rsid w:val="00CD3FF9"/>
    <w:rsid w:val="00CD4036"/>
    <w:rsid w:val="00CD432D"/>
    <w:rsid w:val="00CD4A25"/>
    <w:rsid w:val="00CD4DC8"/>
    <w:rsid w:val="00CD4F75"/>
    <w:rsid w:val="00CD5102"/>
    <w:rsid w:val="00CD5299"/>
    <w:rsid w:val="00CD59F5"/>
    <w:rsid w:val="00CD5BDD"/>
    <w:rsid w:val="00CD5D14"/>
    <w:rsid w:val="00CD60BF"/>
    <w:rsid w:val="00CD61E2"/>
    <w:rsid w:val="00CD643B"/>
    <w:rsid w:val="00CD6480"/>
    <w:rsid w:val="00CD6689"/>
    <w:rsid w:val="00CD6690"/>
    <w:rsid w:val="00CD66C4"/>
    <w:rsid w:val="00CD687C"/>
    <w:rsid w:val="00CD68D8"/>
    <w:rsid w:val="00CD6AE2"/>
    <w:rsid w:val="00CD6C64"/>
    <w:rsid w:val="00CD7190"/>
    <w:rsid w:val="00CD76DE"/>
    <w:rsid w:val="00CD77E0"/>
    <w:rsid w:val="00CD7E03"/>
    <w:rsid w:val="00CD7E58"/>
    <w:rsid w:val="00CD7EE7"/>
    <w:rsid w:val="00CE0119"/>
    <w:rsid w:val="00CE1227"/>
    <w:rsid w:val="00CE1302"/>
    <w:rsid w:val="00CE133F"/>
    <w:rsid w:val="00CE149D"/>
    <w:rsid w:val="00CE158C"/>
    <w:rsid w:val="00CE1675"/>
    <w:rsid w:val="00CE1938"/>
    <w:rsid w:val="00CE1A35"/>
    <w:rsid w:val="00CE1F61"/>
    <w:rsid w:val="00CE2897"/>
    <w:rsid w:val="00CE294F"/>
    <w:rsid w:val="00CE32D2"/>
    <w:rsid w:val="00CE339C"/>
    <w:rsid w:val="00CE3E76"/>
    <w:rsid w:val="00CE43A9"/>
    <w:rsid w:val="00CE444B"/>
    <w:rsid w:val="00CE4582"/>
    <w:rsid w:val="00CE5B52"/>
    <w:rsid w:val="00CE639D"/>
    <w:rsid w:val="00CE65F0"/>
    <w:rsid w:val="00CE7658"/>
    <w:rsid w:val="00CE77AC"/>
    <w:rsid w:val="00CE7A15"/>
    <w:rsid w:val="00CE7A65"/>
    <w:rsid w:val="00CE7ADD"/>
    <w:rsid w:val="00CE7FF5"/>
    <w:rsid w:val="00CF0700"/>
    <w:rsid w:val="00CF07B2"/>
    <w:rsid w:val="00CF088D"/>
    <w:rsid w:val="00CF0C45"/>
    <w:rsid w:val="00CF0D31"/>
    <w:rsid w:val="00CF0DA6"/>
    <w:rsid w:val="00CF0EFC"/>
    <w:rsid w:val="00CF1034"/>
    <w:rsid w:val="00CF110D"/>
    <w:rsid w:val="00CF1588"/>
    <w:rsid w:val="00CF1890"/>
    <w:rsid w:val="00CF1B89"/>
    <w:rsid w:val="00CF1D29"/>
    <w:rsid w:val="00CF2706"/>
    <w:rsid w:val="00CF2F7C"/>
    <w:rsid w:val="00CF338D"/>
    <w:rsid w:val="00CF396F"/>
    <w:rsid w:val="00CF3ACC"/>
    <w:rsid w:val="00CF3B7A"/>
    <w:rsid w:val="00CF3D27"/>
    <w:rsid w:val="00CF3ED5"/>
    <w:rsid w:val="00CF4645"/>
    <w:rsid w:val="00CF517E"/>
    <w:rsid w:val="00CF51F4"/>
    <w:rsid w:val="00CF54F9"/>
    <w:rsid w:val="00CF5550"/>
    <w:rsid w:val="00CF558D"/>
    <w:rsid w:val="00CF5638"/>
    <w:rsid w:val="00CF586F"/>
    <w:rsid w:val="00CF5871"/>
    <w:rsid w:val="00CF6281"/>
    <w:rsid w:val="00CF6606"/>
    <w:rsid w:val="00CF69AF"/>
    <w:rsid w:val="00CF6A41"/>
    <w:rsid w:val="00CF6CB5"/>
    <w:rsid w:val="00CF7502"/>
    <w:rsid w:val="00CF7595"/>
    <w:rsid w:val="00CF7B1A"/>
    <w:rsid w:val="00CF7BBA"/>
    <w:rsid w:val="00CF7BE5"/>
    <w:rsid w:val="00D005B3"/>
    <w:rsid w:val="00D007CB"/>
    <w:rsid w:val="00D00C45"/>
    <w:rsid w:val="00D011C1"/>
    <w:rsid w:val="00D01478"/>
    <w:rsid w:val="00D015FB"/>
    <w:rsid w:val="00D01EF8"/>
    <w:rsid w:val="00D01FBE"/>
    <w:rsid w:val="00D02242"/>
    <w:rsid w:val="00D0275F"/>
    <w:rsid w:val="00D02B2F"/>
    <w:rsid w:val="00D02CC0"/>
    <w:rsid w:val="00D02D19"/>
    <w:rsid w:val="00D02FF8"/>
    <w:rsid w:val="00D038A7"/>
    <w:rsid w:val="00D04036"/>
    <w:rsid w:val="00D0436A"/>
    <w:rsid w:val="00D04B14"/>
    <w:rsid w:val="00D04FA9"/>
    <w:rsid w:val="00D0503F"/>
    <w:rsid w:val="00D055AC"/>
    <w:rsid w:val="00D05A38"/>
    <w:rsid w:val="00D05A75"/>
    <w:rsid w:val="00D05B7E"/>
    <w:rsid w:val="00D05BC7"/>
    <w:rsid w:val="00D05DA2"/>
    <w:rsid w:val="00D0606A"/>
    <w:rsid w:val="00D060A6"/>
    <w:rsid w:val="00D06725"/>
    <w:rsid w:val="00D06D4A"/>
    <w:rsid w:val="00D06F64"/>
    <w:rsid w:val="00D0703A"/>
    <w:rsid w:val="00D072EC"/>
    <w:rsid w:val="00D075F1"/>
    <w:rsid w:val="00D076C6"/>
    <w:rsid w:val="00D07C0D"/>
    <w:rsid w:val="00D07DDD"/>
    <w:rsid w:val="00D07E1F"/>
    <w:rsid w:val="00D1083F"/>
    <w:rsid w:val="00D10A79"/>
    <w:rsid w:val="00D10B21"/>
    <w:rsid w:val="00D11396"/>
    <w:rsid w:val="00D11787"/>
    <w:rsid w:val="00D1190E"/>
    <w:rsid w:val="00D11B6B"/>
    <w:rsid w:val="00D11C40"/>
    <w:rsid w:val="00D11DCB"/>
    <w:rsid w:val="00D11EE1"/>
    <w:rsid w:val="00D12231"/>
    <w:rsid w:val="00D12741"/>
    <w:rsid w:val="00D1283F"/>
    <w:rsid w:val="00D13205"/>
    <w:rsid w:val="00D13344"/>
    <w:rsid w:val="00D13C3E"/>
    <w:rsid w:val="00D143EF"/>
    <w:rsid w:val="00D14812"/>
    <w:rsid w:val="00D148A6"/>
    <w:rsid w:val="00D15176"/>
    <w:rsid w:val="00D156DD"/>
    <w:rsid w:val="00D159F8"/>
    <w:rsid w:val="00D15FA6"/>
    <w:rsid w:val="00D1607A"/>
    <w:rsid w:val="00D1611B"/>
    <w:rsid w:val="00D171A3"/>
    <w:rsid w:val="00D171C5"/>
    <w:rsid w:val="00D17DAC"/>
    <w:rsid w:val="00D20287"/>
    <w:rsid w:val="00D203B8"/>
    <w:rsid w:val="00D20B08"/>
    <w:rsid w:val="00D20B40"/>
    <w:rsid w:val="00D20B52"/>
    <w:rsid w:val="00D20F25"/>
    <w:rsid w:val="00D21034"/>
    <w:rsid w:val="00D21171"/>
    <w:rsid w:val="00D219B2"/>
    <w:rsid w:val="00D21AB6"/>
    <w:rsid w:val="00D21E65"/>
    <w:rsid w:val="00D2297E"/>
    <w:rsid w:val="00D22C5B"/>
    <w:rsid w:val="00D22CEF"/>
    <w:rsid w:val="00D22F75"/>
    <w:rsid w:val="00D23527"/>
    <w:rsid w:val="00D236DF"/>
    <w:rsid w:val="00D23837"/>
    <w:rsid w:val="00D2444C"/>
    <w:rsid w:val="00D2445F"/>
    <w:rsid w:val="00D24908"/>
    <w:rsid w:val="00D24A93"/>
    <w:rsid w:val="00D24C7A"/>
    <w:rsid w:val="00D25519"/>
    <w:rsid w:val="00D25571"/>
    <w:rsid w:val="00D25A7A"/>
    <w:rsid w:val="00D25C5E"/>
    <w:rsid w:val="00D261D9"/>
    <w:rsid w:val="00D265AB"/>
    <w:rsid w:val="00D26826"/>
    <w:rsid w:val="00D26C08"/>
    <w:rsid w:val="00D27296"/>
    <w:rsid w:val="00D273FD"/>
    <w:rsid w:val="00D277AF"/>
    <w:rsid w:val="00D27C9C"/>
    <w:rsid w:val="00D30088"/>
    <w:rsid w:val="00D3058A"/>
    <w:rsid w:val="00D31036"/>
    <w:rsid w:val="00D312ED"/>
    <w:rsid w:val="00D3150E"/>
    <w:rsid w:val="00D3177A"/>
    <w:rsid w:val="00D31B9B"/>
    <w:rsid w:val="00D320F0"/>
    <w:rsid w:val="00D3235E"/>
    <w:rsid w:val="00D32599"/>
    <w:rsid w:val="00D326F6"/>
    <w:rsid w:val="00D32853"/>
    <w:rsid w:val="00D32D45"/>
    <w:rsid w:val="00D32E5E"/>
    <w:rsid w:val="00D3317E"/>
    <w:rsid w:val="00D33482"/>
    <w:rsid w:val="00D33815"/>
    <w:rsid w:val="00D33912"/>
    <w:rsid w:val="00D33C61"/>
    <w:rsid w:val="00D33E78"/>
    <w:rsid w:val="00D34635"/>
    <w:rsid w:val="00D347CB"/>
    <w:rsid w:val="00D34A4B"/>
    <w:rsid w:val="00D34D12"/>
    <w:rsid w:val="00D35584"/>
    <w:rsid w:val="00D357FE"/>
    <w:rsid w:val="00D358E8"/>
    <w:rsid w:val="00D35991"/>
    <w:rsid w:val="00D359F9"/>
    <w:rsid w:val="00D35CC0"/>
    <w:rsid w:val="00D36182"/>
    <w:rsid w:val="00D362B9"/>
    <w:rsid w:val="00D367B1"/>
    <w:rsid w:val="00D36932"/>
    <w:rsid w:val="00D36A58"/>
    <w:rsid w:val="00D36DE8"/>
    <w:rsid w:val="00D375D5"/>
    <w:rsid w:val="00D3799B"/>
    <w:rsid w:val="00D37B3E"/>
    <w:rsid w:val="00D37DBC"/>
    <w:rsid w:val="00D400D1"/>
    <w:rsid w:val="00D40191"/>
    <w:rsid w:val="00D401DC"/>
    <w:rsid w:val="00D40432"/>
    <w:rsid w:val="00D40518"/>
    <w:rsid w:val="00D405F5"/>
    <w:rsid w:val="00D4098A"/>
    <w:rsid w:val="00D40CED"/>
    <w:rsid w:val="00D40CFF"/>
    <w:rsid w:val="00D40DBC"/>
    <w:rsid w:val="00D40F95"/>
    <w:rsid w:val="00D41304"/>
    <w:rsid w:val="00D413F9"/>
    <w:rsid w:val="00D41530"/>
    <w:rsid w:val="00D41542"/>
    <w:rsid w:val="00D4163D"/>
    <w:rsid w:val="00D417A5"/>
    <w:rsid w:val="00D417DD"/>
    <w:rsid w:val="00D41AA2"/>
    <w:rsid w:val="00D41C1A"/>
    <w:rsid w:val="00D42770"/>
    <w:rsid w:val="00D42954"/>
    <w:rsid w:val="00D4296F"/>
    <w:rsid w:val="00D42C57"/>
    <w:rsid w:val="00D430DE"/>
    <w:rsid w:val="00D4366C"/>
    <w:rsid w:val="00D43804"/>
    <w:rsid w:val="00D43A30"/>
    <w:rsid w:val="00D43B07"/>
    <w:rsid w:val="00D43D50"/>
    <w:rsid w:val="00D43E96"/>
    <w:rsid w:val="00D44252"/>
    <w:rsid w:val="00D44675"/>
    <w:rsid w:val="00D448CB"/>
    <w:rsid w:val="00D44A39"/>
    <w:rsid w:val="00D44E59"/>
    <w:rsid w:val="00D45232"/>
    <w:rsid w:val="00D456A4"/>
    <w:rsid w:val="00D45A3A"/>
    <w:rsid w:val="00D45AD8"/>
    <w:rsid w:val="00D4602D"/>
    <w:rsid w:val="00D465C4"/>
    <w:rsid w:val="00D46B3F"/>
    <w:rsid w:val="00D46D85"/>
    <w:rsid w:val="00D470B8"/>
    <w:rsid w:val="00D4774B"/>
    <w:rsid w:val="00D478BB"/>
    <w:rsid w:val="00D47930"/>
    <w:rsid w:val="00D47A40"/>
    <w:rsid w:val="00D47AB5"/>
    <w:rsid w:val="00D47AFF"/>
    <w:rsid w:val="00D50200"/>
    <w:rsid w:val="00D511F8"/>
    <w:rsid w:val="00D5136E"/>
    <w:rsid w:val="00D519C6"/>
    <w:rsid w:val="00D51CEC"/>
    <w:rsid w:val="00D51D25"/>
    <w:rsid w:val="00D51E18"/>
    <w:rsid w:val="00D52368"/>
    <w:rsid w:val="00D524DD"/>
    <w:rsid w:val="00D52518"/>
    <w:rsid w:val="00D52AAF"/>
    <w:rsid w:val="00D52DDB"/>
    <w:rsid w:val="00D52F1E"/>
    <w:rsid w:val="00D531F0"/>
    <w:rsid w:val="00D53372"/>
    <w:rsid w:val="00D5360C"/>
    <w:rsid w:val="00D538EE"/>
    <w:rsid w:val="00D53D85"/>
    <w:rsid w:val="00D5408D"/>
    <w:rsid w:val="00D55618"/>
    <w:rsid w:val="00D55CCB"/>
    <w:rsid w:val="00D5661C"/>
    <w:rsid w:val="00D5663F"/>
    <w:rsid w:val="00D568A8"/>
    <w:rsid w:val="00D5699D"/>
    <w:rsid w:val="00D56E2B"/>
    <w:rsid w:val="00D56F13"/>
    <w:rsid w:val="00D56F37"/>
    <w:rsid w:val="00D56F40"/>
    <w:rsid w:val="00D571EE"/>
    <w:rsid w:val="00D5747D"/>
    <w:rsid w:val="00D577F4"/>
    <w:rsid w:val="00D57812"/>
    <w:rsid w:val="00D57852"/>
    <w:rsid w:val="00D57C6C"/>
    <w:rsid w:val="00D60423"/>
    <w:rsid w:val="00D60914"/>
    <w:rsid w:val="00D60AED"/>
    <w:rsid w:val="00D60C07"/>
    <w:rsid w:val="00D60D66"/>
    <w:rsid w:val="00D60E3E"/>
    <w:rsid w:val="00D60EE3"/>
    <w:rsid w:val="00D60FFA"/>
    <w:rsid w:val="00D611E8"/>
    <w:rsid w:val="00D614E3"/>
    <w:rsid w:val="00D61558"/>
    <w:rsid w:val="00D6181B"/>
    <w:rsid w:val="00D61E5D"/>
    <w:rsid w:val="00D61EE3"/>
    <w:rsid w:val="00D62106"/>
    <w:rsid w:val="00D62177"/>
    <w:rsid w:val="00D621DC"/>
    <w:rsid w:val="00D6232A"/>
    <w:rsid w:val="00D62721"/>
    <w:rsid w:val="00D62A67"/>
    <w:rsid w:val="00D62B04"/>
    <w:rsid w:val="00D62E16"/>
    <w:rsid w:val="00D63133"/>
    <w:rsid w:val="00D632F3"/>
    <w:rsid w:val="00D63CBB"/>
    <w:rsid w:val="00D643C0"/>
    <w:rsid w:val="00D64A65"/>
    <w:rsid w:val="00D64ECD"/>
    <w:rsid w:val="00D65017"/>
    <w:rsid w:val="00D6518C"/>
    <w:rsid w:val="00D6537C"/>
    <w:rsid w:val="00D658F8"/>
    <w:rsid w:val="00D666D4"/>
    <w:rsid w:val="00D66A83"/>
    <w:rsid w:val="00D66D29"/>
    <w:rsid w:val="00D66D3A"/>
    <w:rsid w:val="00D66EB5"/>
    <w:rsid w:val="00D67055"/>
    <w:rsid w:val="00D670F8"/>
    <w:rsid w:val="00D67118"/>
    <w:rsid w:val="00D67138"/>
    <w:rsid w:val="00D67412"/>
    <w:rsid w:val="00D674DA"/>
    <w:rsid w:val="00D67955"/>
    <w:rsid w:val="00D679BA"/>
    <w:rsid w:val="00D67C34"/>
    <w:rsid w:val="00D67F93"/>
    <w:rsid w:val="00D7037A"/>
    <w:rsid w:val="00D7068D"/>
    <w:rsid w:val="00D70BA4"/>
    <w:rsid w:val="00D70E5F"/>
    <w:rsid w:val="00D7108C"/>
    <w:rsid w:val="00D710E9"/>
    <w:rsid w:val="00D71317"/>
    <w:rsid w:val="00D71479"/>
    <w:rsid w:val="00D715EE"/>
    <w:rsid w:val="00D71656"/>
    <w:rsid w:val="00D71AD0"/>
    <w:rsid w:val="00D71CFC"/>
    <w:rsid w:val="00D71F9D"/>
    <w:rsid w:val="00D721C6"/>
    <w:rsid w:val="00D7240D"/>
    <w:rsid w:val="00D72B02"/>
    <w:rsid w:val="00D72D39"/>
    <w:rsid w:val="00D7314A"/>
    <w:rsid w:val="00D73753"/>
    <w:rsid w:val="00D7390C"/>
    <w:rsid w:val="00D73948"/>
    <w:rsid w:val="00D73DA6"/>
    <w:rsid w:val="00D74763"/>
    <w:rsid w:val="00D74DDF"/>
    <w:rsid w:val="00D75243"/>
    <w:rsid w:val="00D75EB5"/>
    <w:rsid w:val="00D76CF7"/>
    <w:rsid w:val="00D76E8D"/>
    <w:rsid w:val="00D7741B"/>
    <w:rsid w:val="00D77742"/>
    <w:rsid w:val="00D77F02"/>
    <w:rsid w:val="00D8027D"/>
    <w:rsid w:val="00D8092E"/>
    <w:rsid w:val="00D8093D"/>
    <w:rsid w:val="00D80D25"/>
    <w:rsid w:val="00D81075"/>
    <w:rsid w:val="00D811A0"/>
    <w:rsid w:val="00D815CA"/>
    <w:rsid w:val="00D81641"/>
    <w:rsid w:val="00D8180F"/>
    <w:rsid w:val="00D81D03"/>
    <w:rsid w:val="00D827B3"/>
    <w:rsid w:val="00D82976"/>
    <w:rsid w:val="00D829DC"/>
    <w:rsid w:val="00D82A2E"/>
    <w:rsid w:val="00D82A40"/>
    <w:rsid w:val="00D832C1"/>
    <w:rsid w:val="00D835FF"/>
    <w:rsid w:val="00D83AF2"/>
    <w:rsid w:val="00D83B79"/>
    <w:rsid w:val="00D83C86"/>
    <w:rsid w:val="00D83F8A"/>
    <w:rsid w:val="00D84220"/>
    <w:rsid w:val="00D842B7"/>
    <w:rsid w:val="00D84333"/>
    <w:rsid w:val="00D844A7"/>
    <w:rsid w:val="00D84874"/>
    <w:rsid w:val="00D84B88"/>
    <w:rsid w:val="00D84BC5"/>
    <w:rsid w:val="00D84CE0"/>
    <w:rsid w:val="00D84F93"/>
    <w:rsid w:val="00D85769"/>
    <w:rsid w:val="00D857EE"/>
    <w:rsid w:val="00D85EA3"/>
    <w:rsid w:val="00D861C3"/>
    <w:rsid w:val="00D8624F"/>
    <w:rsid w:val="00D862BE"/>
    <w:rsid w:val="00D8678F"/>
    <w:rsid w:val="00D86E75"/>
    <w:rsid w:val="00D877A2"/>
    <w:rsid w:val="00D87869"/>
    <w:rsid w:val="00D904A8"/>
    <w:rsid w:val="00D90714"/>
    <w:rsid w:val="00D90A58"/>
    <w:rsid w:val="00D90BA7"/>
    <w:rsid w:val="00D90F80"/>
    <w:rsid w:val="00D91153"/>
    <w:rsid w:val="00D912D8"/>
    <w:rsid w:val="00D91A48"/>
    <w:rsid w:val="00D91C4E"/>
    <w:rsid w:val="00D91DEA"/>
    <w:rsid w:val="00D922C4"/>
    <w:rsid w:val="00D92879"/>
    <w:rsid w:val="00D92CAF"/>
    <w:rsid w:val="00D92DED"/>
    <w:rsid w:val="00D92E0C"/>
    <w:rsid w:val="00D9352E"/>
    <w:rsid w:val="00D93601"/>
    <w:rsid w:val="00D93879"/>
    <w:rsid w:val="00D93E7D"/>
    <w:rsid w:val="00D9426D"/>
    <w:rsid w:val="00D94366"/>
    <w:rsid w:val="00D947C5"/>
    <w:rsid w:val="00D94934"/>
    <w:rsid w:val="00D9538D"/>
    <w:rsid w:val="00D963B0"/>
    <w:rsid w:val="00D96588"/>
    <w:rsid w:val="00D968EB"/>
    <w:rsid w:val="00D96F64"/>
    <w:rsid w:val="00D973E1"/>
    <w:rsid w:val="00D973EA"/>
    <w:rsid w:val="00D97806"/>
    <w:rsid w:val="00DA0131"/>
    <w:rsid w:val="00DA0723"/>
    <w:rsid w:val="00DA0BA0"/>
    <w:rsid w:val="00DA10AF"/>
    <w:rsid w:val="00DA1131"/>
    <w:rsid w:val="00DA11A3"/>
    <w:rsid w:val="00DA150C"/>
    <w:rsid w:val="00DA1BBD"/>
    <w:rsid w:val="00DA1EB5"/>
    <w:rsid w:val="00DA301F"/>
    <w:rsid w:val="00DA30EF"/>
    <w:rsid w:val="00DA3B23"/>
    <w:rsid w:val="00DA3F09"/>
    <w:rsid w:val="00DA3F81"/>
    <w:rsid w:val="00DA3FA6"/>
    <w:rsid w:val="00DA427B"/>
    <w:rsid w:val="00DA43A3"/>
    <w:rsid w:val="00DA43E1"/>
    <w:rsid w:val="00DA4544"/>
    <w:rsid w:val="00DA4674"/>
    <w:rsid w:val="00DA4713"/>
    <w:rsid w:val="00DA479E"/>
    <w:rsid w:val="00DA48FB"/>
    <w:rsid w:val="00DA49AC"/>
    <w:rsid w:val="00DA4CF1"/>
    <w:rsid w:val="00DA4E10"/>
    <w:rsid w:val="00DA5364"/>
    <w:rsid w:val="00DA53BD"/>
    <w:rsid w:val="00DA5529"/>
    <w:rsid w:val="00DA57F1"/>
    <w:rsid w:val="00DA5AED"/>
    <w:rsid w:val="00DA5D89"/>
    <w:rsid w:val="00DA6013"/>
    <w:rsid w:val="00DA63E7"/>
    <w:rsid w:val="00DA6539"/>
    <w:rsid w:val="00DA6BE3"/>
    <w:rsid w:val="00DA723C"/>
    <w:rsid w:val="00DA726C"/>
    <w:rsid w:val="00DA7867"/>
    <w:rsid w:val="00DA7BC0"/>
    <w:rsid w:val="00DA7D38"/>
    <w:rsid w:val="00DA7E78"/>
    <w:rsid w:val="00DA7E79"/>
    <w:rsid w:val="00DA7EA6"/>
    <w:rsid w:val="00DB0533"/>
    <w:rsid w:val="00DB0A8A"/>
    <w:rsid w:val="00DB0B64"/>
    <w:rsid w:val="00DB0CD5"/>
    <w:rsid w:val="00DB0F12"/>
    <w:rsid w:val="00DB0F69"/>
    <w:rsid w:val="00DB108D"/>
    <w:rsid w:val="00DB1355"/>
    <w:rsid w:val="00DB1510"/>
    <w:rsid w:val="00DB1AB0"/>
    <w:rsid w:val="00DB1DAB"/>
    <w:rsid w:val="00DB1E72"/>
    <w:rsid w:val="00DB2165"/>
    <w:rsid w:val="00DB218C"/>
    <w:rsid w:val="00DB21B8"/>
    <w:rsid w:val="00DB247B"/>
    <w:rsid w:val="00DB2940"/>
    <w:rsid w:val="00DB2A01"/>
    <w:rsid w:val="00DB32DE"/>
    <w:rsid w:val="00DB332F"/>
    <w:rsid w:val="00DB3484"/>
    <w:rsid w:val="00DB3932"/>
    <w:rsid w:val="00DB3AF9"/>
    <w:rsid w:val="00DB3BEC"/>
    <w:rsid w:val="00DB40F1"/>
    <w:rsid w:val="00DB4BB7"/>
    <w:rsid w:val="00DB4BBD"/>
    <w:rsid w:val="00DB4C91"/>
    <w:rsid w:val="00DB51EA"/>
    <w:rsid w:val="00DB52DB"/>
    <w:rsid w:val="00DB56B5"/>
    <w:rsid w:val="00DB59CA"/>
    <w:rsid w:val="00DB5AB6"/>
    <w:rsid w:val="00DB5ABE"/>
    <w:rsid w:val="00DB5D27"/>
    <w:rsid w:val="00DB5DB9"/>
    <w:rsid w:val="00DB5FEE"/>
    <w:rsid w:val="00DB6257"/>
    <w:rsid w:val="00DB62C2"/>
    <w:rsid w:val="00DB6427"/>
    <w:rsid w:val="00DB6630"/>
    <w:rsid w:val="00DB6925"/>
    <w:rsid w:val="00DB6E60"/>
    <w:rsid w:val="00DB784A"/>
    <w:rsid w:val="00DB79D0"/>
    <w:rsid w:val="00DB7C2C"/>
    <w:rsid w:val="00DB7C53"/>
    <w:rsid w:val="00DC00AE"/>
    <w:rsid w:val="00DC0E06"/>
    <w:rsid w:val="00DC0E45"/>
    <w:rsid w:val="00DC0E70"/>
    <w:rsid w:val="00DC1020"/>
    <w:rsid w:val="00DC13EF"/>
    <w:rsid w:val="00DC16E7"/>
    <w:rsid w:val="00DC1894"/>
    <w:rsid w:val="00DC1A06"/>
    <w:rsid w:val="00DC1BDB"/>
    <w:rsid w:val="00DC1DDF"/>
    <w:rsid w:val="00DC1EFE"/>
    <w:rsid w:val="00DC21FE"/>
    <w:rsid w:val="00DC2C9C"/>
    <w:rsid w:val="00DC2E39"/>
    <w:rsid w:val="00DC2E8A"/>
    <w:rsid w:val="00DC33D3"/>
    <w:rsid w:val="00DC3894"/>
    <w:rsid w:val="00DC3B0B"/>
    <w:rsid w:val="00DC3E1F"/>
    <w:rsid w:val="00DC3F06"/>
    <w:rsid w:val="00DC4162"/>
    <w:rsid w:val="00DC438D"/>
    <w:rsid w:val="00DC44B4"/>
    <w:rsid w:val="00DC4597"/>
    <w:rsid w:val="00DC4950"/>
    <w:rsid w:val="00DC4CAF"/>
    <w:rsid w:val="00DC4D8A"/>
    <w:rsid w:val="00DC4F55"/>
    <w:rsid w:val="00DC5321"/>
    <w:rsid w:val="00DC538D"/>
    <w:rsid w:val="00DC54D2"/>
    <w:rsid w:val="00DC5561"/>
    <w:rsid w:val="00DC56F6"/>
    <w:rsid w:val="00DC5880"/>
    <w:rsid w:val="00DC635A"/>
    <w:rsid w:val="00DC63C9"/>
    <w:rsid w:val="00DC6DAE"/>
    <w:rsid w:val="00DC70C3"/>
    <w:rsid w:val="00DC7231"/>
    <w:rsid w:val="00DD0069"/>
    <w:rsid w:val="00DD016C"/>
    <w:rsid w:val="00DD0188"/>
    <w:rsid w:val="00DD050D"/>
    <w:rsid w:val="00DD06E8"/>
    <w:rsid w:val="00DD0956"/>
    <w:rsid w:val="00DD098C"/>
    <w:rsid w:val="00DD0E6A"/>
    <w:rsid w:val="00DD0FA9"/>
    <w:rsid w:val="00DD1144"/>
    <w:rsid w:val="00DD132D"/>
    <w:rsid w:val="00DD14FD"/>
    <w:rsid w:val="00DD161C"/>
    <w:rsid w:val="00DD1B34"/>
    <w:rsid w:val="00DD1B5D"/>
    <w:rsid w:val="00DD20A0"/>
    <w:rsid w:val="00DD24F2"/>
    <w:rsid w:val="00DD273B"/>
    <w:rsid w:val="00DD2BBA"/>
    <w:rsid w:val="00DD2FC3"/>
    <w:rsid w:val="00DD3203"/>
    <w:rsid w:val="00DD39C2"/>
    <w:rsid w:val="00DD3A6F"/>
    <w:rsid w:val="00DD4564"/>
    <w:rsid w:val="00DD4697"/>
    <w:rsid w:val="00DD48BD"/>
    <w:rsid w:val="00DD5B27"/>
    <w:rsid w:val="00DD5B77"/>
    <w:rsid w:val="00DD5CE0"/>
    <w:rsid w:val="00DD5E2C"/>
    <w:rsid w:val="00DD63CF"/>
    <w:rsid w:val="00DD66B0"/>
    <w:rsid w:val="00DD6AFF"/>
    <w:rsid w:val="00DD6D05"/>
    <w:rsid w:val="00DD716D"/>
    <w:rsid w:val="00DD72DC"/>
    <w:rsid w:val="00DD72E8"/>
    <w:rsid w:val="00DD73B3"/>
    <w:rsid w:val="00DD74CB"/>
    <w:rsid w:val="00DD77D4"/>
    <w:rsid w:val="00DD7832"/>
    <w:rsid w:val="00DD7D16"/>
    <w:rsid w:val="00DD7DB9"/>
    <w:rsid w:val="00DD7F53"/>
    <w:rsid w:val="00DE0470"/>
    <w:rsid w:val="00DE14FC"/>
    <w:rsid w:val="00DE173F"/>
    <w:rsid w:val="00DE1902"/>
    <w:rsid w:val="00DE1AD2"/>
    <w:rsid w:val="00DE241F"/>
    <w:rsid w:val="00DE247C"/>
    <w:rsid w:val="00DE26A6"/>
    <w:rsid w:val="00DE26CE"/>
    <w:rsid w:val="00DE26E7"/>
    <w:rsid w:val="00DE2B3B"/>
    <w:rsid w:val="00DE2CE6"/>
    <w:rsid w:val="00DE2CE9"/>
    <w:rsid w:val="00DE2F4F"/>
    <w:rsid w:val="00DE3262"/>
    <w:rsid w:val="00DE355D"/>
    <w:rsid w:val="00DE3619"/>
    <w:rsid w:val="00DE3643"/>
    <w:rsid w:val="00DE43DC"/>
    <w:rsid w:val="00DE47ED"/>
    <w:rsid w:val="00DE47F6"/>
    <w:rsid w:val="00DE4904"/>
    <w:rsid w:val="00DE4A0C"/>
    <w:rsid w:val="00DE4E6C"/>
    <w:rsid w:val="00DE4EAA"/>
    <w:rsid w:val="00DE514D"/>
    <w:rsid w:val="00DE51E9"/>
    <w:rsid w:val="00DE5AF2"/>
    <w:rsid w:val="00DE5BD6"/>
    <w:rsid w:val="00DE64B9"/>
    <w:rsid w:val="00DE6747"/>
    <w:rsid w:val="00DE6C10"/>
    <w:rsid w:val="00DE6EEA"/>
    <w:rsid w:val="00DE6FE9"/>
    <w:rsid w:val="00DE7227"/>
    <w:rsid w:val="00DE7347"/>
    <w:rsid w:val="00DE750B"/>
    <w:rsid w:val="00DE7AD8"/>
    <w:rsid w:val="00DE7B25"/>
    <w:rsid w:val="00DE7C7D"/>
    <w:rsid w:val="00DF007C"/>
    <w:rsid w:val="00DF09FF"/>
    <w:rsid w:val="00DF0BA1"/>
    <w:rsid w:val="00DF0BCB"/>
    <w:rsid w:val="00DF0DF8"/>
    <w:rsid w:val="00DF0E28"/>
    <w:rsid w:val="00DF0EEF"/>
    <w:rsid w:val="00DF111D"/>
    <w:rsid w:val="00DF16D7"/>
    <w:rsid w:val="00DF17B1"/>
    <w:rsid w:val="00DF1D05"/>
    <w:rsid w:val="00DF2276"/>
    <w:rsid w:val="00DF2776"/>
    <w:rsid w:val="00DF2B26"/>
    <w:rsid w:val="00DF2DFE"/>
    <w:rsid w:val="00DF2E18"/>
    <w:rsid w:val="00DF2F70"/>
    <w:rsid w:val="00DF35F3"/>
    <w:rsid w:val="00DF3839"/>
    <w:rsid w:val="00DF38D1"/>
    <w:rsid w:val="00DF3BB1"/>
    <w:rsid w:val="00DF3BEA"/>
    <w:rsid w:val="00DF3CB5"/>
    <w:rsid w:val="00DF3EE7"/>
    <w:rsid w:val="00DF3F02"/>
    <w:rsid w:val="00DF405D"/>
    <w:rsid w:val="00DF4179"/>
    <w:rsid w:val="00DF427E"/>
    <w:rsid w:val="00DF44A1"/>
    <w:rsid w:val="00DF4ACB"/>
    <w:rsid w:val="00DF4F1D"/>
    <w:rsid w:val="00DF4F87"/>
    <w:rsid w:val="00DF5081"/>
    <w:rsid w:val="00DF5344"/>
    <w:rsid w:val="00DF58C0"/>
    <w:rsid w:val="00DF58CA"/>
    <w:rsid w:val="00DF5C43"/>
    <w:rsid w:val="00DF5EF0"/>
    <w:rsid w:val="00DF6558"/>
    <w:rsid w:val="00DF6A7B"/>
    <w:rsid w:val="00DF71B8"/>
    <w:rsid w:val="00DF7479"/>
    <w:rsid w:val="00E001C0"/>
    <w:rsid w:val="00E00528"/>
    <w:rsid w:val="00E007C3"/>
    <w:rsid w:val="00E00BD0"/>
    <w:rsid w:val="00E00E40"/>
    <w:rsid w:val="00E02010"/>
    <w:rsid w:val="00E02824"/>
    <w:rsid w:val="00E02F7A"/>
    <w:rsid w:val="00E0303B"/>
    <w:rsid w:val="00E0397F"/>
    <w:rsid w:val="00E03AEE"/>
    <w:rsid w:val="00E040D3"/>
    <w:rsid w:val="00E043EF"/>
    <w:rsid w:val="00E04539"/>
    <w:rsid w:val="00E0470A"/>
    <w:rsid w:val="00E048E4"/>
    <w:rsid w:val="00E04BA6"/>
    <w:rsid w:val="00E04CF9"/>
    <w:rsid w:val="00E04F03"/>
    <w:rsid w:val="00E05103"/>
    <w:rsid w:val="00E051EC"/>
    <w:rsid w:val="00E05387"/>
    <w:rsid w:val="00E054B8"/>
    <w:rsid w:val="00E054D9"/>
    <w:rsid w:val="00E0561D"/>
    <w:rsid w:val="00E05A4E"/>
    <w:rsid w:val="00E05CE5"/>
    <w:rsid w:val="00E05CED"/>
    <w:rsid w:val="00E05F5A"/>
    <w:rsid w:val="00E06009"/>
    <w:rsid w:val="00E060D7"/>
    <w:rsid w:val="00E06266"/>
    <w:rsid w:val="00E0628D"/>
    <w:rsid w:val="00E06A0A"/>
    <w:rsid w:val="00E06BB0"/>
    <w:rsid w:val="00E06ED8"/>
    <w:rsid w:val="00E07100"/>
    <w:rsid w:val="00E072A8"/>
    <w:rsid w:val="00E0742D"/>
    <w:rsid w:val="00E07629"/>
    <w:rsid w:val="00E077B4"/>
    <w:rsid w:val="00E078AC"/>
    <w:rsid w:val="00E07A73"/>
    <w:rsid w:val="00E07CAE"/>
    <w:rsid w:val="00E07D1C"/>
    <w:rsid w:val="00E101D9"/>
    <w:rsid w:val="00E1071D"/>
    <w:rsid w:val="00E10A1D"/>
    <w:rsid w:val="00E10AEB"/>
    <w:rsid w:val="00E10D6D"/>
    <w:rsid w:val="00E10E6D"/>
    <w:rsid w:val="00E10EC2"/>
    <w:rsid w:val="00E11160"/>
    <w:rsid w:val="00E11682"/>
    <w:rsid w:val="00E11734"/>
    <w:rsid w:val="00E11799"/>
    <w:rsid w:val="00E11A9B"/>
    <w:rsid w:val="00E11AB5"/>
    <w:rsid w:val="00E125C3"/>
    <w:rsid w:val="00E125F9"/>
    <w:rsid w:val="00E1261C"/>
    <w:rsid w:val="00E1267D"/>
    <w:rsid w:val="00E1270E"/>
    <w:rsid w:val="00E1276A"/>
    <w:rsid w:val="00E12DC2"/>
    <w:rsid w:val="00E12FCC"/>
    <w:rsid w:val="00E1304C"/>
    <w:rsid w:val="00E132FA"/>
    <w:rsid w:val="00E136AA"/>
    <w:rsid w:val="00E13797"/>
    <w:rsid w:val="00E13B1C"/>
    <w:rsid w:val="00E14043"/>
    <w:rsid w:val="00E141D1"/>
    <w:rsid w:val="00E14209"/>
    <w:rsid w:val="00E14419"/>
    <w:rsid w:val="00E149B0"/>
    <w:rsid w:val="00E14B1C"/>
    <w:rsid w:val="00E14C34"/>
    <w:rsid w:val="00E14EE6"/>
    <w:rsid w:val="00E15055"/>
    <w:rsid w:val="00E158AD"/>
    <w:rsid w:val="00E159F2"/>
    <w:rsid w:val="00E159F5"/>
    <w:rsid w:val="00E15BC5"/>
    <w:rsid w:val="00E15C9A"/>
    <w:rsid w:val="00E15E2C"/>
    <w:rsid w:val="00E16326"/>
    <w:rsid w:val="00E165A4"/>
    <w:rsid w:val="00E166B9"/>
    <w:rsid w:val="00E16FC0"/>
    <w:rsid w:val="00E17B89"/>
    <w:rsid w:val="00E17C0B"/>
    <w:rsid w:val="00E17C95"/>
    <w:rsid w:val="00E2003D"/>
    <w:rsid w:val="00E204EE"/>
    <w:rsid w:val="00E20888"/>
    <w:rsid w:val="00E20970"/>
    <w:rsid w:val="00E20ADD"/>
    <w:rsid w:val="00E20BAE"/>
    <w:rsid w:val="00E20C93"/>
    <w:rsid w:val="00E218A0"/>
    <w:rsid w:val="00E21A7C"/>
    <w:rsid w:val="00E21A88"/>
    <w:rsid w:val="00E21ACA"/>
    <w:rsid w:val="00E21F7F"/>
    <w:rsid w:val="00E225B3"/>
    <w:rsid w:val="00E22658"/>
    <w:rsid w:val="00E22709"/>
    <w:rsid w:val="00E229D6"/>
    <w:rsid w:val="00E229DC"/>
    <w:rsid w:val="00E22F48"/>
    <w:rsid w:val="00E23983"/>
    <w:rsid w:val="00E23B30"/>
    <w:rsid w:val="00E23C83"/>
    <w:rsid w:val="00E23F06"/>
    <w:rsid w:val="00E23F2A"/>
    <w:rsid w:val="00E2404B"/>
    <w:rsid w:val="00E2432C"/>
    <w:rsid w:val="00E24CD1"/>
    <w:rsid w:val="00E25260"/>
    <w:rsid w:val="00E255F1"/>
    <w:rsid w:val="00E2581E"/>
    <w:rsid w:val="00E25B69"/>
    <w:rsid w:val="00E25B70"/>
    <w:rsid w:val="00E25C1F"/>
    <w:rsid w:val="00E25C32"/>
    <w:rsid w:val="00E25DA4"/>
    <w:rsid w:val="00E25E1F"/>
    <w:rsid w:val="00E2611D"/>
    <w:rsid w:val="00E2629B"/>
    <w:rsid w:val="00E267BB"/>
    <w:rsid w:val="00E2685C"/>
    <w:rsid w:val="00E268B7"/>
    <w:rsid w:val="00E272F0"/>
    <w:rsid w:val="00E278AA"/>
    <w:rsid w:val="00E27953"/>
    <w:rsid w:val="00E27BDA"/>
    <w:rsid w:val="00E27C9E"/>
    <w:rsid w:val="00E27F7E"/>
    <w:rsid w:val="00E30016"/>
    <w:rsid w:val="00E304DF"/>
    <w:rsid w:val="00E30558"/>
    <w:rsid w:val="00E30D5D"/>
    <w:rsid w:val="00E30DEF"/>
    <w:rsid w:val="00E30E4D"/>
    <w:rsid w:val="00E315DE"/>
    <w:rsid w:val="00E319C7"/>
    <w:rsid w:val="00E31A4F"/>
    <w:rsid w:val="00E31DF2"/>
    <w:rsid w:val="00E31E7E"/>
    <w:rsid w:val="00E327CA"/>
    <w:rsid w:val="00E32F3C"/>
    <w:rsid w:val="00E3302B"/>
    <w:rsid w:val="00E33538"/>
    <w:rsid w:val="00E33B4D"/>
    <w:rsid w:val="00E341D7"/>
    <w:rsid w:val="00E341FC"/>
    <w:rsid w:val="00E34363"/>
    <w:rsid w:val="00E3455C"/>
    <w:rsid w:val="00E34A2B"/>
    <w:rsid w:val="00E35016"/>
    <w:rsid w:val="00E35192"/>
    <w:rsid w:val="00E351E7"/>
    <w:rsid w:val="00E35350"/>
    <w:rsid w:val="00E3565C"/>
    <w:rsid w:val="00E35799"/>
    <w:rsid w:val="00E357CE"/>
    <w:rsid w:val="00E35F36"/>
    <w:rsid w:val="00E36321"/>
    <w:rsid w:val="00E36397"/>
    <w:rsid w:val="00E365EC"/>
    <w:rsid w:val="00E36800"/>
    <w:rsid w:val="00E36BB8"/>
    <w:rsid w:val="00E36EF7"/>
    <w:rsid w:val="00E36FCB"/>
    <w:rsid w:val="00E37110"/>
    <w:rsid w:val="00E3727A"/>
    <w:rsid w:val="00E40161"/>
    <w:rsid w:val="00E4028C"/>
    <w:rsid w:val="00E40571"/>
    <w:rsid w:val="00E406EF"/>
    <w:rsid w:val="00E407A4"/>
    <w:rsid w:val="00E4102B"/>
    <w:rsid w:val="00E41803"/>
    <w:rsid w:val="00E41A84"/>
    <w:rsid w:val="00E41C4B"/>
    <w:rsid w:val="00E41E5B"/>
    <w:rsid w:val="00E41F8B"/>
    <w:rsid w:val="00E423E8"/>
    <w:rsid w:val="00E42B7F"/>
    <w:rsid w:val="00E42E3E"/>
    <w:rsid w:val="00E42EA3"/>
    <w:rsid w:val="00E43062"/>
    <w:rsid w:val="00E43560"/>
    <w:rsid w:val="00E43923"/>
    <w:rsid w:val="00E43B3E"/>
    <w:rsid w:val="00E43D11"/>
    <w:rsid w:val="00E43D13"/>
    <w:rsid w:val="00E4435A"/>
    <w:rsid w:val="00E44697"/>
    <w:rsid w:val="00E448FA"/>
    <w:rsid w:val="00E44BC2"/>
    <w:rsid w:val="00E44F16"/>
    <w:rsid w:val="00E4562C"/>
    <w:rsid w:val="00E457C2"/>
    <w:rsid w:val="00E459BD"/>
    <w:rsid w:val="00E45C13"/>
    <w:rsid w:val="00E45E61"/>
    <w:rsid w:val="00E460B8"/>
    <w:rsid w:val="00E46207"/>
    <w:rsid w:val="00E46DCF"/>
    <w:rsid w:val="00E47299"/>
    <w:rsid w:val="00E474B2"/>
    <w:rsid w:val="00E4770F"/>
    <w:rsid w:val="00E4783A"/>
    <w:rsid w:val="00E50101"/>
    <w:rsid w:val="00E506E7"/>
    <w:rsid w:val="00E50839"/>
    <w:rsid w:val="00E5095A"/>
    <w:rsid w:val="00E50B09"/>
    <w:rsid w:val="00E50DBB"/>
    <w:rsid w:val="00E50F29"/>
    <w:rsid w:val="00E5109D"/>
    <w:rsid w:val="00E51140"/>
    <w:rsid w:val="00E514D3"/>
    <w:rsid w:val="00E51A03"/>
    <w:rsid w:val="00E51A2B"/>
    <w:rsid w:val="00E51C0A"/>
    <w:rsid w:val="00E51DBB"/>
    <w:rsid w:val="00E51F4F"/>
    <w:rsid w:val="00E525E1"/>
    <w:rsid w:val="00E52684"/>
    <w:rsid w:val="00E52ABC"/>
    <w:rsid w:val="00E52E30"/>
    <w:rsid w:val="00E52F0C"/>
    <w:rsid w:val="00E53145"/>
    <w:rsid w:val="00E5317E"/>
    <w:rsid w:val="00E53295"/>
    <w:rsid w:val="00E533D4"/>
    <w:rsid w:val="00E537AE"/>
    <w:rsid w:val="00E5391D"/>
    <w:rsid w:val="00E53C69"/>
    <w:rsid w:val="00E54153"/>
    <w:rsid w:val="00E5439A"/>
    <w:rsid w:val="00E54896"/>
    <w:rsid w:val="00E549EF"/>
    <w:rsid w:val="00E54C66"/>
    <w:rsid w:val="00E550A4"/>
    <w:rsid w:val="00E551A5"/>
    <w:rsid w:val="00E551D5"/>
    <w:rsid w:val="00E55333"/>
    <w:rsid w:val="00E55377"/>
    <w:rsid w:val="00E556C9"/>
    <w:rsid w:val="00E56020"/>
    <w:rsid w:val="00E564AC"/>
    <w:rsid w:val="00E566DB"/>
    <w:rsid w:val="00E567CD"/>
    <w:rsid w:val="00E5683D"/>
    <w:rsid w:val="00E56A98"/>
    <w:rsid w:val="00E56A9F"/>
    <w:rsid w:val="00E56E6A"/>
    <w:rsid w:val="00E5708E"/>
    <w:rsid w:val="00E6051C"/>
    <w:rsid w:val="00E60597"/>
    <w:rsid w:val="00E606D9"/>
    <w:rsid w:val="00E6101C"/>
    <w:rsid w:val="00E61185"/>
    <w:rsid w:val="00E6136F"/>
    <w:rsid w:val="00E616D4"/>
    <w:rsid w:val="00E61785"/>
    <w:rsid w:val="00E620A6"/>
    <w:rsid w:val="00E62102"/>
    <w:rsid w:val="00E62997"/>
    <w:rsid w:val="00E62EDB"/>
    <w:rsid w:val="00E62FF6"/>
    <w:rsid w:val="00E631A8"/>
    <w:rsid w:val="00E635BE"/>
    <w:rsid w:val="00E63861"/>
    <w:rsid w:val="00E63AC6"/>
    <w:rsid w:val="00E63B9C"/>
    <w:rsid w:val="00E63D95"/>
    <w:rsid w:val="00E648EF"/>
    <w:rsid w:val="00E65010"/>
    <w:rsid w:val="00E6519E"/>
    <w:rsid w:val="00E652FA"/>
    <w:rsid w:val="00E6532A"/>
    <w:rsid w:val="00E65355"/>
    <w:rsid w:val="00E65447"/>
    <w:rsid w:val="00E65761"/>
    <w:rsid w:val="00E659D1"/>
    <w:rsid w:val="00E659F0"/>
    <w:rsid w:val="00E65B38"/>
    <w:rsid w:val="00E65DC9"/>
    <w:rsid w:val="00E65EFD"/>
    <w:rsid w:val="00E65F94"/>
    <w:rsid w:val="00E662C5"/>
    <w:rsid w:val="00E66B3C"/>
    <w:rsid w:val="00E66B57"/>
    <w:rsid w:val="00E66D18"/>
    <w:rsid w:val="00E66D42"/>
    <w:rsid w:val="00E66D7A"/>
    <w:rsid w:val="00E66ED1"/>
    <w:rsid w:val="00E67049"/>
    <w:rsid w:val="00E670FF"/>
    <w:rsid w:val="00E671F8"/>
    <w:rsid w:val="00E67EB6"/>
    <w:rsid w:val="00E702E3"/>
    <w:rsid w:val="00E7093C"/>
    <w:rsid w:val="00E70B5E"/>
    <w:rsid w:val="00E7110C"/>
    <w:rsid w:val="00E713D3"/>
    <w:rsid w:val="00E7181E"/>
    <w:rsid w:val="00E71A5C"/>
    <w:rsid w:val="00E721C3"/>
    <w:rsid w:val="00E72288"/>
    <w:rsid w:val="00E722C6"/>
    <w:rsid w:val="00E7232C"/>
    <w:rsid w:val="00E7251B"/>
    <w:rsid w:val="00E725A4"/>
    <w:rsid w:val="00E72736"/>
    <w:rsid w:val="00E72779"/>
    <w:rsid w:val="00E72912"/>
    <w:rsid w:val="00E72D0B"/>
    <w:rsid w:val="00E73469"/>
    <w:rsid w:val="00E734ED"/>
    <w:rsid w:val="00E7351E"/>
    <w:rsid w:val="00E73536"/>
    <w:rsid w:val="00E73684"/>
    <w:rsid w:val="00E737AE"/>
    <w:rsid w:val="00E737C2"/>
    <w:rsid w:val="00E73A51"/>
    <w:rsid w:val="00E73A97"/>
    <w:rsid w:val="00E7414E"/>
    <w:rsid w:val="00E743CA"/>
    <w:rsid w:val="00E746E8"/>
    <w:rsid w:val="00E752A5"/>
    <w:rsid w:val="00E753E9"/>
    <w:rsid w:val="00E76BE7"/>
    <w:rsid w:val="00E76DCE"/>
    <w:rsid w:val="00E770D7"/>
    <w:rsid w:val="00E773E3"/>
    <w:rsid w:val="00E77449"/>
    <w:rsid w:val="00E77596"/>
    <w:rsid w:val="00E775E8"/>
    <w:rsid w:val="00E779B0"/>
    <w:rsid w:val="00E806C5"/>
    <w:rsid w:val="00E806D7"/>
    <w:rsid w:val="00E81037"/>
    <w:rsid w:val="00E81159"/>
    <w:rsid w:val="00E81237"/>
    <w:rsid w:val="00E817B6"/>
    <w:rsid w:val="00E8188B"/>
    <w:rsid w:val="00E81DBF"/>
    <w:rsid w:val="00E82281"/>
    <w:rsid w:val="00E8237A"/>
    <w:rsid w:val="00E8293F"/>
    <w:rsid w:val="00E829C5"/>
    <w:rsid w:val="00E829E1"/>
    <w:rsid w:val="00E82AE2"/>
    <w:rsid w:val="00E82DA0"/>
    <w:rsid w:val="00E831E0"/>
    <w:rsid w:val="00E838B7"/>
    <w:rsid w:val="00E83A5E"/>
    <w:rsid w:val="00E83A96"/>
    <w:rsid w:val="00E840F0"/>
    <w:rsid w:val="00E842AA"/>
    <w:rsid w:val="00E84439"/>
    <w:rsid w:val="00E84457"/>
    <w:rsid w:val="00E845D4"/>
    <w:rsid w:val="00E84931"/>
    <w:rsid w:val="00E84E25"/>
    <w:rsid w:val="00E84FE9"/>
    <w:rsid w:val="00E85318"/>
    <w:rsid w:val="00E856B6"/>
    <w:rsid w:val="00E8591F"/>
    <w:rsid w:val="00E8592A"/>
    <w:rsid w:val="00E85A0F"/>
    <w:rsid w:val="00E85B47"/>
    <w:rsid w:val="00E85C4C"/>
    <w:rsid w:val="00E85ED5"/>
    <w:rsid w:val="00E86328"/>
    <w:rsid w:val="00E8640F"/>
    <w:rsid w:val="00E86EFE"/>
    <w:rsid w:val="00E8762B"/>
    <w:rsid w:val="00E900C0"/>
    <w:rsid w:val="00E900C3"/>
    <w:rsid w:val="00E90813"/>
    <w:rsid w:val="00E908C3"/>
    <w:rsid w:val="00E908F9"/>
    <w:rsid w:val="00E90E64"/>
    <w:rsid w:val="00E90EE4"/>
    <w:rsid w:val="00E9121F"/>
    <w:rsid w:val="00E91372"/>
    <w:rsid w:val="00E913C9"/>
    <w:rsid w:val="00E915B5"/>
    <w:rsid w:val="00E91697"/>
    <w:rsid w:val="00E91764"/>
    <w:rsid w:val="00E9176F"/>
    <w:rsid w:val="00E9198B"/>
    <w:rsid w:val="00E91DD6"/>
    <w:rsid w:val="00E92293"/>
    <w:rsid w:val="00E92B89"/>
    <w:rsid w:val="00E92BA7"/>
    <w:rsid w:val="00E92EFB"/>
    <w:rsid w:val="00E9361C"/>
    <w:rsid w:val="00E938F0"/>
    <w:rsid w:val="00E93958"/>
    <w:rsid w:val="00E93C0F"/>
    <w:rsid w:val="00E9409C"/>
    <w:rsid w:val="00E9451C"/>
    <w:rsid w:val="00E94E62"/>
    <w:rsid w:val="00E9510C"/>
    <w:rsid w:val="00E953CA"/>
    <w:rsid w:val="00E9582B"/>
    <w:rsid w:val="00E95CF5"/>
    <w:rsid w:val="00E960A7"/>
    <w:rsid w:val="00E963BE"/>
    <w:rsid w:val="00E96609"/>
    <w:rsid w:val="00E96D67"/>
    <w:rsid w:val="00E97049"/>
    <w:rsid w:val="00E97159"/>
    <w:rsid w:val="00E97925"/>
    <w:rsid w:val="00EA031D"/>
    <w:rsid w:val="00EA0B80"/>
    <w:rsid w:val="00EA1184"/>
    <w:rsid w:val="00EA1321"/>
    <w:rsid w:val="00EA1612"/>
    <w:rsid w:val="00EA1670"/>
    <w:rsid w:val="00EA1A63"/>
    <w:rsid w:val="00EA23D1"/>
    <w:rsid w:val="00EA2404"/>
    <w:rsid w:val="00EA2611"/>
    <w:rsid w:val="00EA26D6"/>
    <w:rsid w:val="00EA27BA"/>
    <w:rsid w:val="00EA2A68"/>
    <w:rsid w:val="00EA2BBD"/>
    <w:rsid w:val="00EA2BE3"/>
    <w:rsid w:val="00EA2F97"/>
    <w:rsid w:val="00EA30FE"/>
    <w:rsid w:val="00EA35D6"/>
    <w:rsid w:val="00EA3A76"/>
    <w:rsid w:val="00EA3B2A"/>
    <w:rsid w:val="00EA41FE"/>
    <w:rsid w:val="00EA492B"/>
    <w:rsid w:val="00EA4B95"/>
    <w:rsid w:val="00EA5008"/>
    <w:rsid w:val="00EA5062"/>
    <w:rsid w:val="00EA56EF"/>
    <w:rsid w:val="00EA5D20"/>
    <w:rsid w:val="00EA60C1"/>
    <w:rsid w:val="00EA66CE"/>
    <w:rsid w:val="00EA6974"/>
    <w:rsid w:val="00EA6CD8"/>
    <w:rsid w:val="00EA72E2"/>
    <w:rsid w:val="00EA73D6"/>
    <w:rsid w:val="00EA73E1"/>
    <w:rsid w:val="00EA752E"/>
    <w:rsid w:val="00EA75A0"/>
    <w:rsid w:val="00EA79C5"/>
    <w:rsid w:val="00EA7D10"/>
    <w:rsid w:val="00EA7EC7"/>
    <w:rsid w:val="00EA7F86"/>
    <w:rsid w:val="00EB0588"/>
    <w:rsid w:val="00EB062B"/>
    <w:rsid w:val="00EB0885"/>
    <w:rsid w:val="00EB0F55"/>
    <w:rsid w:val="00EB10E3"/>
    <w:rsid w:val="00EB1462"/>
    <w:rsid w:val="00EB16CC"/>
    <w:rsid w:val="00EB197A"/>
    <w:rsid w:val="00EB19E0"/>
    <w:rsid w:val="00EB1AEC"/>
    <w:rsid w:val="00EB1C2E"/>
    <w:rsid w:val="00EB235F"/>
    <w:rsid w:val="00EB2595"/>
    <w:rsid w:val="00EB2D3A"/>
    <w:rsid w:val="00EB2FA8"/>
    <w:rsid w:val="00EB3121"/>
    <w:rsid w:val="00EB313A"/>
    <w:rsid w:val="00EB32EA"/>
    <w:rsid w:val="00EB3525"/>
    <w:rsid w:val="00EB38E2"/>
    <w:rsid w:val="00EB38E6"/>
    <w:rsid w:val="00EB3A6A"/>
    <w:rsid w:val="00EB3D26"/>
    <w:rsid w:val="00EB3E70"/>
    <w:rsid w:val="00EB3FE6"/>
    <w:rsid w:val="00EB44BE"/>
    <w:rsid w:val="00EB47F8"/>
    <w:rsid w:val="00EB482A"/>
    <w:rsid w:val="00EB4A54"/>
    <w:rsid w:val="00EB4D41"/>
    <w:rsid w:val="00EB5094"/>
    <w:rsid w:val="00EB5163"/>
    <w:rsid w:val="00EB5292"/>
    <w:rsid w:val="00EB55DE"/>
    <w:rsid w:val="00EB5732"/>
    <w:rsid w:val="00EB5A90"/>
    <w:rsid w:val="00EB5AF5"/>
    <w:rsid w:val="00EB5C56"/>
    <w:rsid w:val="00EB69DA"/>
    <w:rsid w:val="00EB6FD7"/>
    <w:rsid w:val="00EB70F1"/>
    <w:rsid w:val="00EB7296"/>
    <w:rsid w:val="00EB73B5"/>
    <w:rsid w:val="00EC01E3"/>
    <w:rsid w:val="00EC0256"/>
    <w:rsid w:val="00EC02C9"/>
    <w:rsid w:val="00EC0477"/>
    <w:rsid w:val="00EC05C8"/>
    <w:rsid w:val="00EC0744"/>
    <w:rsid w:val="00EC13E4"/>
    <w:rsid w:val="00EC1AC0"/>
    <w:rsid w:val="00EC1B96"/>
    <w:rsid w:val="00EC2092"/>
    <w:rsid w:val="00EC233A"/>
    <w:rsid w:val="00EC246C"/>
    <w:rsid w:val="00EC2958"/>
    <w:rsid w:val="00EC29FC"/>
    <w:rsid w:val="00EC2AEA"/>
    <w:rsid w:val="00EC2E84"/>
    <w:rsid w:val="00EC313D"/>
    <w:rsid w:val="00EC3241"/>
    <w:rsid w:val="00EC3379"/>
    <w:rsid w:val="00EC3790"/>
    <w:rsid w:val="00EC3CA2"/>
    <w:rsid w:val="00EC3D4B"/>
    <w:rsid w:val="00EC3D5E"/>
    <w:rsid w:val="00EC4055"/>
    <w:rsid w:val="00EC4C12"/>
    <w:rsid w:val="00EC5155"/>
    <w:rsid w:val="00EC5169"/>
    <w:rsid w:val="00EC53B7"/>
    <w:rsid w:val="00EC5827"/>
    <w:rsid w:val="00EC59B8"/>
    <w:rsid w:val="00EC645D"/>
    <w:rsid w:val="00EC64C5"/>
    <w:rsid w:val="00EC6A8B"/>
    <w:rsid w:val="00EC6C87"/>
    <w:rsid w:val="00EC71BF"/>
    <w:rsid w:val="00EC7317"/>
    <w:rsid w:val="00EC734F"/>
    <w:rsid w:val="00EC74A7"/>
    <w:rsid w:val="00EC756F"/>
    <w:rsid w:val="00EC7C2B"/>
    <w:rsid w:val="00ED0166"/>
    <w:rsid w:val="00ED0312"/>
    <w:rsid w:val="00ED05F7"/>
    <w:rsid w:val="00ED07F1"/>
    <w:rsid w:val="00ED0DA9"/>
    <w:rsid w:val="00ED0E7B"/>
    <w:rsid w:val="00ED0FC1"/>
    <w:rsid w:val="00ED104E"/>
    <w:rsid w:val="00ED10E0"/>
    <w:rsid w:val="00ED123F"/>
    <w:rsid w:val="00ED1500"/>
    <w:rsid w:val="00ED1626"/>
    <w:rsid w:val="00ED1A34"/>
    <w:rsid w:val="00ED1F5E"/>
    <w:rsid w:val="00ED23C5"/>
    <w:rsid w:val="00ED25E9"/>
    <w:rsid w:val="00ED28BE"/>
    <w:rsid w:val="00ED30A7"/>
    <w:rsid w:val="00ED318F"/>
    <w:rsid w:val="00ED3277"/>
    <w:rsid w:val="00ED37AC"/>
    <w:rsid w:val="00ED39A9"/>
    <w:rsid w:val="00ED3C9F"/>
    <w:rsid w:val="00ED3EC3"/>
    <w:rsid w:val="00ED3F98"/>
    <w:rsid w:val="00ED41F9"/>
    <w:rsid w:val="00ED4992"/>
    <w:rsid w:val="00ED4C7C"/>
    <w:rsid w:val="00ED529C"/>
    <w:rsid w:val="00ED5639"/>
    <w:rsid w:val="00ED5776"/>
    <w:rsid w:val="00ED5A9D"/>
    <w:rsid w:val="00ED5B39"/>
    <w:rsid w:val="00ED60B2"/>
    <w:rsid w:val="00ED6752"/>
    <w:rsid w:val="00ED6B06"/>
    <w:rsid w:val="00ED6DF8"/>
    <w:rsid w:val="00ED6F72"/>
    <w:rsid w:val="00ED71F7"/>
    <w:rsid w:val="00ED7335"/>
    <w:rsid w:val="00ED73EE"/>
    <w:rsid w:val="00ED7848"/>
    <w:rsid w:val="00ED792B"/>
    <w:rsid w:val="00EE0045"/>
    <w:rsid w:val="00EE01A1"/>
    <w:rsid w:val="00EE0299"/>
    <w:rsid w:val="00EE0588"/>
    <w:rsid w:val="00EE05FF"/>
    <w:rsid w:val="00EE076A"/>
    <w:rsid w:val="00EE0E90"/>
    <w:rsid w:val="00EE1002"/>
    <w:rsid w:val="00EE1029"/>
    <w:rsid w:val="00EE11F9"/>
    <w:rsid w:val="00EE1410"/>
    <w:rsid w:val="00EE1875"/>
    <w:rsid w:val="00EE1A75"/>
    <w:rsid w:val="00EE2284"/>
    <w:rsid w:val="00EE24EB"/>
    <w:rsid w:val="00EE2564"/>
    <w:rsid w:val="00EE2628"/>
    <w:rsid w:val="00EE27F1"/>
    <w:rsid w:val="00EE28BB"/>
    <w:rsid w:val="00EE2A7B"/>
    <w:rsid w:val="00EE2E4C"/>
    <w:rsid w:val="00EE2EB9"/>
    <w:rsid w:val="00EE2F80"/>
    <w:rsid w:val="00EE3056"/>
    <w:rsid w:val="00EE3219"/>
    <w:rsid w:val="00EE347A"/>
    <w:rsid w:val="00EE3634"/>
    <w:rsid w:val="00EE38BE"/>
    <w:rsid w:val="00EE3BF2"/>
    <w:rsid w:val="00EE3E56"/>
    <w:rsid w:val="00EE3FD9"/>
    <w:rsid w:val="00EE42D7"/>
    <w:rsid w:val="00EE4556"/>
    <w:rsid w:val="00EE456B"/>
    <w:rsid w:val="00EE46B0"/>
    <w:rsid w:val="00EE505F"/>
    <w:rsid w:val="00EE545A"/>
    <w:rsid w:val="00EE5633"/>
    <w:rsid w:val="00EE5A97"/>
    <w:rsid w:val="00EE60A7"/>
    <w:rsid w:val="00EE666D"/>
    <w:rsid w:val="00EE6A2F"/>
    <w:rsid w:val="00EE722F"/>
    <w:rsid w:val="00EE732F"/>
    <w:rsid w:val="00EE74CB"/>
    <w:rsid w:val="00EE7AE4"/>
    <w:rsid w:val="00EE7C6B"/>
    <w:rsid w:val="00EE7DAC"/>
    <w:rsid w:val="00EE7FF9"/>
    <w:rsid w:val="00EF0083"/>
    <w:rsid w:val="00EF03F2"/>
    <w:rsid w:val="00EF0759"/>
    <w:rsid w:val="00EF07BC"/>
    <w:rsid w:val="00EF0988"/>
    <w:rsid w:val="00EF0E20"/>
    <w:rsid w:val="00EF0F32"/>
    <w:rsid w:val="00EF1047"/>
    <w:rsid w:val="00EF1798"/>
    <w:rsid w:val="00EF1809"/>
    <w:rsid w:val="00EF2246"/>
    <w:rsid w:val="00EF248E"/>
    <w:rsid w:val="00EF25A0"/>
    <w:rsid w:val="00EF25EA"/>
    <w:rsid w:val="00EF2866"/>
    <w:rsid w:val="00EF2945"/>
    <w:rsid w:val="00EF297B"/>
    <w:rsid w:val="00EF2E94"/>
    <w:rsid w:val="00EF2F98"/>
    <w:rsid w:val="00EF2FF3"/>
    <w:rsid w:val="00EF31FA"/>
    <w:rsid w:val="00EF320E"/>
    <w:rsid w:val="00EF35AF"/>
    <w:rsid w:val="00EF37B4"/>
    <w:rsid w:val="00EF3E0D"/>
    <w:rsid w:val="00EF41B8"/>
    <w:rsid w:val="00EF486C"/>
    <w:rsid w:val="00EF4999"/>
    <w:rsid w:val="00EF4C0F"/>
    <w:rsid w:val="00EF4ECF"/>
    <w:rsid w:val="00EF5552"/>
    <w:rsid w:val="00EF5A0A"/>
    <w:rsid w:val="00EF5A95"/>
    <w:rsid w:val="00EF5B56"/>
    <w:rsid w:val="00EF5CB6"/>
    <w:rsid w:val="00EF5D3E"/>
    <w:rsid w:val="00EF5D56"/>
    <w:rsid w:val="00EF601D"/>
    <w:rsid w:val="00EF620A"/>
    <w:rsid w:val="00EF63E5"/>
    <w:rsid w:val="00EF6440"/>
    <w:rsid w:val="00EF6482"/>
    <w:rsid w:val="00EF69BE"/>
    <w:rsid w:val="00EF6D9A"/>
    <w:rsid w:val="00EF7038"/>
    <w:rsid w:val="00EF7421"/>
    <w:rsid w:val="00F0006C"/>
    <w:rsid w:val="00F004D6"/>
    <w:rsid w:val="00F0094D"/>
    <w:rsid w:val="00F00C0B"/>
    <w:rsid w:val="00F00C8C"/>
    <w:rsid w:val="00F00F78"/>
    <w:rsid w:val="00F0107D"/>
    <w:rsid w:val="00F0183D"/>
    <w:rsid w:val="00F01A44"/>
    <w:rsid w:val="00F01D51"/>
    <w:rsid w:val="00F01DAF"/>
    <w:rsid w:val="00F01EEC"/>
    <w:rsid w:val="00F020A7"/>
    <w:rsid w:val="00F0245E"/>
    <w:rsid w:val="00F0246F"/>
    <w:rsid w:val="00F0276F"/>
    <w:rsid w:val="00F02776"/>
    <w:rsid w:val="00F02D1B"/>
    <w:rsid w:val="00F03566"/>
    <w:rsid w:val="00F03735"/>
    <w:rsid w:val="00F03931"/>
    <w:rsid w:val="00F03959"/>
    <w:rsid w:val="00F03AC5"/>
    <w:rsid w:val="00F03B86"/>
    <w:rsid w:val="00F03C56"/>
    <w:rsid w:val="00F044DF"/>
    <w:rsid w:val="00F04C2C"/>
    <w:rsid w:val="00F05A20"/>
    <w:rsid w:val="00F05F8E"/>
    <w:rsid w:val="00F06367"/>
    <w:rsid w:val="00F065EC"/>
    <w:rsid w:val="00F06761"/>
    <w:rsid w:val="00F06F31"/>
    <w:rsid w:val="00F075D6"/>
    <w:rsid w:val="00F079B3"/>
    <w:rsid w:val="00F07CF2"/>
    <w:rsid w:val="00F07E56"/>
    <w:rsid w:val="00F102E3"/>
    <w:rsid w:val="00F1079D"/>
    <w:rsid w:val="00F10E8E"/>
    <w:rsid w:val="00F11194"/>
    <w:rsid w:val="00F11648"/>
    <w:rsid w:val="00F116A0"/>
    <w:rsid w:val="00F1183D"/>
    <w:rsid w:val="00F1185A"/>
    <w:rsid w:val="00F1216A"/>
    <w:rsid w:val="00F122FA"/>
    <w:rsid w:val="00F12A0C"/>
    <w:rsid w:val="00F12B71"/>
    <w:rsid w:val="00F12C99"/>
    <w:rsid w:val="00F12CFF"/>
    <w:rsid w:val="00F12FAC"/>
    <w:rsid w:val="00F130F7"/>
    <w:rsid w:val="00F135EB"/>
    <w:rsid w:val="00F13776"/>
    <w:rsid w:val="00F13801"/>
    <w:rsid w:val="00F13828"/>
    <w:rsid w:val="00F13C28"/>
    <w:rsid w:val="00F13E32"/>
    <w:rsid w:val="00F13FE2"/>
    <w:rsid w:val="00F14397"/>
    <w:rsid w:val="00F143F0"/>
    <w:rsid w:val="00F14818"/>
    <w:rsid w:val="00F1519D"/>
    <w:rsid w:val="00F151B4"/>
    <w:rsid w:val="00F15312"/>
    <w:rsid w:val="00F1574F"/>
    <w:rsid w:val="00F15ED6"/>
    <w:rsid w:val="00F162EB"/>
    <w:rsid w:val="00F16404"/>
    <w:rsid w:val="00F16540"/>
    <w:rsid w:val="00F167CB"/>
    <w:rsid w:val="00F1698F"/>
    <w:rsid w:val="00F16B72"/>
    <w:rsid w:val="00F16B7A"/>
    <w:rsid w:val="00F16CED"/>
    <w:rsid w:val="00F17B02"/>
    <w:rsid w:val="00F20310"/>
    <w:rsid w:val="00F208E9"/>
    <w:rsid w:val="00F20AAC"/>
    <w:rsid w:val="00F20EBA"/>
    <w:rsid w:val="00F21172"/>
    <w:rsid w:val="00F21404"/>
    <w:rsid w:val="00F21C8B"/>
    <w:rsid w:val="00F21CA9"/>
    <w:rsid w:val="00F21F32"/>
    <w:rsid w:val="00F21F41"/>
    <w:rsid w:val="00F21F85"/>
    <w:rsid w:val="00F21FF8"/>
    <w:rsid w:val="00F22058"/>
    <w:rsid w:val="00F220E9"/>
    <w:rsid w:val="00F22497"/>
    <w:rsid w:val="00F224AF"/>
    <w:rsid w:val="00F227B5"/>
    <w:rsid w:val="00F22E2C"/>
    <w:rsid w:val="00F22FF5"/>
    <w:rsid w:val="00F23793"/>
    <w:rsid w:val="00F23CC0"/>
    <w:rsid w:val="00F23F9B"/>
    <w:rsid w:val="00F242E8"/>
    <w:rsid w:val="00F246DD"/>
    <w:rsid w:val="00F24F65"/>
    <w:rsid w:val="00F24F7F"/>
    <w:rsid w:val="00F255D1"/>
    <w:rsid w:val="00F25FBF"/>
    <w:rsid w:val="00F2600E"/>
    <w:rsid w:val="00F2635C"/>
    <w:rsid w:val="00F2652D"/>
    <w:rsid w:val="00F26A1F"/>
    <w:rsid w:val="00F27128"/>
    <w:rsid w:val="00F2723D"/>
    <w:rsid w:val="00F27458"/>
    <w:rsid w:val="00F27460"/>
    <w:rsid w:val="00F27468"/>
    <w:rsid w:val="00F276C8"/>
    <w:rsid w:val="00F27871"/>
    <w:rsid w:val="00F27913"/>
    <w:rsid w:val="00F27B15"/>
    <w:rsid w:val="00F30189"/>
    <w:rsid w:val="00F30383"/>
    <w:rsid w:val="00F30EBF"/>
    <w:rsid w:val="00F30F4E"/>
    <w:rsid w:val="00F3116F"/>
    <w:rsid w:val="00F312F1"/>
    <w:rsid w:val="00F3144B"/>
    <w:rsid w:val="00F3183F"/>
    <w:rsid w:val="00F32D62"/>
    <w:rsid w:val="00F33277"/>
    <w:rsid w:val="00F333D4"/>
    <w:rsid w:val="00F3354A"/>
    <w:rsid w:val="00F335EF"/>
    <w:rsid w:val="00F337F5"/>
    <w:rsid w:val="00F3394A"/>
    <w:rsid w:val="00F33F58"/>
    <w:rsid w:val="00F33FD3"/>
    <w:rsid w:val="00F340E8"/>
    <w:rsid w:val="00F34131"/>
    <w:rsid w:val="00F347D0"/>
    <w:rsid w:val="00F34E4D"/>
    <w:rsid w:val="00F34F84"/>
    <w:rsid w:val="00F35710"/>
    <w:rsid w:val="00F35DC3"/>
    <w:rsid w:val="00F35F75"/>
    <w:rsid w:val="00F36B96"/>
    <w:rsid w:val="00F36F65"/>
    <w:rsid w:val="00F37246"/>
    <w:rsid w:val="00F37303"/>
    <w:rsid w:val="00F374A3"/>
    <w:rsid w:val="00F3773A"/>
    <w:rsid w:val="00F3791C"/>
    <w:rsid w:val="00F37A2B"/>
    <w:rsid w:val="00F37C74"/>
    <w:rsid w:val="00F37CC6"/>
    <w:rsid w:val="00F37D28"/>
    <w:rsid w:val="00F37D31"/>
    <w:rsid w:val="00F37DE7"/>
    <w:rsid w:val="00F4016A"/>
    <w:rsid w:val="00F40832"/>
    <w:rsid w:val="00F411EA"/>
    <w:rsid w:val="00F412CE"/>
    <w:rsid w:val="00F41482"/>
    <w:rsid w:val="00F41836"/>
    <w:rsid w:val="00F41B28"/>
    <w:rsid w:val="00F41C15"/>
    <w:rsid w:val="00F41DD3"/>
    <w:rsid w:val="00F41E1A"/>
    <w:rsid w:val="00F4215A"/>
    <w:rsid w:val="00F422FC"/>
    <w:rsid w:val="00F42ABF"/>
    <w:rsid w:val="00F42BCA"/>
    <w:rsid w:val="00F430BF"/>
    <w:rsid w:val="00F43292"/>
    <w:rsid w:val="00F43376"/>
    <w:rsid w:val="00F435B7"/>
    <w:rsid w:val="00F4390F"/>
    <w:rsid w:val="00F43D54"/>
    <w:rsid w:val="00F4462C"/>
    <w:rsid w:val="00F44752"/>
    <w:rsid w:val="00F44942"/>
    <w:rsid w:val="00F44BF3"/>
    <w:rsid w:val="00F4583D"/>
    <w:rsid w:val="00F45CE1"/>
    <w:rsid w:val="00F45F78"/>
    <w:rsid w:val="00F45F9A"/>
    <w:rsid w:val="00F46101"/>
    <w:rsid w:val="00F4665C"/>
    <w:rsid w:val="00F46B8E"/>
    <w:rsid w:val="00F47136"/>
    <w:rsid w:val="00F47685"/>
    <w:rsid w:val="00F47F40"/>
    <w:rsid w:val="00F500ED"/>
    <w:rsid w:val="00F5011F"/>
    <w:rsid w:val="00F502AF"/>
    <w:rsid w:val="00F50320"/>
    <w:rsid w:val="00F506D5"/>
    <w:rsid w:val="00F5093B"/>
    <w:rsid w:val="00F50F04"/>
    <w:rsid w:val="00F50FDE"/>
    <w:rsid w:val="00F51074"/>
    <w:rsid w:val="00F5283F"/>
    <w:rsid w:val="00F52ECA"/>
    <w:rsid w:val="00F53E9D"/>
    <w:rsid w:val="00F5433D"/>
    <w:rsid w:val="00F54371"/>
    <w:rsid w:val="00F543A5"/>
    <w:rsid w:val="00F54A2F"/>
    <w:rsid w:val="00F54E2F"/>
    <w:rsid w:val="00F54F9B"/>
    <w:rsid w:val="00F5570B"/>
    <w:rsid w:val="00F5576F"/>
    <w:rsid w:val="00F562FB"/>
    <w:rsid w:val="00F5634A"/>
    <w:rsid w:val="00F563A8"/>
    <w:rsid w:val="00F56456"/>
    <w:rsid w:val="00F566A5"/>
    <w:rsid w:val="00F5689B"/>
    <w:rsid w:val="00F56C08"/>
    <w:rsid w:val="00F57054"/>
    <w:rsid w:val="00F572B5"/>
    <w:rsid w:val="00F57657"/>
    <w:rsid w:val="00F57FEA"/>
    <w:rsid w:val="00F600D6"/>
    <w:rsid w:val="00F6020C"/>
    <w:rsid w:val="00F6071D"/>
    <w:rsid w:val="00F6130E"/>
    <w:rsid w:val="00F614EB"/>
    <w:rsid w:val="00F61730"/>
    <w:rsid w:val="00F61B1C"/>
    <w:rsid w:val="00F6249B"/>
    <w:rsid w:val="00F62A93"/>
    <w:rsid w:val="00F62DFA"/>
    <w:rsid w:val="00F62E62"/>
    <w:rsid w:val="00F63272"/>
    <w:rsid w:val="00F638C3"/>
    <w:rsid w:val="00F6408D"/>
    <w:rsid w:val="00F6419C"/>
    <w:rsid w:val="00F641A8"/>
    <w:rsid w:val="00F64204"/>
    <w:rsid w:val="00F644FD"/>
    <w:rsid w:val="00F64D78"/>
    <w:rsid w:val="00F64EA8"/>
    <w:rsid w:val="00F653E3"/>
    <w:rsid w:val="00F65510"/>
    <w:rsid w:val="00F65751"/>
    <w:rsid w:val="00F6579E"/>
    <w:rsid w:val="00F6618A"/>
    <w:rsid w:val="00F665C4"/>
    <w:rsid w:val="00F66879"/>
    <w:rsid w:val="00F668EE"/>
    <w:rsid w:val="00F66A8F"/>
    <w:rsid w:val="00F66CC1"/>
    <w:rsid w:val="00F67151"/>
    <w:rsid w:val="00F679F7"/>
    <w:rsid w:val="00F67BB6"/>
    <w:rsid w:val="00F67C92"/>
    <w:rsid w:val="00F67CD0"/>
    <w:rsid w:val="00F67E44"/>
    <w:rsid w:val="00F67F18"/>
    <w:rsid w:val="00F67FC9"/>
    <w:rsid w:val="00F70960"/>
    <w:rsid w:val="00F70E53"/>
    <w:rsid w:val="00F70FFC"/>
    <w:rsid w:val="00F7138B"/>
    <w:rsid w:val="00F717DD"/>
    <w:rsid w:val="00F71974"/>
    <w:rsid w:val="00F71BDA"/>
    <w:rsid w:val="00F71CD9"/>
    <w:rsid w:val="00F71D48"/>
    <w:rsid w:val="00F7280F"/>
    <w:rsid w:val="00F7287D"/>
    <w:rsid w:val="00F72BAF"/>
    <w:rsid w:val="00F7300A"/>
    <w:rsid w:val="00F730C1"/>
    <w:rsid w:val="00F7328A"/>
    <w:rsid w:val="00F733D6"/>
    <w:rsid w:val="00F7375E"/>
    <w:rsid w:val="00F73846"/>
    <w:rsid w:val="00F738F0"/>
    <w:rsid w:val="00F739B9"/>
    <w:rsid w:val="00F73E34"/>
    <w:rsid w:val="00F73F74"/>
    <w:rsid w:val="00F743CF"/>
    <w:rsid w:val="00F74436"/>
    <w:rsid w:val="00F74587"/>
    <w:rsid w:val="00F74AE4"/>
    <w:rsid w:val="00F74B79"/>
    <w:rsid w:val="00F753D3"/>
    <w:rsid w:val="00F7548B"/>
    <w:rsid w:val="00F75B4C"/>
    <w:rsid w:val="00F75C4E"/>
    <w:rsid w:val="00F75D19"/>
    <w:rsid w:val="00F75F16"/>
    <w:rsid w:val="00F76170"/>
    <w:rsid w:val="00F76425"/>
    <w:rsid w:val="00F764CC"/>
    <w:rsid w:val="00F766F0"/>
    <w:rsid w:val="00F7672E"/>
    <w:rsid w:val="00F76A2B"/>
    <w:rsid w:val="00F76AB4"/>
    <w:rsid w:val="00F77440"/>
    <w:rsid w:val="00F77451"/>
    <w:rsid w:val="00F77475"/>
    <w:rsid w:val="00F77688"/>
    <w:rsid w:val="00F77843"/>
    <w:rsid w:val="00F77BFC"/>
    <w:rsid w:val="00F801D2"/>
    <w:rsid w:val="00F803B6"/>
    <w:rsid w:val="00F805D1"/>
    <w:rsid w:val="00F80CF8"/>
    <w:rsid w:val="00F814A7"/>
    <w:rsid w:val="00F8169C"/>
    <w:rsid w:val="00F816C6"/>
    <w:rsid w:val="00F8170B"/>
    <w:rsid w:val="00F81995"/>
    <w:rsid w:val="00F819BC"/>
    <w:rsid w:val="00F81C98"/>
    <w:rsid w:val="00F81D5E"/>
    <w:rsid w:val="00F81E78"/>
    <w:rsid w:val="00F82278"/>
    <w:rsid w:val="00F82317"/>
    <w:rsid w:val="00F823FF"/>
    <w:rsid w:val="00F829BD"/>
    <w:rsid w:val="00F8330B"/>
    <w:rsid w:val="00F83600"/>
    <w:rsid w:val="00F8375B"/>
    <w:rsid w:val="00F83E58"/>
    <w:rsid w:val="00F83FED"/>
    <w:rsid w:val="00F8401C"/>
    <w:rsid w:val="00F841B5"/>
    <w:rsid w:val="00F85AF9"/>
    <w:rsid w:val="00F85B57"/>
    <w:rsid w:val="00F85E5E"/>
    <w:rsid w:val="00F861C7"/>
    <w:rsid w:val="00F86416"/>
    <w:rsid w:val="00F86CC4"/>
    <w:rsid w:val="00F87B1C"/>
    <w:rsid w:val="00F87DCA"/>
    <w:rsid w:val="00F87E18"/>
    <w:rsid w:val="00F901B6"/>
    <w:rsid w:val="00F90403"/>
    <w:rsid w:val="00F90485"/>
    <w:rsid w:val="00F906E4"/>
    <w:rsid w:val="00F90926"/>
    <w:rsid w:val="00F90C40"/>
    <w:rsid w:val="00F91501"/>
    <w:rsid w:val="00F91D0C"/>
    <w:rsid w:val="00F91DB2"/>
    <w:rsid w:val="00F91F56"/>
    <w:rsid w:val="00F91F93"/>
    <w:rsid w:val="00F9258B"/>
    <w:rsid w:val="00F925E9"/>
    <w:rsid w:val="00F928F9"/>
    <w:rsid w:val="00F929A6"/>
    <w:rsid w:val="00F92A08"/>
    <w:rsid w:val="00F92C04"/>
    <w:rsid w:val="00F92FD0"/>
    <w:rsid w:val="00F93361"/>
    <w:rsid w:val="00F935E8"/>
    <w:rsid w:val="00F937F3"/>
    <w:rsid w:val="00F93955"/>
    <w:rsid w:val="00F94126"/>
    <w:rsid w:val="00F9428C"/>
    <w:rsid w:val="00F94A1D"/>
    <w:rsid w:val="00F94C22"/>
    <w:rsid w:val="00F94C62"/>
    <w:rsid w:val="00F94DF4"/>
    <w:rsid w:val="00F94F40"/>
    <w:rsid w:val="00F95286"/>
    <w:rsid w:val="00F9530A"/>
    <w:rsid w:val="00F95317"/>
    <w:rsid w:val="00F954EC"/>
    <w:rsid w:val="00F9570D"/>
    <w:rsid w:val="00F95D17"/>
    <w:rsid w:val="00F963A2"/>
    <w:rsid w:val="00F9696D"/>
    <w:rsid w:val="00F96D3A"/>
    <w:rsid w:val="00F96D79"/>
    <w:rsid w:val="00F96EA9"/>
    <w:rsid w:val="00F96FAC"/>
    <w:rsid w:val="00F97719"/>
    <w:rsid w:val="00F97998"/>
    <w:rsid w:val="00F97AC6"/>
    <w:rsid w:val="00F97C61"/>
    <w:rsid w:val="00F97D7C"/>
    <w:rsid w:val="00F97E53"/>
    <w:rsid w:val="00FA08DB"/>
    <w:rsid w:val="00FA0977"/>
    <w:rsid w:val="00FA0AAF"/>
    <w:rsid w:val="00FA0E60"/>
    <w:rsid w:val="00FA0F64"/>
    <w:rsid w:val="00FA126E"/>
    <w:rsid w:val="00FA1449"/>
    <w:rsid w:val="00FA14F4"/>
    <w:rsid w:val="00FA170E"/>
    <w:rsid w:val="00FA1995"/>
    <w:rsid w:val="00FA1A42"/>
    <w:rsid w:val="00FA1B1A"/>
    <w:rsid w:val="00FA1D1B"/>
    <w:rsid w:val="00FA1E45"/>
    <w:rsid w:val="00FA21E1"/>
    <w:rsid w:val="00FA2269"/>
    <w:rsid w:val="00FA29DF"/>
    <w:rsid w:val="00FA2BB9"/>
    <w:rsid w:val="00FA311D"/>
    <w:rsid w:val="00FA3294"/>
    <w:rsid w:val="00FA3357"/>
    <w:rsid w:val="00FA34F2"/>
    <w:rsid w:val="00FA3923"/>
    <w:rsid w:val="00FA3964"/>
    <w:rsid w:val="00FA4A0A"/>
    <w:rsid w:val="00FA4D8B"/>
    <w:rsid w:val="00FA5192"/>
    <w:rsid w:val="00FA56D9"/>
    <w:rsid w:val="00FA573B"/>
    <w:rsid w:val="00FA5862"/>
    <w:rsid w:val="00FA5E3E"/>
    <w:rsid w:val="00FA5E62"/>
    <w:rsid w:val="00FA6110"/>
    <w:rsid w:val="00FA621A"/>
    <w:rsid w:val="00FA636F"/>
    <w:rsid w:val="00FA6409"/>
    <w:rsid w:val="00FA69C1"/>
    <w:rsid w:val="00FA6B69"/>
    <w:rsid w:val="00FA6CE6"/>
    <w:rsid w:val="00FA6F5C"/>
    <w:rsid w:val="00FA753D"/>
    <w:rsid w:val="00FA7584"/>
    <w:rsid w:val="00FA7769"/>
    <w:rsid w:val="00FA7985"/>
    <w:rsid w:val="00FA7A10"/>
    <w:rsid w:val="00FA7BDD"/>
    <w:rsid w:val="00FA7D09"/>
    <w:rsid w:val="00FB0263"/>
    <w:rsid w:val="00FB08DA"/>
    <w:rsid w:val="00FB0A00"/>
    <w:rsid w:val="00FB0FA9"/>
    <w:rsid w:val="00FB0FDA"/>
    <w:rsid w:val="00FB1064"/>
    <w:rsid w:val="00FB10EA"/>
    <w:rsid w:val="00FB16F6"/>
    <w:rsid w:val="00FB1A06"/>
    <w:rsid w:val="00FB1BC0"/>
    <w:rsid w:val="00FB2339"/>
    <w:rsid w:val="00FB2392"/>
    <w:rsid w:val="00FB25CE"/>
    <w:rsid w:val="00FB279E"/>
    <w:rsid w:val="00FB2ECF"/>
    <w:rsid w:val="00FB31B1"/>
    <w:rsid w:val="00FB3260"/>
    <w:rsid w:val="00FB34A2"/>
    <w:rsid w:val="00FB34E4"/>
    <w:rsid w:val="00FB3671"/>
    <w:rsid w:val="00FB394B"/>
    <w:rsid w:val="00FB3B54"/>
    <w:rsid w:val="00FB3DE9"/>
    <w:rsid w:val="00FB3E6E"/>
    <w:rsid w:val="00FB3F21"/>
    <w:rsid w:val="00FB45D6"/>
    <w:rsid w:val="00FB468B"/>
    <w:rsid w:val="00FB485D"/>
    <w:rsid w:val="00FB4877"/>
    <w:rsid w:val="00FB48F7"/>
    <w:rsid w:val="00FB4D35"/>
    <w:rsid w:val="00FB4F39"/>
    <w:rsid w:val="00FB4FF3"/>
    <w:rsid w:val="00FB5630"/>
    <w:rsid w:val="00FB5B2D"/>
    <w:rsid w:val="00FB5C13"/>
    <w:rsid w:val="00FB60C4"/>
    <w:rsid w:val="00FB6111"/>
    <w:rsid w:val="00FB629C"/>
    <w:rsid w:val="00FB64C5"/>
    <w:rsid w:val="00FB660C"/>
    <w:rsid w:val="00FB69C0"/>
    <w:rsid w:val="00FB6BDF"/>
    <w:rsid w:val="00FB7254"/>
    <w:rsid w:val="00FB7565"/>
    <w:rsid w:val="00FB7BC2"/>
    <w:rsid w:val="00FC01CB"/>
    <w:rsid w:val="00FC037E"/>
    <w:rsid w:val="00FC0494"/>
    <w:rsid w:val="00FC0B55"/>
    <w:rsid w:val="00FC0BE6"/>
    <w:rsid w:val="00FC0CEF"/>
    <w:rsid w:val="00FC0E94"/>
    <w:rsid w:val="00FC136F"/>
    <w:rsid w:val="00FC1397"/>
    <w:rsid w:val="00FC1464"/>
    <w:rsid w:val="00FC16C2"/>
    <w:rsid w:val="00FC173A"/>
    <w:rsid w:val="00FC17B8"/>
    <w:rsid w:val="00FC190D"/>
    <w:rsid w:val="00FC1C95"/>
    <w:rsid w:val="00FC1D9C"/>
    <w:rsid w:val="00FC1E36"/>
    <w:rsid w:val="00FC1F7D"/>
    <w:rsid w:val="00FC246F"/>
    <w:rsid w:val="00FC2AF4"/>
    <w:rsid w:val="00FC2CCB"/>
    <w:rsid w:val="00FC2FEC"/>
    <w:rsid w:val="00FC378D"/>
    <w:rsid w:val="00FC392A"/>
    <w:rsid w:val="00FC3DA9"/>
    <w:rsid w:val="00FC408A"/>
    <w:rsid w:val="00FC43A6"/>
    <w:rsid w:val="00FC44B4"/>
    <w:rsid w:val="00FC4546"/>
    <w:rsid w:val="00FC4B22"/>
    <w:rsid w:val="00FC4BD4"/>
    <w:rsid w:val="00FC5498"/>
    <w:rsid w:val="00FC54E1"/>
    <w:rsid w:val="00FC550E"/>
    <w:rsid w:val="00FC561D"/>
    <w:rsid w:val="00FC58DA"/>
    <w:rsid w:val="00FC5A15"/>
    <w:rsid w:val="00FC5AC5"/>
    <w:rsid w:val="00FC5BF7"/>
    <w:rsid w:val="00FC5D8A"/>
    <w:rsid w:val="00FC601D"/>
    <w:rsid w:val="00FC63C3"/>
    <w:rsid w:val="00FC6A90"/>
    <w:rsid w:val="00FC6E58"/>
    <w:rsid w:val="00FC729A"/>
    <w:rsid w:val="00FC74A2"/>
    <w:rsid w:val="00FC75AF"/>
    <w:rsid w:val="00FC7629"/>
    <w:rsid w:val="00FC7A54"/>
    <w:rsid w:val="00FC7F95"/>
    <w:rsid w:val="00FD011A"/>
    <w:rsid w:val="00FD05ED"/>
    <w:rsid w:val="00FD0BDD"/>
    <w:rsid w:val="00FD0D9A"/>
    <w:rsid w:val="00FD0F0B"/>
    <w:rsid w:val="00FD112C"/>
    <w:rsid w:val="00FD13D3"/>
    <w:rsid w:val="00FD1439"/>
    <w:rsid w:val="00FD1721"/>
    <w:rsid w:val="00FD1CCB"/>
    <w:rsid w:val="00FD1D6D"/>
    <w:rsid w:val="00FD1EAF"/>
    <w:rsid w:val="00FD2938"/>
    <w:rsid w:val="00FD2B01"/>
    <w:rsid w:val="00FD2C36"/>
    <w:rsid w:val="00FD31A7"/>
    <w:rsid w:val="00FD3228"/>
    <w:rsid w:val="00FD3463"/>
    <w:rsid w:val="00FD3864"/>
    <w:rsid w:val="00FD3992"/>
    <w:rsid w:val="00FD3B89"/>
    <w:rsid w:val="00FD3DDE"/>
    <w:rsid w:val="00FD47BC"/>
    <w:rsid w:val="00FD47F2"/>
    <w:rsid w:val="00FD492F"/>
    <w:rsid w:val="00FD49C8"/>
    <w:rsid w:val="00FD4B37"/>
    <w:rsid w:val="00FD4CE3"/>
    <w:rsid w:val="00FD4DC3"/>
    <w:rsid w:val="00FD4FBF"/>
    <w:rsid w:val="00FD53C5"/>
    <w:rsid w:val="00FD57EA"/>
    <w:rsid w:val="00FD5D66"/>
    <w:rsid w:val="00FD5F45"/>
    <w:rsid w:val="00FD6323"/>
    <w:rsid w:val="00FD636A"/>
    <w:rsid w:val="00FD6577"/>
    <w:rsid w:val="00FD767F"/>
    <w:rsid w:val="00FD7690"/>
    <w:rsid w:val="00FD79AF"/>
    <w:rsid w:val="00FD7E60"/>
    <w:rsid w:val="00FD7F30"/>
    <w:rsid w:val="00FE027B"/>
    <w:rsid w:val="00FE04FC"/>
    <w:rsid w:val="00FE07FE"/>
    <w:rsid w:val="00FE0A4C"/>
    <w:rsid w:val="00FE0BF9"/>
    <w:rsid w:val="00FE121B"/>
    <w:rsid w:val="00FE1811"/>
    <w:rsid w:val="00FE1D56"/>
    <w:rsid w:val="00FE2029"/>
    <w:rsid w:val="00FE2907"/>
    <w:rsid w:val="00FE2D17"/>
    <w:rsid w:val="00FE2F4D"/>
    <w:rsid w:val="00FE30B4"/>
    <w:rsid w:val="00FE3140"/>
    <w:rsid w:val="00FE386B"/>
    <w:rsid w:val="00FE391B"/>
    <w:rsid w:val="00FE3A8B"/>
    <w:rsid w:val="00FE3BC7"/>
    <w:rsid w:val="00FE3E60"/>
    <w:rsid w:val="00FE40FF"/>
    <w:rsid w:val="00FE45A5"/>
    <w:rsid w:val="00FE4667"/>
    <w:rsid w:val="00FE4880"/>
    <w:rsid w:val="00FE4F36"/>
    <w:rsid w:val="00FE517A"/>
    <w:rsid w:val="00FE54E5"/>
    <w:rsid w:val="00FE5817"/>
    <w:rsid w:val="00FE5AE2"/>
    <w:rsid w:val="00FE5B20"/>
    <w:rsid w:val="00FE60E7"/>
    <w:rsid w:val="00FE614B"/>
    <w:rsid w:val="00FE66EB"/>
    <w:rsid w:val="00FE6700"/>
    <w:rsid w:val="00FE6DEF"/>
    <w:rsid w:val="00FE7161"/>
    <w:rsid w:val="00FE7DB6"/>
    <w:rsid w:val="00FE7FD1"/>
    <w:rsid w:val="00FF0262"/>
    <w:rsid w:val="00FF02D0"/>
    <w:rsid w:val="00FF02D5"/>
    <w:rsid w:val="00FF030B"/>
    <w:rsid w:val="00FF05D8"/>
    <w:rsid w:val="00FF05E7"/>
    <w:rsid w:val="00FF05F2"/>
    <w:rsid w:val="00FF08BB"/>
    <w:rsid w:val="00FF0DEE"/>
    <w:rsid w:val="00FF0EC7"/>
    <w:rsid w:val="00FF1440"/>
    <w:rsid w:val="00FF15F2"/>
    <w:rsid w:val="00FF1680"/>
    <w:rsid w:val="00FF18C9"/>
    <w:rsid w:val="00FF1F21"/>
    <w:rsid w:val="00FF2A53"/>
    <w:rsid w:val="00FF2A67"/>
    <w:rsid w:val="00FF2C1A"/>
    <w:rsid w:val="00FF35C4"/>
    <w:rsid w:val="00FF3659"/>
    <w:rsid w:val="00FF3ADD"/>
    <w:rsid w:val="00FF3DF8"/>
    <w:rsid w:val="00FF4055"/>
    <w:rsid w:val="00FF4174"/>
    <w:rsid w:val="00FF42F9"/>
    <w:rsid w:val="00FF4500"/>
    <w:rsid w:val="00FF4621"/>
    <w:rsid w:val="00FF47CA"/>
    <w:rsid w:val="00FF49D9"/>
    <w:rsid w:val="00FF595B"/>
    <w:rsid w:val="00FF5C7C"/>
    <w:rsid w:val="00FF5CAC"/>
    <w:rsid w:val="00FF5FBD"/>
    <w:rsid w:val="00FF64B0"/>
    <w:rsid w:val="00FF65B4"/>
    <w:rsid w:val="00FF67E1"/>
    <w:rsid w:val="00FF69E5"/>
    <w:rsid w:val="00FF6AE6"/>
    <w:rsid w:val="00FF6CB7"/>
    <w:rsid w:val="00FF6E0F"/>
    <w:rsid w:val="00FF72FF"/>
    <w:rsid w:val="00FF7450"/>
    <w:rsid w:val="00FF7733"/>
    <w:rsid w:val="00FF7AD4"/>
    <w:rsid w:val="00FF7AE5"/>
    <w:rsid w:val="00FF7C75"/>
    <w:rsid w:val="00FF7C8D"/>
    <w:rsid w:val="1584D2D0"/>
    <w:rsid w:val="4298D735"/>
    <w:rsid w:val="62F1693F"/>
    <w:rsid w:val="773BF71A"/>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style="mso-position-horizontal-relative:margin;mso-position-vertical-relative:margin;mso-width-percent:950;mso-height-percent:950" fillcolor="white">
      <v:fill color="white"/>
    </o:shapedefaults>
    <o:shapelayout v:ext="edit">
      <o:idmap v:ext="edit" data="1"/>
    </o:shapelayout>
  </w:shapeDefaults>
  <w:decimalSymbol w:val=","/>
  <w:listSeparator w:val=";"/>
  <w14:docId w14:val="5F340B7A"/>
  <w15:docId w15:val="{DA27B382-66A6-4819-8D24-146C34FAF15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Franklin Gothic Book" w:eastAsia="Franklin Gothic Book" w:hAnsi="Franklin Gothic Book" w:cs="Times New Roman"/>
        <w:lang w:val="pl-PL" w:eastAsia="pl-PL"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0" w:unhideWhenUsed="1"/>
    <w:lsdException w:name="toc 5" w:semiHidden="1" w:uiPriority="0" w:unhideWhenUsed="1"/>
    <w:lsdException w:name="toc 6" w:semiHidden="1" w:uiPriority="0" w:unhideWhenUsed="1"/>
    <w:lsdException w:name="toc 7" w:semiHidden="1" w:uiPriority="0" w:unhideWhenUsed="1"/>
    <w:lsdException w:name="toc 8" w:semiHidden="1" w:uiPriority="0" w:unhideWhenUsed="1"/>
    <w:lsdException w:name="toc 9" w:semiHidden="1" w:uiPriority="0"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iPriority="0"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ny">
    <w:name w:val="Normal"/>
    <w:qFormat/>
    <w:rsid w:val="00965220"/>
    <w:pPr>
      <w:spacing w:line="276" w:lineRule="auto"/>
      <w:ind w:firstLine="567"/>
      <w:jc w:val="both"/>
    </w:pPr>
    <w:rPr>
      <w:rFonts w:ascii="Arial" w:hAnsi="Arial"/>
      <w:szCs w:val="22"/>
      <w:lang w:eastAsia="en-US"/>
    </w:rPr>
  </w:style>
  <w:style w:type="paragraph" w:styleId="Nagwek1">
    <w:name w:val="heading 1"/>
    <w:basedOn w:val="Normalny"/>
    <w:next w:val="Normalny"/>
    <w:link w:val="Nagwek1Znak"/>
    <w:autoRedefine/>
    <w:uiPriority w:val="9"/>
    <w:qFormat/>
    <w:rsid w:val="00AE7988"/>
    <w:pPr>
      <w:keepNext/>
      <w:keepLines/>
      <w:numPr>
        <w:numId w:val="36"/>
      </w:numPr>
      <w:spacing w:after="240" w:line="240" w:lineRule="auto"/>
      <w:ind w:left="426" w:hanging="426"/>
      <w:jc w:val="center"/>
      <w:outlineLvl w:val="0"/>
    </w:pPr>
    <w:rPr>
      <w:rFonts w:eastAsia="MinionPro-Regular" w:cs="Arial"/>
      <w:b/>
      <w:color w:val="00007E"/>
      <w:sz w:val="24"/>
      <w:szCs w:val="16"/>
      <w:shd w:val="clear" w:color="auto" w:fill="FFFFFF"/>
    </w:rPr>
  </w:style>
  <w:style w:type="paragraph" w:styleId="Nagwek2">
    <w:name w:val="heading 2"/>
    <w:basedOn w:val="Normalny"/>
    <w:next w:val="Normalny"/>
    <w:link w:val="Nagwek2Znak"/>
    <w:autoRedefine/>
    <w:uiPriority w:val="9"/>
    <w:unhideWhenUsed/>
    <w:qFormat/>
    <w:rsid w:val="00AE7988"/>
    <w:pPr>
      <w:keepNext/>
      <w:keepLines/>
      <w:spacing w:before="160" w:after="120"/>
      <w:ind w:left="567" w:hanging="567"/>
      <w:jc w:val="center"/>
      <w:outlineLvl w:val="1"/>
    </w:pPr>
    <w:rPr>
      <w:rFonts w:eastAsia="Times New Roman"/>
      <w:b/>
      <w:bCs/>
      <w:color w:val="00007E"/>
      <w:sz w:val="22"/>
    </w:rPr>
  </w:style>
  <w:style w:type="paragraph" w:styleId="Nagwek3">
    <w:name w:val="heading 3"/>
    <w:basedOn w:val="Normalny"/>
    <w:next w:val="Normalny"/>
    <w:link w:val="Nagwek3Znak"/>
    <w:autoRedefine/>
    <w:unhideWhenUsed/>
    <w:qFormat/>
    <w:rsid w:val="00194CA4"/>
    <w:pPr>
      <w:keepNext/>
      <w:keepLines/>
      <w:spacing w:after="240" w:line="240" w:lineRule="auto"/>
      <w:ind w:firstLine="0"/>
      <w:jc w:val="center"/>
      <w:outlineLvl w:val="2"/>
    </w:pPr>
    <w:rPr>
      <w:rFonts w:eastAsia="MinionPro-Regular"/>
      <w:b/>
      <w:bCs/>
      <w:color w:val="00007E"/>
      <w:sz w:val="22"/>
    </w:rPr>
  </w:style>
  <w:style w:type="paragraph" w:styleId="Nagwek4">
    <w:name w:val="heading 4"/>
    <w:basedOn w:val="Normalny"/>
    <w:link w:val="Nagwek4Znak"/>
    <w:qFormat/>
    <w:rsid w:val="00555AC4"/>
    <w:pPr>
      <w:spacing w:before="100" w:beforeAutospacing="1" w:after="100" w:afterAutospacing="1" w:line="240" w:lineRule="auto"/>
      <w:ind w:firstLine="0"/>
      <w:outlineLvl w:val="3"/>
    </w:pPr>
    <w:rPr>
      <w:rFonts w:ascii="Times New Roman" w:eastAsia="Times New Roman" w:hAnsi="Times New Roman"/>
      <w:b/>
      <w:bCs/>
      <w:sz w:val="24"/>
      <w:szCs w:val="24"/>
    </w:rPr>
  </w:style>
  <w:style w:type="paragraph" w:styleId="Nagwek5">
    <w:name w:val="heading 5"/>
    <w:basedOn w:val="Normalny"/>
    <w:next w:val="Normalny"/>
    <w:link w:val="Nagwek5Znak"/>
    <w:unhideWhenUsed/>
    <w:qFormat/>
    <w:rsid w:val="00555AC4"/>
    <w:pPr>
      <w:keepNext/>
      <w:keepLines/>
      <w:spacing w:before="40"/>
      <w:ind w:firstLine="0"/>
      <w:outlineLvl w:val="4"/>
    </w:pPr>
    <w:rPr>
      <w:rFonts w:ascii="Cambria" w:eastAsia="Times New Roman" w:hAnsi="Cambria"/>
      <w:color w:val="404040"/>
    </w:rPr>
  </w:style>
  <w:style w:type="paragraph" w:styleId="Nagwek6">
    <w:name w:val="heading 6"/>
    <w:basedOn w:val="Normalny"/>
    <w:next w:val="Normalny"/>
    <w:link w:val="Nagwek6Znak"/>
    <w:uiPriority w:val="9"/>
    <w:unhideWhenUsed/>
    <w:qFormat/>
    <w:rsid w:val="00CA2080"/>
    <w:pPr>
      <w:keepNext/>
      <w:keepLines/>
      <w:spacing w:before="200" w:line="360" w:lineRule="auto"/>
      <w:ind w:firstLine="0"/>
      <w:contextualSpacing/>
      <w:outlineLvl w:val="5"/>
    </w:pPr>
    <w:rPr>
      <w:rFonts w:ascii="Cambria" w:eastAsia="Times New Roman" w:hAnsi="Cambria"/>
      <w:i/>
      <w:iCs/>
      <w:color w:val="243F60"/>
      <w:sz w:val="22"/>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customStyle="1" w:styleId="Nagwek1Znak">
    <w:name w:val="Nagłówek 1 Znak"/>
    <w:link w:val="Nagwek1"/>
    <w:uiPriority w:val="9"/>
    <w:rsid w:val="00AE7988"/>
    <w:rPr>
      <w:rFonts w:ascii="Arial" w:eastAsia="MinionPro-Regular" w:hAnsi="Arial" w:cs="Arial"/>
      <w:b/>
      <w:color w:val="00007E"/>
      <w:sz w:val="24"/>
      <w:szCs w:val="16"/>
      <w:lang w:eastAsia="en-US"/>
    </w:rPr>
  </w:style>
  <w:style w:type="character" w:customStyle="1" w:styleId="Nagwek2Znak">
    <w:name w:val="Nagłówek 2 Znak"/>
    <w:link w:val="Nagwek2"/>
    <w:uiPriority w:val="9"/>
    <w:rsid w:val="00AE7988"/>
    <w:rPr>
      <w:rFonts w:ascii="Arial" w:eastAsia="Times New Roman" w:hAnsi="Arial"/>
      <w:b/>
      <w:bCs/>
      <w:color w:val="00007E"/>
      <w:sz w:val="22"/>
      <w:szCs w:val="22"/>
      <w:lang w:eastAsia="en-US"/>
    </w:rPr>
  </w:style>
  <w:style w:type="character" w:customStyle="1" w:styleId="Nagwek3Znak">
    <w:name w:val="Nagłówek 3 Znak"/>
    <w:link w:val="Nagwek3"/>
    <w:rsid w:val="00194CA4"/>
    <w:rPr>
      <w:rFonts w:ascii="Arial" w:eastAsia="MinionPro-Regular" w:hAnsi="Arial"/>
      <w:b/>
      <w:bCs/>
      <w:color w:val="00007E"/>
      <w:sz w:val="22"/>
      <w:szCs w:val="22"/>
      <w:lang w:eastAsia="en-US"/>
    </w:rPr>
  </w:style>
  <w:style w:type="paragraph" w:styleId="Bezodstpw">
    <w:name w:val="No Spacing"/>
    <w:aliases w:val="Przypisy"/>
    <w:link w:val="BezodstpwZnak"/>
    <w:uiPriority w:val="1"/>
    <w:qFormat/>
    <w:rsid w:val="00771E06"/>
    <w:rPr>
      <w:rFonts w:eastAsia="Times New Roman"/>
      <w:sz w:val="22"/>
      <w:szCs w:val="22"/>
      <w:lang w:eastAsia="en-US"/>
    </w:rPr>
  </w:style>
  <w:style w:type="character" w:customStyle="1" w:styleId="BezodstpwZnak">
    <w:name w:val="Bez odstępów Znak"/>
    <w:aliases w:val="Przypisy Znak"/>
    <w:link w:val="Bezodstpw"/>
    <w:uiPriority w:val="1"/>
    <w:rsid w:val="00771E06"/>
    <w:rPr>
      <w:rFonts w:eastAsia="Times New Roman"/>
      <w:sz w:val="22"/>
      <w:szCs w:val="22"/>
      <w:lang w:val="pl-PL" w:eastAsia="en-US" w:bidi="ar-SA"/>
    </w:rPr>
  </w:style>
  <w:style w:type="paragraph" w:styleId="Tekstdymka">
    <w:name w:val="Balloon Text"/>
    <w:basedOn w:val="Normalny"/>
    <w:link w:val="TekstdymkaZnak"/>
    <w:uiPriority w:val="99"/>
    <w:unhideWhenUsed/>
    <w:rsid w:val="00771E06"/>
    <w:pPr>
      <w:spacing w:line="240" w:lineRule="auto"/>
    </w:pPr>
    <w:rPr>
      <w:rFonts w:ascii="Tahoma" w:hAnsi="Tahoma"/>
      <w:sz w:val="16"/>
      <w:szCs w:val="16"/>
    </w:rPr>
  </w:style>
  <w:style w:type="character" w:customStyle="1" w:styleId="TekstdymkaZnak">
    <w:name w:val="Tekst dymka Znak"/>
    <w:link w:val="Tekstdymka"/>
    <w:uiPriority w:val="99"/>
    <w:rsid w:val="00771E06"/>
    <w:rPr>
      <w:rFonts w:ascii="Tahoma" w:hAnsi="Tahoma" w:cs="Tahoma"/>
      <w:sz w:val="16"/>
      <w:szCs w:val="16"/>
    </w:rPr>
  </w:style>
  <w:style w:type="paragraph" w:styleId="Akapitzlist">
    <w:name w:val="List Paragraph"/>
    <w:aliases w:val="1.,L1,Numerowanie,BulletC,A_wyliczenie,K-P_odwolanie,Akapit z listą5,maz_wyliczenie,opis dzialania,Akapit z listą BS,Kolorowa lista — akcent 11,List Paragraph2,Dot pt,F5 List Paragraph,Recommendation,List Paragraph11"/>
    <w:basedOn w:val="Normalny"/>
    <w:link w:val="AkapitzlistZnak"/>
    <w:uiPriority w:val="34"/>
    <w:qFormat/>
    <w:rsid w:val="00ED0312"/>
    <w:pPr>
      <w:ind w:firstLine="0"/>
      <w:contextualSpacing/>
    </w:pPr>
  </w:style>
  <w:style w:type="character" w:customStyle="1" w:styleId="AkapitzlistZnak">
    <w:name w:val="Akapit z listą Znak"/>
    <w:aliases w:val="1. Znak,L1 Znak,Numerowanie Znak,BulletC Znak,A_wyliczenie Znak,K-P_odwolanie Znak,Akapit z listą5 Znak,maz_wyliczenie Znak,opis dzialania Znak,Akapit z listą BS Znak,Kolorowa lista — akcent 11 Znak,List Paragraph2 Znak,Dot pt Znak"/>
    <w:link w:val="Akapitzlist"/>
    <w:uiPriority w:val="34"/>
    <w:rsid w:val="00ED0312"/>
    <w:rPr>
      <w:rFonts w:ascii="Arial" w:hAnsi="Arial"/>
      <w:szCs w:val="22"/>
      <w:lang w:eastAsia="en-US"/>
    </w:rPr>
  </w:style>
  <w:style w:type="paragraph" w:styleId="Nagwek">
    <w:name w:val="header"/>
    <w:basedOn w:val="Normalny"/>
    <w:link w:val="NagwekZnak"/>
    <w:uiPriority w:val="99"/>
    <w:unhideWhenUsed/>
    <w:rsid w:val="005C7465"/>
    <w:pPr>
      <w:tabs>
        <w:tab w:val="center" w:pos="4536"/>
        <w:tab w:val="right" w:pos="9072"/>
      </w:tabs>
      <w:spacing w:line="240" w:lineRule="auto"/>
    </w:pPr>
  </w:style>
  <w:style w:type="character" w:customStyle="1" w:styleId="NagwekZnak">
    <w:name w:val="Nagłówek Znak"/>
    <w:basedOn w:val="Domylnaczcionkaakapitu"/>
    <w:link w:val="Nagwek"/>
    <w:uiPriority w:val="99"/>
    <w:rsid w:val="005C7465"/>
  </w:style>
  <w:style w:type="paragraph" w:styleId="Stopka">
    <w:name w:val="footer"/>
    <w:basedOn w:val="Normalny"/>
    <w:link w:val="StopkaZnak"/>
    <w:uiPriority w:val="99"/>
    <w:unhideWhenUsed/>
    <w:rsid w:val="005C7465"/>
    <w:pPr>
      <w:tabs>
        <w:tab w:val="center" w:pos="4536"/>
        <w:tab w:val="right" w:pos="9072"/>
      </w:tabs>
      <w:spacing w:line="240" w:lineRule="auto"/>
    </w:pPr>
  </w:style>
  <w:style w:type="character" w:customStyle="1" w:styleId="StopkaZnak">
    <w:name w:val="Stopka Znak"/>
    <w:basedOn w:val="Domylnaczcionkaakapitu"/>
    <w:link w:val="Stopka"/>
    <w:uiPriority w:val="99"/>
    <w:rsid w:val="005C7465"/>
  </w:style>
  <w:style w:type="paragraph" w:styleId="Tekstprzypisudolnego">
    <w:name w:val="footnote text"/>
    <w:aliases w:val="OM Footnote Text,OM Footnote Text1,Znak,single space,FOOTNOTES,fn,Podrozdział,Fußnote,Footnote,Podrozdzia3,przypis,Tekst przypisu,Tekst przypisu Znak Znak Znak Znak,Tekst przypisu Znak Znak Znak Znak Znak,Znak1,f,FT,ft, Znak"/>
    <w:basedOn w:val="Tekstprzypisudolnego1"/>
    <w:link w:val="TekstprzypisudolnegoZnak"/>
    <w:autoRedefine/>
    <w:uiPriority w:val="99"/>
    <w:unhideWhenUsed/>
    <w:qFormat/>
    <w:rsid w:val="005D7E1A"/>
    <w:rPr>
      <w:rFonts w:ascii="Arial" w:eastAsia="Calibri" w:hAnsi="Arial"/>
      <w:sz w:val="16"/>
      <w:szCs w:val="16"/>
      <w:u w:val="single"/>
      <w:lang w:val="en-GB"/>
    </w:rPr>
  </w:style>
  <w:style w:type="character" w:customStyle="1" w:styleId="TekstprzypisudolnegoZnak">
    <w:name w:val="Tekst przypisu dolnego Znak"/>
    <w:aliases w:val="OM Footnote Text Znak,OM Footnote Text1 Znak,Znak Znak,single space Znak,FOOTNOTES Znak,fn Znak,Podrozdział Znak,Fußnote Znak,Footnote Znak,Podrozdzia3 Znak,przypis Znak,Tekst przypisu Znak,Znak1 Znak,f Znak1,FT Znak,ft Znak"/>
    <w:link w:val="Tekstprzypisudolnego"/>
    <w:uiPriority w:val="99"/>
    <w:rsid w:val="005D7E1A"/>
    <w:rPr>
      <w:rFonts w:ascii="Arial" w:eastAsia="Calibri" w:hAnsi="Arial"/>
      <w:kern w:val="1"/>
      <w:sz w:val="16"/>
      <w:szCs w:val="16"/>
      <w:u w:val="single"/>
      <w:lang w:val="en-GB" w:eastAsia="en-US"/>
    </w:rPr>
  </w:style>
  <w:style w:type="character" w:styleId="Odwoanieprzypisudolnego">
    <w:name w:val="footnote reference"/>
    <w:aliases w:val="Footnote Reference Number,Odwołanie przypisu,Appel note de bas de p,Footnote symbol,Nota,BVI fnr,SUPERS,Footnote reference number,note TESI,Footnote Reference Superscript,EN Footnote Reference,Footnote number,FZ,Times 10 Point"/>
    <w:uiPriority w:val="99"/>
    <w:unhideWhenUsed/>
    <w:qFormat/>
    <w:rsid w:val="000C40BA"/>
    <w:rPr>
      <w:vertAlign w:val="superscript"/>
    </w:rPr>
  </w:style>
  <w:style w:type="paragraph" w:customStyle="1" w:styleId="Default">
    <w:name w:val="Default"/>
    <w:rsid w:val="000C40BA"/>
    <w:pPr>
      <w:autoSpaceDE w:val="0"/>
      <w:autoSpaceDN w:val="0"/>
      <w:adjustRightInd w:val="0"/>
    </w:pPr>
    <w:rPr>
      <w:rFonts w:ascii="Myriad Pro Light" w:eastAsia="Calibri" w:hAnsi="Myriad Pro Light" w:cs="Myriad Pro Light"/>
      <w:color w:val="000000"/>
      <w:sz w:val="24"/>
      <w:szCs w:val="24"/>
      <w:lang w:eastAsia="en-US"/>
    </w:rPr>
  </w:style>
  <w:style w:type="paragraph" w:styleId="Tekstpodstawowy2">
    <w:name w:val="Body Text 2"/>
    <w:basedOn w:val="Normalny"/>
    <w:link w:val="Tekstpodstawowy2Znak"/>
    <w:rsid w:val="000C40BA"/>
    <w:pPr>
      <w:spacing w:line="360" w:lineRule="auto"/>
    </w:pPr>
    <w:rPr>
      <w:rFonts w:eastAsia="Times New Roman"/>
      <w:sz w:val="26"/>
      <w:szCs w:val="20"/>
    </w:rPr>
  </w:style>
  <w:style w:type="character" w:customStyle="1" w:styleId="Tekstpodstawowy2Znak">
    <w:name w:val="Tekst podstawowy 2 Znak"/>
    <w:link w:val="Tekstpodstawowy2"/>
    <w:rsid w:val="000C40BA"/>
    <w:rPr>
      <w:rFonts w:ascii="Arial" w:eastAsia="Times New Roman" w:hAnsi="Arial"/>
      <w:sz w:val="26"/>
    </w:rPr>
  </w:style>
  <w:style w:type="paragraph" w:styleId="Tekstpodstawowy">
    <w:name w:val="Body Text"/>
    <w:basedOn w:val="Normalny"/>
    <w:link w:val="TekstpodstawowyZnak"/>
    <w:rsid w:val="000C40BA"/>
    <w:pPr>
      <w:spacing w:line="360" w:lineRule="auto"/>
    </w:pPr>
    <w:rPr>
      <w:rFonts w:eastAsia="Times New Roman"/>
      <w:sz w:val="24"/>
      <w:szCs w:val="24"/>
    </w:rPr>
  </w:style>
  <w:style w:type="character" w:customStyle="1" w:styleId="TekstpodstawowyZnak">
    <w:name w:val="Tekst podstawowy Znak"/>
    <w:link w:val="Tekstpodstawowy"/>
    <w:rsid w:val="000C40BA"/>
    <w:rPr>
      <w:rFonts w:ascii="Arial" w:eastAsia="Times New Roman" w:hAnsi="Arial" w:cs="Arial"/>
      <w:sz w:val="24"/>
      <w:szCs w:val="24"/>
    </w:rPr>
  </w:style>
  <w:style w:type="character" w:customStyle="1" w:styleId="TekstpodstawowywcityZnak">
    <w:name w:val="Tekst podstawowy wcięty Znak"/>
    <w:link w:val="Tekstpodstawowywcity"/>
    <w:rsid w:val="000C40BA"/>
    <w:rPr>
      <w:rFonts w:eastAsia="Times New Roman"/>
    </w:rPr>
  </w:style>
  <w:style w:type="paragraph" w:styleId="Tekstpodstawowywcity">
    <w:name w:val="Body Text Indent"/>
    <w:basedOn w:val="Normalny"/>
    <w:link w:val="TekstpodstawowywcityZnak"/>
    <w:unhideWhenUsed/>
    <w:rsid w:val="000C40BA"/>
    <w:pPr>
      <w:ind w:left="283"/>
    </w:pPr>
    <w:rPr>
      <w:rFonts w:ascii="Franklin Gothic Book" w:eastAsia="Times New Roman" w:hAnsi="Franklin Gothic Book"/>
      <w:szCs w:val="20"/>
    </w:rPr>
  </w:style>
  <w:style w:type="character" w:customStyle="1" w:styleId="TekstpodstawowywcityZnak1">
    <w:name w:val="Tekst podstawowy wcięty Znak1"/>
    <w:rsid w:val="000C40BA"/>
    <w:rPr>
      <w:sz w:val="22"/>
      <w:szCs w:val="22"/>
      <w:lang w:eastAsia="en-US"/>
    </w:rPr>
  </w:style>
  <w:style w:type="character" w:customStyle="1" w:styleId="TekstkomentarzaZnak">
    <w:name w:val="Tekst komentarza Znak"/>
    <w:link w:val="Tekstkomentarza"/>
    <w:uiPriority w:val="99"/>
    <w:rsid w:val="000C40BA"/>
    <w:rPr>
      <w:rFonts w:eastAsia="Times New Roman"/>
    </w:rPr>
  </w:style>
  <w:style w:type="paragraph" w:styleId="Tekstkomentarza">
    <w:name w:val="annotation text"/>
    <w:basedOn w:val="Normalny"/>
    <w:link w:val="TekstkomentarzaZnak"/>
    <w:uiPriority w:val="99"/>
    <w:unhideWhenUsed/>
    <w:rsid w:val="000C40BA"/>
    <w:pPr>
      <w:spacing w:line="240" w:lineRule="auto"/>
    </w:pPr>
    <w:rPr>
      <w:rFonts w:ascii="Franklin Gothic Book" w:eastAsia="Times New Roman" w:hAnsi="Franklin Gothic Book"/>
      <w:szCs w:val="20"/>
    </w:rPr>
  </w:style>
  <w:style w:type="character" w:customStyle="1" w:styleId="TekstkomentarzaZnak1">
    <w:name w:val="Tekst komentarza Znak1"/>
    <w:uiPriority w:val="99"/>
    <w:rsid w:val="000C40BA"/>
    <w:rPr>
      <w:lang w:eastAsia="en-US"/>
    </w:rPr>
  </w:style>
  <w:style w:type="character" w:customStyle="1" w:styleId="TematkomentarzaZnak">
    <w:name w:val="Temat komentarza Znak"/>
    <w:link w:val="Tematkomentarza"/>
    <w:uiPriority w:val="99"/>
    <w:rsid w:val="000C40BA"/>
    <w:rPr>
      <w:rFonts w:eastAsia="Times New Roman"/>
      <w:b/>
      <w:bCs/>
    </w:rPr>
  </w:style>
  <w:style w:type="paragraph" w:styleId="Tematkomentarza">
    <w:name w:val="annotation subject"/>
    <w:basedOn w:val="Tekstkomentarza"/>
    <w:next w:val="Tekstkomentarza"/>
    <w:link w:val="TematkomentarzaZnak"/>
    <w:uiPriority w:val="99"/>
    <w:unhideWhenUsed/>
    <w:rsid w:val="000C40BA"/>
    <w:rPr>
      <w:b/>
      <w:bCs/>
    </w:rPr>
  </w:style>
  <w:style w:type="character" w:customStyle="1" w:styleId="TematkomentarzaZnak1">
    <w:name w:val="Temat komentarza Znak1"/>
    <w:rsid w:val="000C40BA"/>
    <w:rPr>
      <w:b/>
      <w:bCs/>
      <w:lang w:eastAsia="en-US"/>
    </w:rPr>
  </w:style>
  <w:style w:type="paragraph" w:customStyle="1" w:styleId="Pa8">
    <w:name w:val="Pa8"/>
    <w:basedOn w:val="Default"/>
    <w:next w:val="Default"/>
    <w:rsid w:val="000C40BA"/>
    <w:pPr>
      <w:spacing w:line="181" w:lineRule="atLeast"/>
    </w:pPr>
    <w:rPr>
      <w:rFonts w:eastAsia="Times New Roman" w:cs="Times New Roman"/>
      <w:color w:val="auto"/>
      <w:lang w:eastAsia="pl-PL"/>
    </w:rPr>
  </w:style>
  <w:style w:type="table" w:styleId="Tabela-Siatka">
    <w:name w:val="Table Grid"/>
    <w:basedOn w:val="Standardowy"/>
    <w:uiPriority w:val="39"/>
    <w:rsid w:val="000C40BA"/>
    <w:rPr>
      <w:rFonts w:ascii="Tekst podstawowy" w:eastAsia="Calibri" w:hAnsi="Tekst podstawowy"/>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agwekspisutreci">
    <w:name w:val="TOC Heading"/>
    <w:basedOn w:val="Nagwek1"/>
    <w:next w:val="Normalny"/>
    <w:uiPriority w:val="39"/>
    <w:unhideWhenUsed/>
    <w:qFormat/>
    <w:rsid w:val="00265607"/>
    <w:pPr>
      <w:outlineLvl w:val="9"/>
    </w:pPr>
  </w:style>
  <w:style w:type="paragraph" w:styleId="Spistreci1">
    <w:name w:val="toc 1"/>
    <w:basedOn w:val="Normalny"/>
    <w:next w:val="Normalny"/>
    <w:autoRedefine/>
    <w:uiPriority w:val="39"/>
    <w:unhideWhenUsed/>
    <w:rsid w:val="00C817F6"/>
    <w:pPr>
      <w:tabs>
        <w:tab w:val="left" w:pos="284"/>
        <w:tab w:val="right" w:leader="dot" w:pos="8267"/>
      </w:tabs>
      <w:spacing w:before="60" w:after="60" w:line="360" w:lineRule="auto"/>
      <w:ind w:left="284" w:hanging="284"/>
    </w:pPr>
    <w:rPr>
      <w:rFonts w:cstheme="minorHAnsi"/>
      <w:b/>
      <w:bCs/>
      <w:noProof/>
    </w:rPr>
  </w:style>
  <w:style w:type="paragraph" w:styleId="Spistreci2">
    <w:name w:val="toc 2"/>
    <w:basedOn w:val="Normalny"/>
    <w:next w:val="Normalny"/>
    <w:autoRedefine/>
    <w:uiPriority w:val="39"/>
    <w:unhideWhenUsed/>
    <w:rsid w:val="00F5689B"/>
    <w:pPr>
      <w:tabs>
        <w:tab w:val="left" w:pos="709"/>
        <w:tab w:val="right" w:leader="dot" w:pos="8267"/>
      </w:tabs>
      <w:ind w:left="709" w:hanging="425"/>
    </w:pPr>
    <w:rPr>
      <w:rFonts w:asciiTheme="minorHAnsi" w:hAnsiTheme="minorHAnsi" w:cstheme="minorHAnsi"/>
      <w:b/>
      <w:bCs/>
      <w:smallCaps/>
      <w:sz w:val="22"/>
    </w:rPr>
  </w:style>
  <w:style w:type="paragraph" w:styleId="Spistreci3">
    <w:name w:val="toc 3"/>
    <w:basedOn w:val="Normalny"/>
    <w:next w:val="Normalny"/>
    <w:autoRedefine/>
    <w:uiPriority w:val="39"/>
    <w:unhideWhenUsed/>
    <w:rsid w:val="00554CF7"/>
    <w:pPr>
      <w:tabs>
        <w:tab w:val="left" w:pos="1276"/>
        <w:tab w:val="right" w:leader="dot" w:pos="8267"/>
      </w:tabs>
      <w:ind w:left="1276" w:hanging="567"/>
    </w:pPr>
    <w:rPr>
      <w:rFonts w:asciiTheme="minorHAnsi" w:hAnsiTheme="minorHAnsi" w:cstheme="minorHAnsi"/>
      <w:smallCaps/>
      <w:sz w:val="22"/>
    </w:rPr>
  </w:style>
  <w:style w:type="character" w:styleId="Hipercze">
    <w:name w:val="Hyperlink"/>
    <w:uiPriority w:val="99"/>
    <w:unhideWhenUsed/>
    <w:rsid w:val="00265607"/>
    <w:rPr>
      <w:color w:val="0000FF"/>
      <w:u w:val="single"/>
    </w:rPr>
  </w:style>
  <w:style w:type="character" w:styleId="Odwoaniedokomentarza">
    <w:name w:val="annotation reference"/>
    <w:uiPriority w:val="99"/>
    <w:unhideWhenUsed/>
    <w:rsid w:val="00265607"/>
    <w:rPr>
      <w:sz w:val="16"/>
      <w:szCs w:val="16"/>
    </w:rPr>
  </w:style>
  <w:style w:type="character" w:styleId="Odwoanieintensywne">
    <w:name w:val="Intense Reference"/>
    <w:uiPriority w:val="32"/>
    <w:qFormat/>
    <w:rsid w:val="00CA1CD0"/>
    <w:rPr>
      <w:rFonts w:ascii="Calibri" w:hAnsi="Calibri"/>
      <w:b/>
      <w:bCs/>
      <w:smallCaps/>
      <w:color w:val="auto"/>
      <w:spacing w:val="5"/>
      <w:sz w:val="18"/>
    </w:rPr>
  </w:style>
  <w:style w:type="character" w:styleId="Odwoaniedelikatne">
    <w:name w:val="Subtle Reference"/>
    <w:uiPriority w:val="31"/>
    <w:qFormat/>
    <w:rsid w:val="00CA1CD0"/>
    <w:rPr>
      <w:rFonts w:ascii="Calibri" w:hAnsi="Calibri"/>
      <w:smallCaps/>
      <w:color w:val="5A5A5A"/>
      <w:sz w:val="18"/>
    </w:rPr>
  </w:style>
  <w:style w:type="paragraph" w:customStyle="1" w:styleId="Przypis">
    <w:name w:val="Przypis"/>
    <w:basedOn w:val="Normalny"/>
    <w:link w:val="PrzypisZnak"/>
    <w:uiPriority w:val="99"/>
    <w:qFormat/>
    <w:rsid w:val="00860ADB"/>
    <w:pPr>
      <w:spacing w:line="240" w:lineRule="auto"/>
    </w:pPr>
    <w:rPr>
      <w:sz w:val="16"/>
      <w:szCs w:val="20"/>
    </w:rPr>
  </w:style>
  <w:style w:type="character" w:customStyle="1" w:styleId="PrzypisZnak">
    <w:name w:val="Przypis Znak"/>
    <w:link w:val="Przypis"/>
    <w:rsid w:val="00860ADB"/>
    <w:rPr>
      <w:rFonts w:ascii="Calibri" w:hAnsi="Calibri"/>
      <w:sz w:val="16"/>
      <w:lang w:eastAsia="en-US"/>
    </w:rPr>
  </w:style>
  <w:style w:type="paragraph" w:customStyle="1" w:styleId="Tyturystab">
    <w:name w:val="Tytuł rys./tab."/>
    <w:basedOn w:val="Normalny"/>
    <w:link w:val="TyturystabZnak"/>
    <w:qFormat/>
    <w:rsid w:val="002D3F90"/>
    <w:pPr>
      <w:spacing w:before="100"/>
      <w:ind w:firstLine="0"/>
      <w:jc w:val="center"/>
    </w:pPr>
    <w:rPr>
      <w:b/>
      <w:sz w:val="18"/>
      <w:szCs w:val="20"/>
    </w:rPr>
  </w:style>
  <w:style w:type="character" w:customStyle="1" w:styleId="TyturystabZnak">
    <w:name w:val="Tytuł rys./tab. Znak"/>
    <w:link w:val="Tyturystab"/>
    <w:rsid w:val="00CA1CD0"/>
    <w:rPr>
      <w:rFonts w:ascii="Calibri" w:hAnsi="Calibri"/>
      <w:b/>
      <w:sz w:val="18"/>
      <w:lang w:eastAsia="en-US"/>
    </w:rPr>
  </w:style>
  <w:style w:type="paragraph" w:styleId="Cytat">
    <w:name w:val="Quote"/>
    <w:basedOn w:val="Normalny"/>
    <w:next w:val="Normalny"/>
    <w:link w:val="CytatZnak"/>
    <w:uiPriority w:val="29"/>
    <w:qFormat/>
    <w:rsid w:val="00CA1CD0"/>
    <w:pPr>
      <w:spacing w:before="200" w:after="160"/>
      <w:ind w:left="862" w:right="862"/>
    </w:pPr>
    <w:rPr>
      <w:i/>
      <w:iCs/>
      <w:color w:val="404040"/>
    </w:rPr>
  </w:style>
  <w:style w:type="character" w:customStyle="1" w:styleId="CytatZnak">
    <w:name w:val="Cytat Znak"/>
    <w:link w:val="Cytat"/>
    <w:uiPriority w:val="29"/>
    <w:rsid w:val="00CA1CD0"/>
    <w:rPr>
      <w:rFonts w:ascii="Calibri" w:hAnsi="Calibri"/>
      <w:i/>
      <w:iCs/>
      <w:color w:val="404040"/>
      <w:szCs w:val="22"/>
      <w:lang w:eastAsia="en-US"/>
    </w:rPr>
  </w:style>
  <w:style w:type="paragraph" w:styleId="Legenda">
    <w:name w:val="caption"/>
    <w:aliases w:val="Legenda GORA"/>
    <w:basedOn w:val="Normalny"/>
    <w:next w:val="Normalny"/>
    <w:link w:val="LegendaZnak"/>
    <w:uiPriority w:val="35"/>
    <w:unhideWhenUsed/>
    <w:qFormat/>
    <w:rsid w:val="002E61DB"/>
    <w:pPr>
      <w:spacing w:after="60" w:line="240" w:lineRule="auto"/>
      <w:ind w:firstLine="0"/>
      <w:contextualSpacing/>
      <w:jc w:val="center"/>
    </w:pPr>
    <w:rPr>
      <w:rFonts w:eastAsia="Candara"/>
      <w:b/>
      <w:bCs/>
      <w:sz w:val="18"/>
      <w:szCs w:val="18"/>
    </w:rPr>
  </w:style>
  <w:style w:type="character" w:customStyle="1" w:styleId="LegendaZnak">
    <w:name w:val="Legenda Znak"/>
    <w:aliases w:val="Legenda GORA Znak"/>
    <w:link w:val="Legenda"/>
    <w:uiPriority w:val="35"/>
    <w:rsid w:val="002E61DB"/>
    <w:rPr>
      <w:rFonts w:ascii="Arial" w:eastAsia="Candara" w:hAnsi="Arial"/>
      <w:b/>
      <w:bCs/>
      <w:sz w:val="18"/>
      <w:szCs w:val="18"/>
      <w:lang w:eastAsia="en-US"/>
    </w:rPr>
  </w:style>
  <w:style w:type="paragraph" w:customStyle="1" w:styleId="Tabela">
    <w:name w:val="Tabela"/>
    <w:basedOn w:val="Normalny"/>
    <w:link w:val="TabelaZnak"/>
    <w:uiPriority w:val="99"/>
    <w:qFormat/>
    <w:rsid w:val="00375D9F"/>
    <w:pPr>
      <w:spacing w:line="240" w:lineRule="auto"/>
      <w:ind w:firstLine="0"/>
    </w:pPr>
    <w:rPr>
      <w:rFonts w:eastAsia="SimSun" w:cs="Mangal"/>
      <w:bCs/>
      <w:kern w:val="1"/>
      <w:szCs w:val="32"/>
      <w:lang w:eastAsia="hi-IN" w:bidi="hi-IN"/>
    </w:rPr>
  </w:style>
  <w:style w:type="character" w:customStyle="1" w:styleId="TabelaZnak">
    <w:name w:val="Tabela Znak"/>
    <w:link w:val="Tabela"/>
    <w:rsid w:val="00375D9F"/>
    <w:rPr>
      <w:rFonts w:ascii="Calibri" w:eastAsia="SimSun" w:hAnsi="Calibri" w:cs="Mangal"/>
      <w:bCs/>
      <w:kern w:val="1"/>
      <w:szCs w:val="32"/>
      <w:lang w:eastAsia="hi-IN" w:bidi="hi-IN"/>
    </w:rPr>
  </w:style>
  <w:style w:type="paragraph" w:styleId="Spisilustracji">
    <w:name w:val="table of figures"/>
    <w:basedOn w:val="Normalny"/>
    <w:next w:val="Normalny"/>
    <w:uiPriority w:val="99"/>
    <w:unhideWhenUsed/>
    <w:rsid w:val="00E278AA"/>
  </w:style>
  <w:style w:type="paragraph" w:customStyle="1" w:styleId="przypisy">
    <w:name w:val="przypisy"/>
    <w:basedOn w:val="NormalnyWeb"/>
    <w:link w:val="przypisyZnak"/>
    <w:rsid w:val="00574006"/>
    <w:pPr>
      <w:spacing w:line="240" w:lineRule="auto"/>
      <w:ind w:firstLine="357"/>
    </w:pPr>
    <w:rPr>
      <w:rFonts w:ascii="Cambria" w:eastAsia="Times New Roman" w:hAnsi="Cambria"/>
      <w:sz w:val="20"/>
      <w:szCs w:val="18"/>
    </w:rPr>
  </w:style>
  <w:style w:type="paragraph" w:styleId="NormalnyWeb">
    <w:name w:val="Normal (Web)"/>
    <w:basedOn w:val="Normalny"/>
    <w:uiPriority w:val="99"/>
    <w:unhideWhenUsed/>
    <w:rsid w:val="00574006"/>
    <w:rPr>
      <w:rFonts w:ascii="Times New Roman" w:hAnsi="Times New Roman"/>
      <w:sz w:val="24"/>
      <w:szCs w:val="24"/>
    </w:rPr>
  </w:style>
  <w:style w:type="character" w:customStyle="1" w:styleId="przypisyZnak">
    <w:name w:val="przypisy Znak"/>
    <w:link w:val="przypisy"/>
    <w:rsid w:val="00574006"/>
    <w:rPr>
      <w:rFonts w:ascii="Cambria" w:eastAsia="Times New Roman" w:hAnsi="Cambria"/>
      <w:szCs w:val="18"/>
    </w:rPr>
  </w:style>
  <w:style w:type="character" w:styleId="Pogrubienie">
    <w:name w:val="Strong"/>
    <w:aliases w:val="Tekst treści + 10,5 pt,Imię;nazwisko,Normalny + (Łaciński) Arial,11 pt,Kapitaliki"/>
    <w:uiPriority w:val="22"/>
    <w:qFormat/>
    <w:rsid w:val="00574006"/>
    <w:rPr>
      <w:b/>
      <w:bCs/>
    </w:rPr>
  </w:style>
  <w:style w:type="table" w:styleId="redniasiatka2akcent2">
    <w:name w:val="Medium Grid 2 Accent 2"/>
    <w:basedOn w:val="Standardowy"/>
    <w:uiPriority w:val="68"/>
    <w:rsid w:val="00574006"/>
    <w:pPr>
      <w:spacing w:before="40"/>
    </w:pPr>
    <w:rPr>
      <w:rFonts w:ascii="Cambria" w:eastAsia="Times New Roman" w:hAnsi="Cambria"/>
      <w:color w:val="000000"/>
    </w:rPr>
    <w:tblPr>
      <w:tblStyleRowBandSize w:val="1"/>
      <w:tblStyleColBandSize w:val="1"/>
      <w:jc w:val="center"/>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Pr>
    <w:trPr>
      <w:jc w:val="center"/>
    </w:trPr>
    <w:tcPr>
      <w:shd w:val="clear" w:color="auto" w:fill="EFD3D2"/>
      <w:vAlign w:val="center"/>
    </w:tcPr>
    <w:tblStylePr w:type="firstRow">
      <w:rPr>
        <w:b/>
        <w:bCs/>
        <w:color w:val="000000"/>
      </w:rPr>
      <w:tblPr/>
      <w:tcPr>
        <w:shd w:val="clear" w:color="auto" w:fill="F8EDED"/>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F2DBDB"/>
      </w:tcPr>
    </w:tblStylePr>
    <w:tblStylePr w:type="band1Vert">
      <w:tblPr/>
      <w:tcPr>
        <w:shd w:val="clear" w:color="auto" w:fill="DFA7A6"/>
      </w:tcPr>
    </w:tblStylePr>
    <w:tblStylePr w:type="band1Horz">
      <w:tblPr/>
      <w:tcPr>
        <w:tcBorders>
          <w:insideH w:val="single" w:sz="6" w:space="0" w:color="C0504D"/>
          <w:insideV w:val="single" w:sz="6" w:space="0" w:color="C0504D"/>
        </w:tcBorders>
        <w:shd w:val="clear" w:color="auto" w:fill="DFA7A6"/>
      </w:tcPr>
    </w:tblStylePr>
    <w:tblStylePr w:type="nwCell">
      <w:tblPr/>
      <w:tcPr>
        <w:shd w:val="clear" w:color="auto" w:fill="FFFFFF"/>
      </w:tcPr>
    </w:tblStylePr>
  </w:style>
  <w:style w:type="character" w:customStyle="1" w:styleId="TabelawykresZnak">
    <w:name w:val="Tabela/wykres Znak"/>
    <w:link w:val="Tabelawykres"/>
    <w:locked/>
    <w:rsid w:val="009F61DA"/>
    <w:rPr>
      <w:rFonts w:ascii="Calibri" w:eastAsia="Times New Roman" w:hAnsi="Calibri" w:cs="Cambria"/>
      <w:b/>
      <w:sz w:val="18"/>
    </w:rPr>
  </w:style>
  <w:style w:type="paragraph" w:customStyle="1" w:styleId="Tabelawykres">
    <w:name w:val="Tabela/wykres"/>
    <w:basedOn w:val="Bezodstpw"/>
    <w:link w:val="TabelawykresZnak"/>
    <w:qFormat/>
    <w:rsid w:val="009F61DA"/>
    <w:pPr>
      <w:spacing w:before="60" w:after="60" w:line="276" w:lineRule="auto"/>
      <w:jc w:val="center"/>
    </w:pPr>
    <w:rPr>
      <w:rFonts w:ascii="Calibri" w:hAnsi="Calibri"/>
      <w:b/>
      <w:sz w:val="18"/>
      <w:szCs w:val="20"/>
    </w:rPr>
  </w:style>
  <w:style w:type="character" w:customStyle="1" w:styleId="rdoZnak">
    <w:name w:val="Źródło_ Znak"/>
    <w:link w:val="rdo"/>
    <w:locked/>
    <w:rsid w:val="003B3EA5"/>
    <w:rPr>
      <w:rFonts w:ascii="Calibri" w:eastAsia="Times New Roman" w:hAnsi="Calibri" w:cs="Times New Roman"/>
      <w:bCs/>
      <w:sz w:val="18"/>
      <w:szCs w:val="28"/>
    </w:rPr>
  </w:style>
  <w:style w:type="paragraph" w:customStyle="1" w:styleId="rdo">
    <w:name w:val="Źródło_"/>
    <w:basedOn w:val="Normalny"/>
    <w:link w:val="rdoZnak"/>
    <w:qFormat/>
    <w:rsid w:val="003B3EA5"/>
    <w:pPr>
      <w:keepNext/>
      <w:keepLines/>
      <w:spacing w:line="240" w:lineRule="auto"/>
      <w:ind w:firstLine="0"/>
      <w:contextualSpacing/>
      <w:jc w:val="center"/>
      <w:outlineLvl w:val="0"/>
    </w:pPr>
    <w:rPr>
      <w:rFonts w:eastAsia="Times New Roman"/>
      <w:bCs/>
      <w:sz w:val="18"/>
      <w:szCs w:val="28"/>
    </w:rPr>
  </w:style>
  <w:style w:type="paragraph" w:customStyle="1" w:styleId="standardowy0">
    <w:name w:val="standardowy"/>
    <w:basedOn w:val="Normalny"/>
    <w:rsid w:val="00574006"/>
    <w:pPr>
      <w:spacing w:line="360" w:lineRule="auto"/>
      <w:ind w:firstLine="709"/>
    </w:pPr>
    <w:rPr>
      <w:rFonts w:ascii="Times New Roman" w:eastAsia="Times New Roman" w:hAnsi="Times New Roman"/>
      <w:bCs/>
      <w:sz w:val="24"/>
      <w:szCs w:val="24"/>
      <w:lang w:eastAsia="pl-PL"/>
    </w:rPr>
  </w:style>
  <w:style w:type="paragraph" w:customStyle="1" w:styleId="Wypunktowanie">
    <w:name w:val="Wypunktowanie"/>
    <w:basedOn w:val="Akapitzlist"/>
    <w:link w:val="WypunktowanieZnak"/>
    <w:qFormat/>
    <w:rsid w:val="00A82668"/>
    <w:pPr>
      <w:numPr>
        <w:numId w:val="1"/>
      </w:numPr>
      <w:spacing w:after="200"/>
    </w:pPr>
    <w:rPr>
      <w:rFonts w:ascii="Candara" w:eastAsia="Calibri" w:hAnsi="Candara"/>
      <w:sz w:val="24"/>
    </w:rPr>
  </w:style>
  <w:style w:type="character" w:customStyle="1" w:styleId="WypunktowanieZnak">
    <w:name w:val="Wypunktowanie Znak"/>
    <w:link w:val="Wypunktowanie"/>
    <w:rsid w:val="00A82668"/>
    <w:rPr>
      <w:rFonts w:ascii="Candara" w:eastAsia="Calibri" w:hAnsi="Candara"/>
      <w:sz w:val="24"/>
      <w:szCs w:val="22"/>
      <w:lang w:eastAsia="en-US"/>
    </w:rPr>
  </w:style>
  <w:style w:type="paragraph" w:styleId="Tekstprzypisukocowego">
    <w:name w:val="endnote text"/>
    <w:basedOn w:val="Normalny"/>
    <w:link w:val="TekstprzypisukocowegoZnak"/>
    <w:uiPriority w:val="99"/>
    <w:unhideWhenUsed/>
    <w:rsid w:val="00E2003D"/>
    <w:pPr>
      <w:spacing w:line="240" w:lineRule="auto"/>
    </w:pPr>
    <w:rPr>
      <w:szCs w:val="20"/>
    </w:rPr>
  </w:style>
  <w:style w:type="character" w:customStyle="1" w:styleId="TekstprzypisukocowegoZnak">
    <w:name w:val="Tekst przypisu końcowego Znak"/>
    <w:link w:val="Tekstprzypisukocowego"/>
    <w:uiPriority w:val="99"/>
    <w:rsid w:val="00E2003D"/>
    <w:rPr>
      <w:rFonts w:ascii="Calibri" w:hAnsi="Calibri"/>
      <w:lang w:eastAsia="en-US"/>
    </w:rPr>
  </w:style>
  <w:style w:type="character" w:styleId="Odwoanieprzypisukocowego">
    <w:name w:val="endnote reference"/>
    <w:uiPriority w:val="99"/>
    <w:unhideWhenUsed/>
    <w:rsid w:val="00E2003D"/>
    <w:rPr>
      <w:vertAlign w:val="superscript"/>
    </w:rPr>
  </w:style>
  <w:style w:type="table" w:customStyle="1" w:styleId="Siatkatabelijasna1">
    <w:name w:val="Siatka tabeli — jasna1"/>
    <w:basedOn w:val="Standardowy"/>
    <w:rsid w:val="0030564B"/>
    <w:rPr>
      <w:rFonts w:ascii="Calibri" w:eastAsia="Calibri" w:hAnsi="Calibri"/>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character" w:styleId="Uwydatnienie">
    <w:name w:val="Emphasis"/>
    <w:uiPriority w:val="20"/>
    <w:qFormat/>
    <w:rsid w:val="00C952C5"/>
    <w:rPr>
      <w:i/>
      <w:iCs/>
    </w:rPr>
  </w:style>
  <w:style w:type="paragraph" w:customStyle="1" w:styleId="dtz">
    <w:name w:val="dtz"/>
    <w:basedOn w:val="Normalny"/>
    <w:uiPriority w:val="99"/>
    <w:semiHidden/>
    <w:rsid w:val="00EC02C9"/>
    <w:pPr>
      <w:spacing w:before="100" w:beforeAutospacing="1" w:after="100" w:afterAutospacing="1" w:line="240" w:lineRule="auto"/>
      <w:ind w:firstLine="0"/>
    </w:pPr>
    <w:rPr>
      <w:rFonts w:ascii="Times New Roman" w:eastAsia="Times New Roman" w:hAnsi="Times New Roman"/>
      <w:sz w:val="24"/>
      <w:szCs w:val="24"/>
      <w:lang w:eastAsia="pl-PL"/>
    </w:rPr>
  </w:style>
  <w:style w:type="paragraph" w:customStyle="1" w:styleId="dtn">
    <w:name w:val="dtn"/>
    <w:basedOn w:val="Normalny"/>
    <w:uiPriority w:val="99"/>
    <w:semiHidden/>
    <w:rsid w:val="0088254B"/>
    <w:pPr>
      <w:spacing w:before="100" w:beforeAutospacing="1" w:after="100" w:afterAutospacing="1" w:line="240" w:lineRule="auto"/>
      <w:ind w:firstLine="0"/>
    </w:pPr>
    <w:rPr>
      <w:rFonts w:ascii="Times New Roman" w:eastAsia="Times New Roman" w:hAnsi="Times New Roman"/>
      <w:sz w:val="24"/>
      <w:szCs w:val="24"/>
      <w:lang w:eastAsia="pl-PL"/>
    </w:rPr>
  </w:style>
  <w:style w:type="paragraph" w:customStyle="1" w:styleId="dtu">
    <w:name w:val="dtu"/>
    <w:basedOn w:val="Normalny"/>
    <w:uiPriority w:val="99"/>
    <w:semiHidden/>
    <w:rsid w:val="0088254B"/>
    <w:pPr>
      <w:spacing w:before="100" w:beforeAutospacing="1" w:after="100" w:afterAutospacing="1" w:line="240" w:lineRule="auto"/>
      <w:ind w:firstLine="0"/>
    </w:pPr>
    <w:rPr>
      <w:rFonts w:ascii="Times New Roman" w:eastAsia="Times New Roman" w:hAnsi="Times New Roman"/>
      <w:sz w:val="24"/>
      <w:szCs w:val="24"/>
      <w:lang w:eastAsia="pl-PL"/>
    </w:rPr>
  </w:style>
  <w:style w:type="paragraph" w:styleId="Tekstpodstawowywcity3">
    <w:name w:val="Body Text Indent 3"/>
    <w:basedOn w:val="Normalny"/>
    <w:link w:val="Tekstpodstawowywcity3Znak"/>
    <w:uiPriority w:val="99"/>
    <w:rsid w:val="00565A0E"/>
    <w:pPr>
      <w:spacing w:line="240" w:lineRule="auto"/>
      <w:ind w:left="283" w:firstLine="0"/>
    </w:pPr>
    <w:rPr>
      <w:rFonts w:ascii="Times New Roman" w:eastAsia="Times New Roman" w:hAnsi="Times New Roman"/>
      <w:sz w:val="16"/>
      <w:szCs w:val="16"/>
    </w:rPr>
  </w:style>
  <w:style w:type="character" w:customStyle="1" w:styleId="Tekstpodstawowywcity3Znak">
    <w:name w:val="Tekst podstawowy wcięty 3 Znak"/>
    <w:link w:val="Tekstpodstawowywcity3"/>
    <w:uiPriority w:val="99"/>
    <w:rsid w:val="00565A0E"/>
    <w:rPr>
      <w:rFonts w:ascii="Times New Roman" w:eastAsia="Times New Roman" w:hAnsi="Times New Roman"/>
      <w:sz w:val="16"/>
      <w:szCs w:val="16"/>
    </w:rPr>
  </w:style>
  <w:style w:type="paragraph" w:styleId="Tekstblokowy">
    <w:name w:val="Block Text"/>
    <w:basedOn w:val="Normalny"/>
    <w:uiPriority w:val="99"/>
    <w:rsid w:val="00A22165"/>
    <w:pPr>
      <w:spacing w:line="360" w:lineRule="auto"/>
      <w:ind w:left="851" w:right="-284" w:firstLine="509"/>
    </w:pPr>
    <w:rPr>
      <w:rFonts w:ascii="Times New Roman" w:eastAsia="Times New Roman" w:hAnsi="Times New Roman"/>
      <w:sz w:val="22"/>
      <w:szCs w:val="20"/>
      <w:lang w:eastAsia="pl-PL"/>
    </w:rPr>
  </w:style>
  <w:style w:type="character" w:styleId="HTML-cytat">
    <w:name w:val="HTML Cite"/>
    <w:uiPriority w:val="99"/>
    <w:semiHidden/>
    <w:unhideWhenUsed/>
    <w:rsid w:val="000931A7"/>
    <w:rPr>
      <w:i/>
      <w:iCs/>
    </w:rPr>
  </w:style>
  <w:style w:type="paragraph" w:styleId="Tytu">
    <w:name w:val="Title"/>
    <w:basedOn w:val="Normalny"/>
    <w:next w:val="Normalny"/>
    <w:link w:val="TytuZnak"/>
    <w:uiPriority w:val="10"/>
    <w:qFormat/>
    <w:rsid w:val="00625EC5"/>
    <w:pPr>
      <w:pBdr>
        <w:bottom w:val="single" w:sz="8" w:space="4" w:color="4F81BD"/>
      </w:pBdr>
      <w:spacing w:before="60" w:after="300" w:line="240" w:lineRule="auto"/>
      <w:ind w:firstLine="0"/>
      <w:contextualSpacing/>
    </w:pPr>
    <w:rPr>
      <w:rFonts w:ascii="Cambria" w:eastAsia="Times New Roman" w:hAnsi="Cambria"/>
      <w:color w:val="17365D"/>
      <w:spacing w:val="5"/>
      <w:kern w:val="28"/>
      <w:sz w:val="52"/>
      <w:szCs w:val="52"/>
    </w:rPr>
  </w:style>
  <w:style w:type="character" w:customStyle="1" w:styleId="TytuZnak">
    <w:name w:val="Tytuł Znak"/>
    <w:link w:val="Tytu"/>
    <w:uiPriority w:val="10"/>
    <w:rsid w:val="00625EC5"/>
    <w:rPr>
      <w:rFonts w:ascii="Cambria" w:eastAsia="Times New Roman" w:hAnsi="Cambria" w:cs="Times New Roman"/>
      <w:color w:val="17365D"/>
      <w:spacing w:val="5"/>
      <w:kern w:val="28"/>
      <w:sz w:val="52"/>
      <w:szCs w:val="52"/>
      <w:lang w:eastAsia="en-US"/>
    </w:rPr>
  </w:style>
  <w:style w:type="table" w:customStyle="1" w:styleId="Kwestionariusz">
    <w:name w:val="Kwestionariusz"/>
    <w:basedOn w:val="Standardowy"/>
    <w:uiPriority w:val="99"/>
    <w:qFormat/>
    <w:rsid w:val="00625EC5"/>
    <w:rPr>
      <w:rFonts w:ascii="Calibri" w:eastAsia="Calibri" w:hAnsi="Calibri"/>
      <w:sz w:val="22"/>
      <w:szCs w:val="22"/>
      <w:lang w:eastAsia="en-US"/>
    </w:rPr>
    <w:tblPr/>
  </w:style>
  <w:style w:type="paragraph" w:customStyle="1" w:styleId="footnotetextPHPDOCX">
    <w:name w:val="footnote text PHPDOCX"/>
    <w:link w:val="footnotetextCarPHPDOCX"/>
    <w:uiPriority w:val="99"/>
    <w:semiHidden/>
    <w:unhideWhenUsed/>
    <w:rsid w:val="00625EC5"/>
    <w:rPr>
      <w:rFonts w:ascii="Calibri" w:eastAsia="Calibri" w:hAnsi="Calibri"/>
      <w:lang w:eastAsia="en-US"/>
    </w:rPr>
  </w:style>
  <w:style w:type="character" w:customStyle="1" w:styleId="footnotetextCarPHPDOCX">
    <w:name w:val="footnote text Car PHPDOCX"/>
    <w:link w:val="footnotetextPHPDOCX"/>
    <w:uiPriority w:val="99"/>
    <w:semiHidden/>
    <w:rsid w:val="00625EC5"/>
    <w:rPr>
      <w:rFonts w:ascii="Calibri" w:eastAsia="Calibri" w:hAnsi="Calibri"/>
      <w:lang w:eastAsia="en-US" w:bidi="ar-SA"/>
    </w:rPr>
  </w:style>
  <w:style w:type="character" w:customStyle="1" w:styleId="DefaultParagraphFontPHPDOCX">
    <w:name w:val="Default Paragraph Font PHPDOCX"/>
    <w:uiPriority w:val="1"/>
    <w:semiHidden/>
    <w:unhideWhenUsed/>
    <w:rsid w:val="00625EC5"/>
  </w:style>
  <w:style w:type="paragraph" w:customStyle="1" w:styleId="endnotetextPHPDOCX">
    <w:name w:val="endnote text PHPDOCX"/>
    <w:link w:val="endnotetextCarPHPDOCX"/>
    <w:uiPriority w:val="99"/>
    <w:semiHidden/>
    <w:unhideWhenUsed/>
    <w:rsid w:val="00625EC5"/>
    <w:rPr>
      <w:rFonts w:ascii="Calibri" w:eastAsia="Calibri" w:hAnsi="Calibri"/>
      <w:lang w:eastAsia="en-US"/>
    </w:rPr>
  </w:style>
  <w:style w:type="character" w:customStyle="1" w:styleId="endnotetextCarPHPDOCX">
    <w:name w:val="endnote text Car PHPDOCX"/>
    <w:link w:val="endnotetextPHPDOCX"/>
    <w:uiPriority w:val="99"/>
    <w:semiHidden/>
    <w:rsid w:val="00625EC5"/>
    <w:rPr>
      <w:rFonts w:ascii="Calibri" w:eastAsia="Calibri" w:hAnsi="Calibri"/>
      <w:lang w:eastAsia="en-US" w:bidi="ar-SA"/>
    </w:rPr>
  </w:style>
  <w:style w:type="paragraph" w:customStyle="1" w:styleId="ListParagraphPHPDOCX">
    <w:name w:val="List Paragraph PHPDOCX"/>
    <w:uiPriority w:val="34"/>
    <w:qFormat/>
    <w:rsid w:val="00625EC5"/>
    <w:pPr>
      <w:spacing w:after="200" w:line="276" w:lineRule="auto"/>
      <w:ind w:left="720"/>
      <w:contextualSpacing/>
    </w:pPr>
    <w:rPr>
      <w:rFonts w:ascii="Calibri" w:eastAsia="Calibri" w:hAnsi="Calibri"/>
      <w:sz w:val="22"/>
      <w:szCs w:val="22"/>
      <w:lang w:eastAsia="en-US"/>
    </w:rPr>
  </w:style>
  <w:style w:type="paragraph" w:styleId="Poprawka">
    <w:name w:val="Revision"/>
    <w:hidden/>
    <w:uiPriority w:val="99"/>
    <w:semiHidden/>
    <w:rsid w:val="00086193"/>
    <w:rPr>
      <w:rFonts w:ascii="Calibri" w:hAnsi="Calibri"/>
      <w:szCs w:val="22"/>
      <w:lang w:eastAsia="en-US"/>
    </w:rPr>
  </w:style>
  <w:style w:type="character" w:styleId="UyteHipercze">
    <w:name w:val="FollowedHyperlink"/>
    <w:uiPriority w:val="99"/>
    <w:unhideWhenUsed/>
    <w:rsid w:val="00004F31"/>
    <w:rPr>
      <w:color w:val="800080"/>
      <w:u w:val="single"/>
    </w:rPr>
  </w:style>
  <w:style w:type="paragraph" w:customStyle="1" w:styleId="Tekstrystab">
    <w:name w:val="Tekst_rys./tab."/>
    <w:basedOn w:val="Normalny"/>
    <w:link w:val="TekstrystabZnak"/>
    <w:qFormat/>
    <w:rsid w:val="004B2989"/>
    <w:pPr>
      <w:keepNext/>
      <w:keepLines/>
      <w:spacing w:line="288" w:lineRule="auto"/>
      <w:ind w:firstLine="0"/>
      <w:outlineLvl w:val="0"/>
    </w:pPr>
    <w:rPr>
      <w:rFonts w:eastAsia="Times New Roman"/>
      <w:bCs/>
      <w:sz w:val="16"/>
    </w:rPr>
  </w:style>
  <w:style w:type="character" w:customStyle="1" w:styleId="TekstrystabZnak">
    <w:name w:val="Tekst_rys./tab. Znak"/>
    <w:link w:val="Tekstrystab"/>
    <w:rsid w:val="004B2989"/>
    <w:rPr>
      <w:rFonts w:ascii="Calibri" w:eastAsia="Times New Roman" w:hAnsi="Calibri" w:cs="Times New Roman"/>
      <w:bCs/>
      <w:sz w:val="16"/>
      <w:szCs w:val="22"/>
      <w:lang w:eastAsia="en-US"/>
    </w:rPr>
  </w:style>
  <w:style w:type="table" w:customStyle="1" w:styleId="Siatkatabelijasna2">
    <w:name w:val="Siatka tabeli — jasna2"/>
    <w:basedOn w:val="Standardowy"/>
    <w:uiPriority w:val="40"/>
    <w:rsid w:val="004B2989"/>
    <w:rPr>
      <w:rFonts w:ascii="Calibri" w:eastAsia="Calibri" w:hAnsi="Calibri"/>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paragraph" w:styleId="Spistreci4">
    <w:name w:val="toc 4"/>
    <w:basedOn w:val="Normalny"/>
    <w:next w:val="Normalny"/>
    <w:autoRedefine/>
    <w:unhideWhenUsed/>
    <w:rsid w:val="007562EC"/>
    <w:pPr>
      <w:ind w:firstLine="0"/>
    </w:pPr>
    <w:rPr>
      <w:rFonts w:asciiTheme="minorHAnsi" w:hAnsiTheme="minorHAnsi" w:cstheme="minorHAnsi"/>
      <w:sz w:val="22"/>
    </w:rPr>
  </w:style>
  <w:style w:type="paragraph" w:styleId="Spistreci5">
    <w:name w:val="toc 5"/>
    <w:basedOn w:val="Normalny"/>
    <w:next w:val="Normalny"/>
    <w:autoRedefine/>
    <w:unhideWhenUsed/>
    <w:rsid w:val="007562EC"/>
    <w:pPr>
      <w:ind w:firstLine="0"/>
    </w:pPr>
    <w:rPr>
      <w:rFonts w:asciiTheme="minorHAnsi" w:hAnsiTheme="minorHAnsi" w:cstheme="minorHAnsi"/>
      <w:sz w:val="22"/>
    </w:rPr>
  </w:style>
  <w:style w:type="paragraph" w:styleId="Spistreci6">
    <w:name w:val="toc 6"/>
    <w:basedOn w:val="Normalny"/>
    <w:next w:val="Normalny"/>
    <w:autoRedefine/>
    <w:unhideWhenUsed/>
    <w:rsid w:val="007562EC"/>
    <w:pPr>
      <w:ind w:firstLine="0"/>
    </w:pPr>
    <w:rPr>
      <w:rFonts w:asciiTheme="minorHAnsi" w:hAnsiTheme="minorHAnsi" w:cstheme="minorHAnsi"/>
      <w:sz w:val="22"/>
    </w:rPr>
  </w:style>
  <w:style w:type="paragraph" w:styleId="Spistreci7">
    <w:name w:val="toc 7"/>
    <w:basedOn w:val="Normalny"/>
    <w:next w:val="Normalny"/>
    <w:autoRedefine/>
    <w:unhideWhenUsed/>
    <w:rsid w:val="007562EC"/>
    <w:pPr>
      <w:ind w:firstLine="0"/>
    </w:pPr>
    <w:rPr>
      <w:rFonts w:asciiTheme="minorHAnsi" w:hAnsiTheme="minorHAnsi" w:cstheme="minorHAnsi"/>
      <w:sz w:val="22"/>
    </w:rPr>
  </w:style>
  <w:style w:type="paragraph" w:styleId="Spistreci8">
    <w:name w:val="toc 8"/>
    <w:basedOn w:val="Normalny"/>
    <w:next w:val="Normalny"/>
    <w:autoRedefine/>
    <w:unhideWhenUsed/>
    <w:rsid w:val="007562EC"/>
    <w:pPr>
      <w:ind w:firstLine="0"/>
    </w:pPr>
    <w:rPr>
      <w:rFonts w:asciiTheme="minorHAnsi" w:hAnsiTheme="minorHAnsi" w:cstheme="minorHAnsi"/>
      <w:sz w:val="22"/>
    </w:rPr>
  </w:style>
  <w:style w:type="paragraph" w:styleId="Spistreci9">
    <w:name w:val="toc 9"/>
    <w:basedOn w:val="Normalny"/>
    <w:next w:val="Normalny"/>
    <w:autoRedefine/>
    <w:unhideWhenUsed/>
    <w:rsid w:val="007562EC"/>
    <w:pPr>
      <w:ind w:firstLine="0"/>
    </w:pPr>
    <w:rPr>
      <w:rFonts w:asciiTheme="minorHAnsi" w:hAnsiTheme="minorHAnsi" w:cstheme="minorHAnsi"/>
      <w:sz w:val="22"/>
    </w:rPr>
  </w:style>
  <w:style w:type="character" w:customStyle="1" w:styleId="Nagwek6Znak">
    <w:name w:val="Nagłówek 6 Znak"/>
    <w:link w:val="Nagwek6"/>
    <w:uiPriority w:val="9"/>
    <w:rsid w:val="00CA2080"/>
    <w:rPr>
      <w:rFonts w:ascii="Cambria" w:eastAsia="Times New Roman" w:hAnsi="Cambria"/>
      <w:i/>
      <w:iCs/>
      <w:color w:val="243F60"/>
      <w:sz w:val="22"/>
      <w:szCs w:val="22"/>
      <w:lang w:eastAsia="en-US"/>
    </w:rPr>
  </w:style>
  <w:style w:type="paragraph" w:styleId="HTML-adres">
    <w:name w:val="HTML Address"/>
    <w:basedOn w:val="Normalny"/>
    <w:link w:val="HTML-adresZnak"/>
    <w:uiPriority w:val="99"/>
    <w:semiHidden/>
    <w:unhideWhenUsed/>
    <w:rsid w:val="00CA2080"/>
    <w:pPr>
      <w:spacing w:line="240" w:lineRule="auto"/>
      <w:ind w:firstLine="0"/>
    </w:pPr>
    <w:rPr>
      <w:rFonts w:ascii="Times New Roman" w:eastAsia="Times New Roman" w:hAnsi="Times New Roman"/>
      <w:i/>
      <w:iCs/>
      <w:sz w:val="24"/>
      <w:szCs w:val="24"/>
    </w:rPr>
  </w:style>
  <w:style w:type="character" w:customStyle="1" w:styleId="HTML-adresZnak">
    <w:name w:val="HTML - adres Znak"/>
    <w:link w:val="HTML-adres"/>
    <w:uiPriority w:val="99"/>
    <w:semiHidden/>
    <w:rsid w:val="00CA2080"/>
    <w:rPr>
      <w:rFonts w:ascii="Times New Roman" w:eastAsia="Times New Roman" w:hAnsi="Times New Roman"/>
      <w:i/>
      <w:iCs/>
      <w:sz w:val="24"/>
      <w:szCs w:val="24"/>
    </w:rPr>
  </w:style>
  <w:style w:type="character" w:customStyle="1" w:styleId="Nagwek4Znak">
    <w:name w:val="Nagłówek 4 Znak"/>
    <w:link w:val="Nagwek4"/>
    <w:rsid w:val="00555AC4"/>
    <w:rPr>
      <w:rFonts w:ascii="Times New Roman" w:eastAsia="Times New Roman" w:hAnsi="Times New Roman"/>
      <w:b/>
      <w:bCs/>
      <w:sz w:val="24"/>
      <w:szCs w:val="24"/>
    </w:rPr>
  </w:style>
  <w:style w:type="character" w:customStyle="1" w:styleId="Nagwek5Znak">
    <w:name w:val="Nagłówek 5 Znak"/>
    <w:link w:val="Nagwek5"/>
    <w:rsid w:val="00555AC4"/>
    <w:rPr>
      <w:rFonts w:ascii="Cambria" w:eastAsia="Times New Roman" w:hAnsi="Cambria"/>
      <w:color w:val="404040"/>
      <w:szCs w:val="22"/>
      <w:lang w:eastAsia="en-US"/>
    </w:rPr>
  </w:style>
  <w:style w:type="paragraph" w:customStyle="1" w:styleId="Poprawka1">
    <w:name w:val="Poprawka1"/>
    <w:hidden/>
    <w:rsid w:val="00555AC4"/>
    <w:rPr>
      <w:rFonts w:ascii="Times New Roman" w:eastAsia="Times New Roman" w:hAnsi="Times New Roman"/>
      <w:sz w:val="24"/>
      <w:szCs w:val="24"/>
      <w:lang w:eastAsia="en-US"/>
    </w:rPr>
  </w:style>
  <w:style w:type="paragraph" w:customStyle="1" w:styleId="Nagwekspisutreci1">
    <w:name w:val="Nagłówek spisu treści1"/>
    <w:basedOn w:val="Nagwek1"/>
    <w:next w:val="Normalny"/>
    <w:rsid w:val="00555AC4"/>
    <w:pPr>
      <w:shd w:val="clear" w:color="auto" w:fill="92D050"/>
      <w:outlineLvl w:val="9"/>
    </w:pPr>
    <w:rPr>
      <w:rFonts w:ascii="Cambria" w:hAnsi="Cambria"/>
      <w:bCs/>
      <w:color w:val="365F91"/>
      <w:sz w:val="28"/>
      <w:lang w:val="en-US"/>
    </w:rPr>
  </w:style>
  <w:style w:type="paragraph" w:styleId="Podtytu">
    <w:name w:val="Subtitle"/>
    <w:basedOn w:val="Normalny"/>
    <w:next w:val="Normalny"/>
    <w:link w:val="PodtytuZnak"/>
    <w:qFormat/>
    <w:rsid w:val="00555AC4"/>
    <w:pPr>
      <w:spacing w:after="60" w:line="240" w:lineRule="auto"/>
      <w:ind w:firstLine="0"/>
      <w:jc w:val="center"/>
      <w:outlineLvl w:val="1"/>
    </w:pPr>
    <w:rPr>
      <w:rFonts w:ascii="Cambria" w:eastAsia="Times New Roman" w:hAnsi="Cambria"/>
      <w:sz w:val="24"/>
      <w:szCs w:val="20"/>
      <w:lang w:val="en-US"/>
    </w:rPr>
  </w:style>
  <w:style w:type="character" w:customStyle="1" w:styleId="PodtytuZnak">
    <w:name w:val="Podtytuł Znak"/>
    <w:link w:val="Podtytu"/>
    <w:rsid w:val="00555AC4"/>
    <w:rPr>
      <w:rFonts w:ascii="Cambria" w:eastAsia="Times New Roman" w:hAnsi="Cambria"/>
      <w:sz w:val="24"/>
      <w:lang w:val="en-US" w:eastAsia="en-US"/>
    </w:rPr>
  </w:style>
  <w:style w:type="paragraph" w:customStyle="1" w:styleId="Poprawka2">
    <w:name w:val="Poprawka2"/>
    <w:hidden/>
    <w:rsid w:val="00555AC4"/>
    <w:rPr>
      <w:rFonts w:ascii="Times New Roman" w:eastAsia="Times New Roman" w:hAnsi="Times New Roman"/>
      <w:sz w:val="24"/>
      <w:szCs w:val="24"/>
      <w:lang w:eastAsia="en-US"/>
    </w:rPr>
  </w:style>
  <w:style w:type="paragraph" w:styleId="HTML-wstpniesformatowany">
    <w:name w:val="HTML Preformatted"/>
    <w:basedOn w:val="Normalny"/>
    <w:link w:val="HTML-wstpniesformatowanyZnak"/>
    <w:uiPriority w:val="99"/>
    <w:rsid w:val="00555AC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pPr>
    <w:rPr>
      <w:rFonts w:ascii="Courier New" w:eastAsia="Times New Roman" w:hAnsi="Courier New"/>
      <w:szCs w:val="20"/>
      <w:lang w:val="en-US"/>
    </w:rPr>
  </w:style>
  <w:style w:type="character" w:customStyle="1" w:styleId="HTML-wstpniesformatowanyZnak">
    <w:name w:val="HTML - wstępnie sformatowany Znak"/>
    <w:link w:val="HTML-wstpniesformatowany"/>
    <w:uiPriority w:val="99"/>
    <w:rsid w:val="00555AC4"/>
    <w:rPr>
      <w:rFonts w:ascii="Courier New" w:eastAsia="Times New Roman" w:hAnsi="Courier New"/>
      <w:lang w:val="en-US" w:eastAsia="en-US"/>
    </w:rPr>
  </w:style>
  <w:style w:type="paragraph" w:customStyle="1" w:styleId="tekstpodstawowy0">
    <w:name w:val="tekst podstawowy"/>
    <w:basedOn w:val="Normalny"/>
    <w:link w:val="tekstpodstawowyZnak0"/>
    <w:rsid w:val="00555AC4"/>
    <w:pPr>
      <w:spacing w:line="240" w:lineRule="auto"/>
      <w:ind w:firstLine="0"/>
    </w:pPr>
    <w:rPr>
      <w:rFonts w:ascii="Times New Roman" w:eastAsia="Times New Roman" w:hAnsi="Times New Roman"/>
      <w:sz w:val="22"/>
      <w:szCs w:val="20"/>
      <w:lang w:val="en-US"/>
    </w:rPr>
  </w:style>
  <w:style w:type="character" w:customStyle="1" w:styleId="tekstpodstawowyZnak0">
    <w:name w:val="tekst podstawowy Znak"/>
    <w:link w:val="tekstpodstawowy0"/>
    <w:locked/>
    <w:rsid w:val="00555AC4"/>
    <w:rPr>
      <w:rFonts w:ascii="Times New Roman" w:eastAsia="Times New Roman" w:hAnsi="Times New Roman"/>
      <w:sz w:val="22"/>
      <w:lang w:val="en-US" w:eastAsia="en-US"/>
    </w:rPr>
  </w:style>
  <w:style w:type="paragraph" w:customStyle="1" w:styleId="Poprawka3">
    <w:name w:val="Poprawka3"/>
    <w:hidden/>
    <w:rsid w:val="00555AC4"/>
    <w:rPr>
      <w:rFonts w:ascii="Times New Roman" w:eastAsia="Times New Roman" w:hAnsi="Times New Roman"/>
      <w:sz w:val="24"/>
      <w:szCs w:val="24"/>
      <w:lang w:eastAsia="en-US"/>
    </w:rPr>
  </w:style>
  <w:style w:type="paragraph" w:customStyle="1" w:styleId="Revision1">
    <w:name w:val="Revision1"/>
    <w:hidden/>
    <w:rsid w:val="00555AC4"/>
    <w:rPr>
      <w:rFonts w:ascii="Times New Roman" w:eastAsia="Times New Roman" w:hAnsi="Times New Roman"/>
      <w:sz w:val="24"/>
      <w:szCs w:val="24"/>
      <w:lang w:eastAsia="en-US"/>
    </w:rPr>
  </w:style>
  <w:style w:type="table" w:customStyle="1" w:styleId="Jasnasiatkaakcent11">
    <w:name w:val="Jasna siatka — akcent 11"/>
    <w:basedOn w:val="Standardowy"/>
    <w:uiPriority w:val="62"/>
    <w:rsid w:val="00581753"/>
    <w:rPr>
      <w:rFonts w:ascii="Calibri" w:eastAsia="Calibri" w:hAnsi="Calibri"/>
      <w:sz w:val="22"/>
      <w:szCs w:val="22"/>
      <w:lang w:eastAsia="en-US"/>
    </w:rPr>
    <w:tblPr>
      <w:tblStyleRowBandSize w:val="1"/>
      <w:tblStyleColBandSize w:val="1"/>
      <w:tblBorders>
        <w:top w:val="single" w:sz="8" w:space="0" w:color="5B9BD5"/>
        <w:left w:val="single" w:sz="8" w:space="0" w:color="5B9BD5"/>
        <w:bottom w:val="single" w:sz="8" w:space="0" w:color="5B9BD5"/>
        <w:right w:val="single" w:sz="8" w:space="0" w:color="5B9BD5"/>
        <w:insideH w:val="single" w:sz="8" w:space="0" w:color="5B9BD5"/>
        <w:insideV w:val="single" w:sz="8" w:space="0" w:color="5B9BD5"/>
      </w:tblBorders>
    </w:tblPr>
    <w:tblStylePr w:type="firstRow">
      <w:pPr>
        <w:spacing w:before="0" w:after="0" w:line="240" w:lineRule="auto"/>
      </w:pPr>
      <w:rPr>
        <w:rFonts w:ascii="Bahnschrift Light Condensed" w:eastAsia="Times New Roman" w:hAnsi="Bahnschrift Light Condensed" w:cs="Times New Roman"/>
        <w:b/>
        <w:bCs/>
      </w:rPr>
      <w:tblPr/>
      <w:tcPr>
        <w:tcBorders>
          <w:top w:val="single" w:sz="8" w:space="0" w:color="5B9BD5"/>
          <w:left w:val="single" w:sz="8" w:space="0" w:color="5B9BD5"/>
          <w:bottom w:val="single" w:sz="18" w:space="0" w:color="5B9BD5"/>
          <w:right w:val="single" w:sz="8" w:space="0" w:color="5B9BD5"/>
          <w:insideH w:val="nil"/>
          <w:insideV w:val="single" w:sz="8" w:space="0" w:color="5B9BD5"/>
        </w:tcBorders>
      </w:tcPr>
    </w:tblStylePr>
    <w:tblStylePr w:type="lastRow">
      <w:pPr>
        <w:spacing w:before="0" w:after="0" w:line="240" w:lineRule="auto"/>
      </w:pPr>
      <w:rPr>
        <w:rFonts w:ascii="Bahnschrift Light Condensed" w:eastAsia="Times New Roman" w:hAnsi="Bahnschrift Light Condensed" w:cs="Times New Roman"/>
        <w:b/>
        <w:bCs/>
      </w:rPr>
      <w:tblPr/>
      <w:tcPr>
        <w:tcBorders>
          <w:top w:val="double" w:sz="6" w:space="0" w:color="5B9BD5"/>
          <w:left w:val="single" w:sz="8" w:space="0" w:color="5B9BD5"/>
          <w:bottom w:val="single" w:sz="8" w:space="0" w:color="5B9BD5"/>
          <w:right w:val="single" w:sz="8" w:space="0" w:color="5B9BD5"/>
          <w:insideH w:val="nil"/>
          <w:insideV w:val="single" w:sz="8" w:space="0" w:color="5B9BD5"/>
        </w:tcBorders>
      </w:tcPr>
    </w:tblStylePr>
    <w:tblStylePr w:type="firstCol">
      <w:rPr>
        <w:rFonts w:ascii="Bahnschrift Light Condensed" w:eastAsia="Times New Roman" w:hAnsi="Bahnschrift Light Condensed" w:cs="Times New Roman"/>
        <w:b/>
        <w:bCs/>
      </w:rPr>
    </w:tblStylePr>
    <w:tblStylePr w:type="lastCol">
      <w:rPr>
        <w:rFonts w:ascii="Bahnschrift Light Condensed" w:eastAsia="Times New Roman" w:hAnsi="Bahnschrift Light Condensed" w:cs="Times New Roman"/>
        <w:b/>
        <w:bCs/>
      </w:rPr>
      <w:tblPr/>
      <w:tcPr>
        <w:tcBorders>
          <w:top w:val="single" w:sz="8" w:space="0" w:color="5B9BD5"/>
          <w:left w:val="single" w:sz="8" w:space="0" w:color="5B9BD5"/>
          <w:bottom w:val="single" w:sz="8" w:space="0" w:color="5B9BD5"/>
          <w:right w:val="single" w:sz="8" w:space="0" w:color="5B9BD5"/>
        </w:tcBorders>
      </w:tcPr>
    </w:tblStylePr>
    <w:tblStylePr w:type="band1Vert">
      <w:tblPr/>
      <w:tcPr>
        <w:tcBorders>
          <w:top w:val="single" w:sz="8" w:space="0" w:color="5B9BD5"/>
          <w:left w:val="single" w:sz="8" w:space="0" w:color="5B9BD5"/>
          <w:bottom w:val="single" w:sz="8" w:space="0" w:color="5B9BD5"/>
          <w:right w:val="single" w:sz="8" w:space="0" w:color="5B9BD5"/>
        </w:tcBorders>
        <w:shd w:val="clear" w:color="auto" w:fill="D6E6F4"/>
      </w:tcPr>
    </w:tblStylePr>
    <w:tblStylePr w:type="band1Horz">
      <w:tblPr/>
      <w:tcPr>
        <w:tcBorders>
          <w:top w:val="single" w:sz="8" w:space="0" w:color="5B9BD5"/>
          <w:left w:val="single" w:sz="8" w:space="0" w:color="5B9BD5"/>
          <w:bottom w:val="single" w:sz="8" w:space="0" w:color="5B9BD5"/>
          <w:right w:val="single" w:sz="8" w:space="0" w:color="5B9BD5"/>
          <w:insideV w:val="single" w:sz="8" w:space="0" w:color="5B9BD5"/>
        </w:tcBorders>
        <w:shd w:val="clear" w:color="auto" w:fill="D6E6F4"/>
      </w:tcPr>
    </w:tblStylePr>
    <w:tblStylePr w:type="band2Horz">
      <w:tblPr/>
      <w:tcPr>
        <w:tcBorders>
          <w:top w:val="single" w:sz="8" w:space="0" w:color="5B9BD5"/>
          <w:left w:val="single" w:sz="8" w:space="0" w:color="5B9BD5"/>
          <w:bottom w:val="single" w:sz="8" w:space="0" w:color="5B9BD5"/>
          <w:right w:val="single" w:sz="8" w:space="0" w:color="5B9BD5"/>
          <w:insideV w:val="single" w:sz="8" w:space="0" w:color="5B9BD5"/>
        </w:tcBorders>
      </w:tcPr>
    </w:tblStylePr>
  </w:style>
  <w:style w:type="table" w:customStyle="1" w:styleId="Jasnalistaakcent11">
    <w:name w:val="Jasna lista — akcent 11"/>
    <w:basedOn w:val="Standardowy"/>
    <w:uiPriority w:val="99"/>
    <w:rsid w:val="00130408"/>
    <w:tblPr>
      <w:tblStyleRowBandSize w:val="1"/>
      <w:tblStyleColBandSize w:val="1"/>
      <w:tblBorders>
        <w:top w:val="single" w:sz="8" w:space="0" w:color="5B9BD5"/>
        <w:left w:val="single" w:sz="8" w:space="0" w:color="5B9BD5"/>
        <w:bottom w:val="single" w:sz="8" w:space="0" w:color="5B9BD5"/>
        <w:right w:val="single" w:sz="8" w:space="0" w:color="5B9BD5"/>
      </w:tblBorders>
    </w:tblPr>
    <w:tblStylePr w:type="firstRow">
      <w:pPr>
        <w:spacing w:before="0" w:after="0" w:line="240" w:lineRule="auto"/>
      </w:pPr>
      <w:rPr>
        <w:b/>
        <w:bCs/>
        <w:color w:val="FFFFFF"/>
      </w:rPr>
      <w:tblPr/>
      <w:tcPr>
        <w:shd w:val="clear" w:color="auto" w:fill="5B9BD5"/>
      </w:tcPr>
    </w:tblStylePr>
    <w:tblStylePr w:type="lastRow">
      <w:pPr>
        <w:spacing w:before="0" w:after="0" w:line="240" w:lineRule="auto"/>
      </w:pPr>
      <w:rPr>
        <w:b/>
        <w:bCs/>
      </w:rPr>
      <w:tblPr/>
      <w:tcPr>
        <w:tcBorders>
          <w:top w:val="double" w:sz="6" w:space="0" w:color="5B9BD5"/>
          <w:left w:val="single" w:sz="8" w:space="0" w:color="5B9BD5"/>
          <w:bottom w:val="single" w:sz="8" w:space="0" w:color="5B9BD5"/>
          <w:right w:val="single" w:sz="8" w:space="0" w:color="5B9BD5"/>
        </w:tcBorders>
      </w:tcPr>
    </w:tblStylePr>
    <w:tblStylePr w:type="firstCol">
      <w:rPr>
        <w:b/>
        <w:bCs/>
      </w:rPr>
    </w:tblStylePr>
    <w:tblStylePr w:type="lastCol">
      <w:rPr>
        <w:b/>
        <w:bCs/>
      </w:rPr>
    </w:tblStylePr>
    <w:tblStylePr w:type="band1Vert">
      <w:tblPr/>
      <w:tcPr>
        <w:tcBorders>
          <w:top w:val="single" w:sz="8" w:space="0" w:color="5B9BD5"/>
          <w:left w:val="single" w:sz="8" w:space="0" w:color="5B9BD5"/>
          <w:bottom w:val="single" w:sz="8" w:space="0" w:color="5B9BD5"/>
          <w:right w:val="single" w:sz="8" w:space="0" w:color="5B9BD5"/>
        </w:tcBorders>
      </w:tcPr>
    </w:tblStylePr>
    <w:tblStylePr w:type="band1Horz">
      <w:tblPr/>
      <w:tcPr>
        <w:tcBorders>
          <w:top w:val="single" w:sz="8" w:space="0" w:color="5B9BD5"/>
          <w:left w:val="single" w:sz="8" w:space="0" w:color="5B9BD5"/>
          <w:bottom w:val="single" w:sz="8" w:space="0" w:color="5B9BD5"/>
          <w:right w:val="single" w:sz="8" w:space="0" w:color="5B9BD5"/>
        </w:tcBorders>
      </w:tcPr>
    </w:tblStylePr>
  </w:style>
  <w:style w:type="paragraph" w:customStyle="1" w:styleId="punktory">
    <w:name w:val="punktory"/>
    <w:basedOn w:val="Akapitzlist"/>
    <w:link w:val="punktoryZnak"/>
    <w:qFormat/>
    <w:rsid w:val="00111AAC"/>
    <w:pPr>
      <w:numPr>
        <w:numId w:val="2"/>
      </w:numPr>
    </w:pPr>
  </w:style>
  <w:style w:type="character" w:customStyle="1" w:styleId="punktoryZnak">
    <w:name w:val="punktory Znak"/>
    <w:link w:val="punktory"/>
    <w:rsid w:val="00111AAC"/>
    <w:rPr>
      <w:rFonts w:ascii="Arial" w:hAnsi="Arial"/>
      <w:szCs w:val="22"/>
      <w:lang w:eastAsia="en-US"/>
    </w:rPr>
  </w:style>
  <w:style w:type="paragraph" w:styleId="Tekstpodstawowyzwciciem2">
    <w:name w:val="Body Text First Indent 2"/>
    <w:basedOn w:val="Tekstpodstawowywcity"/>
    <w:link w:val="Tekstpodstawowyzwciciem2Znak"/>
    <w:uiPriority w:val="99"/>
    <w:unhideWhenUsed/>
    <w:rsid w:val="008A66EC"/>
    <w:pPr>
      <w:ind w:left="360" w:firstLine="360"/>
    </w:pPr>
    <w:rPr>
      <w:rFonts w:ascii="Arial" w:eastAsia="Franklin Gothic Book" w:hAnsi="Arial"/>
      <w:szCs w:val="22"/>
    </w:rPr>
  </w:style>
  <w:style w:type="character" w:customStyle="1" w:styleId="Tekstpodstawowyzwciciem2Znak">
    <w:name w:val="Tekst podstawowy z wcięciem 2 Znak"/>
    <w:basedOn w:val="TekstpodstawowywcityZnak"/>
    <w:link w:val="Tekstpodstawowyzwciciem2"/>
    <w:uiPriority w:val="99"/>
    <w:rsid w:val="008A66EC"/>
    <w:rPr>
      <w:rFonts w:ascii="Arial" w:eastAsia="Times New Roman" w:hAnsi="Arial"/>
      <w:szCs w:val="22"/>
      <w:lang w:eastAsia="en-US"/>
    </w:rPr>
  </w:style>
  <w:style w:type="table" w:customStyle="1" w:styleId="Tabela-Siatka1">
    <w:name w:val="Tabela - Siatka1"/>
    <w:basedOn w:val="Standardowy"/>
    <w:next w:val="Tabela-Siatka"/>
    <w:uiPriority w:val="39"/>
    <w:rsid w:val="008A66EC"/>
    <w:rPr>
      <w:rFonts w:ascii="Calibri" w:eastAsia="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Tytuksiki">
    <w:name w:val="Book Title"/>
    <w:basedOn w:val="Domylnaczcionkaakapitu"/>
    <w:uiPriority w:val="33"/>
    <w:qFormat/>
    <w:rsid w:val="008A66EC"/>
    <w:rPr>
      <w:b/>
      <w:bCs/>
      <w:smallCaps/>
      <w:spacing w:val="5"/>
    </w:rPr>
  </w:style>
  <w:style w:type="table" w:customStyle="1" w:styleId="Jasnasiatka1">
    <w:name w:val="Jasna siatka1"/>
    <w:basedOn w:val="Standardowy"/>
    <w:uiPriority w:val="62"/>
    <w:rsid w:val="008A66EC"/>
    <w:rPr>
      <w:rFonts w:asciiTheme="minorHAnsi" w:eastAsiaTheme="minorHAnsi" w:hAnsiTheme="minorHAnsi" w:cstheme="minorBidi"/>
      <w:sz w:val="22"/>
      <w:szCs w:val="22"/>
      <w:lang w:eastAsia="en-US"/>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character" w:customStyle="1" w:styleId="Nierozpoznanawzmianka1">
    <w:name w:val="Nierozpoznana wzmianka1"/>
    <w:basedOn w:val="Domylnaczcionkaakapitu"/>
    <w:uiPriority w:val="99"/>
    <w:semiHidden/>
    <w:unhideWhenUsed/>
    <w:rsid w:val="00D83C86"/>
    <w:rPr>
      <w:color w:val="808080"/>
      <w:shd w:val="clear" w:color="auto" w:fill="E6E6E6"/>
    </w:rPr>
  </w:style>
  <w:style w:type="character" w:customStyle="1" w:styleId="TekstprzypisudolnegoZnak1">
    <w:name w:val="Tekst przypisu dolnego Znak1"/>
    <w:aliases w:val="OM Footnote Text Znak1,OM Footnote Text1 Znak1,Znak Znak1,single space Znak1,FOOTNOTES Znak1,fn Znak1,Podrozdział Znak1,Fußnote Znak1,Footnote Znak1,Podrozdzia3 Znak1,przypis Znak1,Tekst przypisu Znak1,Znak1 Znak1,f Znak"/>
    <w:basedOn w:val="Domylnaczcionkaakapitu"/>
    <w:uiPriority w:val="99"/>
    <w:rsid w:val="001B00E2"/>
    <w:rPr>
      <w:rFonts w:ascii="Arial" w:hAnsi="Arial"/>
      <w:lang w:eastAsia="en-US"/>
    </w:rPr>
  </w:style>
  <w:style w:type="table" w:customStyle="1" w:styleId="Tabela-Siatka2">
    <w:name w:val="Tabela - Siatka2"/>
    <w:basedOn w:val="Standardowy"/>
    <w:uiPriority w:val="59"/>
    <w:rsid w:val="001B00E2"/>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3">
    <w:name w:val="Tabela - Siatka3"/>
    <w:basedOn w:val="Standardowy"/>
    <w:uiPriority w:val="59"/>
    <w:rsid w:val="001B00E2"/>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4">
    <w:name w:val="Tabela - Siatka4"/>
    <w:basedOn w:val="Standardowy"/>
    <w:uiPriority w:val="59"/>
    <w:rsid w:val="001B00E2"/>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5">
    <w:name w:val="Tabela - Siatka5"/>
    <w:basedOn w:val="Standardowy"/>
    <w:uiPriority w:val="59"/>
    <w:rsid w:val="001B00E2"/>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6">
    <w:name w:val="Tabela - Siatka6"/>
    <w:basedOn w:val="Standardowy"/>
    <w:uiPriority w:val="59"/>
    <w:rsid w:val="001B00E2"/>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7">
    <w:name w:val="Tabela - Siatka7"/>
    <w:basedOn w:val="Standardowy"/>
    <w:uiPriority w:val="59"/>
    <w:rsid w:val="001B00E2"/>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8">
    <w:name w:val="Tabela - Siatka8"/>
    <w:basedOn w:val="Standardowy"/>
    <w:uiPriority w:val="59"/>
    <w:rsid w:val="001B00E2"/>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9">
    <w:name w:val="Tabela - Siatka9"/>
    <w:basedOn w:val="Standardowy"/>
    <w:uiPriority w:val="59"/>
    <w:rsid w:val="001B00E2"/>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10">
    <w:name w:val="Tabela - Siatka10"/>
    <w:basedOn w:val="Standardowy"/>
    <w:uiPriority w:val="59"/>
    <w:rsid w:val="001B00E2"/>
    <w:rPr>
      <w:rFonts w:ascii="Tekst podstawowy" w:eastAsia="Calibri" w:hAnsi="Tekst podstawowy"/>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ytugwny">
    <w:name w:val="Tytuł główny"/>
    <w:basedOn w:val="Normalny"/>
    <w:rsid w:val="002F2E2E"/>
    <w:pPr>
      <w:numPr>
        <w:numId w:val="3"/>
      </w:numPr>
      <w:spacing w:after="200"/>
    </w:pPr>
    <w:rPr>
      <w:rFonts w:ascii="Times New Roman" w:hAnsi="Times New Roman"/>
      <w:b/>
      <w:sz w:val="32"/>
    </w:rPr>
  </w:style>
  <w:style w:type="character" w:customStyle="1" w:styleId="StylArial11ptPogrubienieKapitaliki">
    <w:name w:val="Styl Arial 11 pt Pogrubienie Kapitaliki"/>
    <w:rsid w:val="002F2E2E"/>
    <w:rPr>
      <w:rFonts w:ascii="Arial" w:hAnsi="Arial"/>
      <w:b/>
      <w:smallCaps/>
      <w:sz w:val="22"/>
    </w:rPr>
  </w:style>
  <w:style w:type="paragraph" w:customStyle="1" w:styleId="ARYCINA">
    <w:name w:val="A_RYCINA"/>
    <w:basedOn w:val="Normalny"/>
    <w:autoRedefine/>
    <w:qFormat/>
    <w:rsid w:val="00986D40"/>
    <w:pPr>
      <w:autoSpaceDE w:val="0"/>
      <w:autoSpaceDN w:val="0"/>
      <w:adjustRightInd w:val="0"/>
      <w:spacing w:after="60" w:line="240" w:lineRule="auto"/>
      <w:ind w:firstLine="0"/>
      <w:jc w:val="center"/>
    </w:pPr>
    <w:rPr>
      <w:rFonts w:eastAsia="Arial" w:cs="Arial"/>
      <w:b/>
      <w:bCs/>
      <w:sz w:val="16"/>
      <w:szCs w:val="16"/>
    </w:rPr>
  </w:style>
  <w:style w:type="paragraph" w:customStyle="1" w:styleId="AZRODLO">
    <w:name w:val="A_ZRODLO"/>
    <w:basedOn w:val="ARYCINA"/>
    <w:qFormat/>
    <w:rsid w:val="007D50F3"/>
    <w:pPr>
      <w:spacing w:before="60" w:after="0"/>
    </w:pPr>
    <w:rPr>
      <w:b w:val="0"/>
    </w:rPr>
  </w:style>
  <w:style w:type="paragraph" w:customStyle="1" w:styleId="ATABELA">
    <w:name w:val="A_TABELA"/>
    <w:basedOn w:val="ARYCINA"/>
    <w:qFormat/>
    <w:rsid w:val="002F2E2E"/>
    <w:rPr>
      <w:lang w:eastAsia="pl-PL"/>
    </w:rPr>
  </w:style>
  <w:style w:type="paragraph" w:customStyle="1" w:styleId="Nagwekspisutreci11">
    <w:name w:val="Nagłówek spisu treści11"/>
    <w:basedOn w:val="Nagwek1"/>
    <w:next w:val="Normalny"/>
    <w:rsid w:val="002F2E2E"/>
    <w:pPr>
      <w:spacing w:before="480"/>
      <w:outlineLvl w:val="9"/>
    </w:pPr>
    <w:rPr>
      <w:rFonts w:ascii="Cambria" w:hAnsi="Cambria"/>
      <w:bCs/>
      <w:color w:val="365F91"/>
      <w:lang w:val="en-US"/>
    </w:rPr>
  </w:style>
  <w:style w:type="paragraph" w:customStyle="1" w:styleId="Poprawka4">
    <w:name w:val="Poprawka4"/>
    <w:hidden/>
    <w:rsid w:val="002F2E2E"/>
    <w:rPr>
      <w:rFonts w:ascii="Times New Roman" w:eastAsia="Times New Roman" w:hAnsi="Times New Roman"/>
      <w:sz w:val="24"/>
      <w:szCs w:val="24"/>
      <w:lang w:eastAsia="en-US"/>
    </w:rPr>
  </w:style>
  <w:style w:type="paragraph" w:customStyle="1" w:styleId="Tekstreferatu">
    <w:name w:val="Tekst referatu"/>
    <w:basedOn w:val="Normalny"/>
    <w:rsid w:val="002F2E2E"/>
    <w:pPr>
      <w:spacing w:line="240" w:lineRule="auto"/>
      <w:ind w:firstLine="0"/>
    </w:pPr>
    <w:rPr>
      <w:rFonts w:ascii="Arial Narrow" w:hAnsi="Arial Narrow"/>
      <w:szCs w:val="24"/>
      <w:lang w:eastAsia="pl-PL"/>
    </w:rPr>
  </w:style>
  <w:style w:type="paragraph" w:styleId="Mapadokumentu">
    <w:name w:val="Document Map"/>
    <w:basedOn w:val="Normalny"/>
    <w:link w:val="MapadokumentuZnak"/>
    <w:semiHidden/>
    <w:rsid w:val="002F2E2E"/>
    <w:pPr>
      <w:shd w:val="clear" w:color="auto" w:fill="000080"/>
      <w:ind w:firstLine="0"/>
    </w:pPr>
    <w:rPr>
      <w:rFonts w:ascii="Tahoma" w:hAnsi="Tahoma" w:cs="Tahoma"/>
      <w:szCs w:val="20"/>
    </w:rPr>
  </w:style>
  <w:style w:type="character" w:customStyle="1" w:styleId="MapadokumentuZnak">
    <w:name w:val="Mapa dokumentu Znak"/>
    <w:basedOn w:val="Domylnaczcionkaakapitu"/>
    <w:link w:val="Mapadokumentu"/>
    <w:semiHidden/>
    <w:rsid w:val="002F2E2E"/>
    <w:rPr>
      <w:rFonts w:ascii="Tahoma" w:hAnsi="Tahoma" w:cs="Tahoma"/>
      <w:shd w:val="clear" w:color="auto" w:fill="000080"/>
      <w:lang w:eastAsia="en-US"/>
    </w:rPr>
  </w:style>
  <w:style w:type="character" w:styleId="Numerstrony">
    <w:name w:val="page number"/>
    <w:rsid w:val="002F2E2E"/>
    <w:rPr>
      <w:rFonts w:cs="Times New Roman"/>
    </w:rPr>
  </w:style>
  <w:style w:type="character" w:customStyle="1" w:styleId="Odwoanieprzypisudolnego1">
    <w:name w:val="Odwołanie przypisu dolnego1"/>
    <w:rsid w:val="002F2E2E"/>
    <w:rPr>
      <w:rFonts w:cs="Times New Roman"/>
      <w:vertAlign w:val="superscript"/>
    </w:rPr>
  </w:style>
  <w:style w:type="character" w:customStyle="1" w:styleId="Odwoaniedokomentarza1">
    <w:name w:val="Odwołanie do komentarza1"/>
    <w:rsid w:val="002F2E2E"/>
    <w:rPr>
      <w:rFonts w:cs="Times New Roman"/>
      <w:sz w:val="16"/>
      <w:szCs w:val="16"/>
    </w:rPr>
  </w:style>
  <w:style w:type="character" w:customStyle="1" w:styleId="Odwoanieprzypisukocowego1">
    <w:name w:val="Odwołanie przypisu końcowego1"/>
    <w:rsid w:val="002F2E2E"/>
    <w:rPr>
      <w:rFonts w:cs="Times New Roman"/>
      <w:vertAlign w:val="superscript"/>
    </w:rPr>
  </w:style>
  <w:style w:type="character" w:customStyle="1" w:styleId="UyteHipercze1">
    <w:name w:val="UżyteHiperłącze1"/>
    <w:rsid w:val="002F2E2E"/>
    <w:rPr>
      <w:rFonts w:cs="Times New Roman"/>
      <w:color w:val="800080"/>
      <w:u w:val="single"/>
    </w:rPr>
  </w:style>
  <w:style w:type="character" w:customStyle="1" w:styleId="Numerstrony1">
    <w:name w:val="Numer strony1"/>
    <w:basedOn w:val="Domylnaczcionkaakapitu"/>
    <w:rsid w:val="001843A3"/>
  </w:style>
  <w:style w:type="paragraph" w:customStyle="1" w:styleId="Tekstprzypisudolnego1">
    <w:name w:val="Tekst przypisu dolnego1"/>
    <w:basedOn w:val="Normalny"/>
    <w:rsid w:val="002F2E2E"/>
    <w:pPr>
      <w:suppressAutoHyphens/>
      <w:spacing w:line="240" w:lineRule="auto"/>
      <w:ind w:firstLine="0"/>
    </w:pPr>
    <w:rPr>
      <w:rFonts w:ascii="Calibri" w:eastAsia="Times New Roman" w:hAnsi="Calibri"/>
      <w:kern w:val="1"/>
      <w:szCs w:val="20"/>
    </w:rPr>
  </w:style>
  <w:style w:type="paragraph" w:customStyle="1" w:styleId="Tekstpodstawowy21">
    <w:name w:val="Tekst podstawowy 21"/>
    <w:basedOn w:val="Normalny"/>
    <w:rsid w:val="002F2E2E"/>
    <w:pPr>
      <w:suppressAutoHyphens/>
      <w:spacing w:line="360" w:lineRule="auto"/>
      <w:ind w:firstLine="0"/>
    </w:pPr>
    <w:rPr>
      <w:kern w:val="1"/>
      <w:sz w:val="26"/>
      <w:szCs w:val="20"/>
      <w:lang w:eastAsia="pl-PL"/>
    </w:rPr>
  </w:style>
  <w:style w:type="paragraph" w:customStyle="1" w:styleId="Tematkomentarza1">
    <w:name w:val="Temat komentarza1"/>
    <w:basedOn w:val="Normalny"/>
    <w:rsid w:val="002D3F90"/>
    <w:pPr>
      <w:suppressAutoHyphens/>
      <w:spacing w:line="240" w:lineRule="auto"/>
      <w:ind w:firstLine="0"/>
    </w:pPr>
    <w:rPr>
      <w:rFonts w:ascii="Calibri" w:hAnsi="Calibri"/>
      <w:b/>
      <w:bCs/>
      <w:kern w:val="1"/>
      <w:szCs w:val="20"/>
      <w:lang w:eastAsia="pl-PL"/>
    </w:rPr>
  </w:style>
  <w:style w:type="paragraph" w:customStyle="1" w:styleId="Tekstprzypisukocowego1">
    <w:name w:val="Tekst przypisu końcowego1"/>
    <w:basedOn w:val="Normalny"/>
    <w:rsid w:val="002F2E2E"/>
    <w:pPr>
      <w:suppressAutoHyphens/>
      <w:spacing w:line="240" w:lineRule="auto"/>
      <w:ind w:firstLine="0"/>
    </w:pPr>
    <w:rPr>
      <w:rFonts w:ascii="Cambria" w:eastAsia="Times New Roman" w:hAnsi="Cambria"/>
      <w:kern w:val="1"/>
      <w:szCs w:val="20"/>
    </w:rPr>
  </w:style>
  <w:style w:type="character" w:customStyle="1" w:styleId="Nagwek3Znak1">
    <w:name w:val="Nagłówek 3 Znak1"/>
    <w:rsid w:val="002F2E2E"/>
    <w:rPr>
      <w:rFonts w:ascii="Calibri" w:eastAsia="Franklin Gothic Book" w:hAnsi="Calibri"/>
      <w:b/>
      <w:bCs/>
      <w:color w:val="404040"/>
      <w:kern w:val="1"/>
      <w:sz w:val="24"/>
      <w:szCs w:val="22"/>
      <w:lang w:val="pl-PL" w:eastAsia="en-US" w:bidi="ar-SA"/>
    </w:rPr>
  </w:style>
  <w:style w:type="character" w:customStyle="1" w:styleId="TekstkomentarzaZnak2">
    <w:name w:val="Tekst komentarza Znak2"/>
    <w:semiHidden/>
    <w:rsid w:val="002F2E2E"/>
    <w:rPr>
      <w:rFonts w:ascii="Calibri" w:hAnsi="Calibri"/>
      <w:kern w:val="1"/>
      <w:lang w:val="pl-PL" w:eastAsia="en-US" w:bidi="ar-SA"/>
    </w:rPr>
  </w:style>
  <w:style w:type="paragraph" w:customStyle="1" w:styleId="Nagwekspisutreci2">
    <w:name w:val="Nagłówek spisu treści2"/>
    <w:basedOn w:val="Nagwek1"/>
    <w:next w:val="Normalny"/>
    <w:rsid w:val="002F2E2E"/>
    <w:pPr>
      <w:outlineLvl w:val="9"/>
    </w:pPr>
    <w:rPr>
      <w:rFonts w:ascii="Calibri" w:eastAsia="Franklin Gothic Book" w:hAnsi="Calibri"/>
      <w:smallCaps/>
      <w:color w:val="404040"/>
      <w:sz w:val="28"/>
    </w:rPr>
  </w:style>
  <w:style w:type="paragraph" w:customStyle="1" w:styleId="Pa5">
    <w:name w:val="Pa5"/>
    <w:basedOn w:val="Default"/>
    <w:next w:val="Default"/>
    <w:uiPriority w:val="99"/>
    <w:rsid w:val="002F2E2E"/>
    <w:pPr>
      <w:spacing w:line="181" w:lineRule="atLeast"/>
    </w:pPr>
    <w:rPr>
      <w:rFonts w:ascii="Arial" w:eastAsia="Franklin Gothic Book" w:hAnsi="Arial" w:cs="Arial"/>
      <w:color w:val="auto"/>
      <w:lang w:eastAsia="pl-PL"/>
    </w:rPr>
  </w:style>
  <w:style w:type="paragraph" w:customStyle="1" w:styleId="Ramkatekst">
    <w:name w:val="Ramka tekst"/>
    <w:basedOn w:val="Normalny"/>
    <w:uiPriority w:val="99"/>
    <w:rsid w:val="002F2E2E"/>
    <w:pPr>
      <w:autoSpaceDE w:val="0"/>
      <w:autoSpaceDN w:val="0"/>
      <w:adjustRightInd w:val="0"/>
      <w:spacing w:line="240" w:lineRule="atLeast"/>
      <w:ind w:firstLine="0"/>
      <w:textAlignment w:val="center"/>
    </w:pPr>
    <w:rPr>
      <w:rFonts w:eastAsia="Calibri" w:cs="Arial"/>
      <w:color w:val="FFFFFF"/>
      <w:szCs w:val="20"/>
    </w:rPr>
  </w:style>
  <w:style w:type="paragraph" w:customStyle="1" w:styleId="Ramkamylnik">
    <w:name w:val="Ramka myślnik"/>
    <w:basedOn w:val="Normalny"/>
    <w:uiPriority w:val="99"/>
    <w:rsid w:val="002F2E2E"/>
    <w:pPr>
      <w:autoSpaceDE w:val="0"/>
      <w:autoSpaceDN w:val="0"/>
      <w:adjustRightInd w:val="0"/>
      <w:spacing w:line="240" w:lineRule="atLeast"/>
      <w:ind w:left="340" w:hanging="340"/>
      <w:textAlignment w:val="center"/>
    </w:pPr>
    <w:rPr>
      <w:rFonts w:eastAsia="Calibri" w:cs="Arial"/>
      <w:color w:val="FFFFFF"/>
      <w:szCs w:val="20"/>
    </w:rPr>
  </w:style>
  <w:style w:type="paragraph" w:customStyle="1" w:styleId="Tytutabeli">
    <w:name w:val="Tytuł tabeli"/>
    <w:basedOn w:val="Normalny"/>
    <w:uiPriority w:val="99"/>
    <w:rsid w:val="002F2E2E"/>
    <w:pPr>
      <w:autoSpaceDE w:val="0"/>
      <w:autoSpaceDN w:val="0"/>
      <w:adjustRightInd w:val="0"/>
      <w:spacing w:line="240" w:lineRule="atLeast"/>
      <w:ind w:left="340" w:hanging="340"/>
      <w:textAlignment w:val="center"/>
    </w:pPr>
    <w:rPr>
      <w:rFonts w:eastAsia="Calibri" w:cs="Arial"/>
      <w:color w:val="000000"/>
      <w:sz w:val="18"/>
      <w:szCs w:val="18"/>
    </w:rPr>
  </w:style>
  <w:style w:type="paragraph" w:customStyle="1" w:styleId="Podtytu2">
    <w:name w:val="Podtytuł 2"/>
    <w:basedOn w:val="Normalny"/>
    <w:uiPriority w:val="99"/>
    <w:rsid w:val="002D3F90"/>
    <w:pPr>
      <w:keepNext/>
      <w:suppressAutoHyphens/>
      <w:autoSpaceDE w:val="0"/>
      <w:autoSpaceDN w:val="0"/>
      <w:adjustRightInd w:val="0"/>
      <w:spacing w:before="340" w:after="340" w:line="280" w:lineRule="atLeast"/>
      <w:ind w:firstLine="0"/>
      <w:jc w:val="center"/>
      <w:textAlignment w:val="center"/>
    </w:pPr>
    <w:rPr>
      <w:rFonts w:eastAsia="Calibri" w:cs="Arial"/>
      <w:b/>
      <w:bCs/>
      <w:color w:val="024DA1"/>
      <w:sz w:val="22"/>
    </w:rPr>
  </w:style>
  <w:style w:type="paragraph" w:customStyle="1" w:styleId="Podtytu3">
    <w:name w:val="Podtytuł 3"/>
    <w:basedOn w:val="Normalny"/>
    <w:uiPriority w:val="99"/>
    <w:rsid w:val="002D3F90"/>
    <w:pPr>
      <w:keepNext/>
      <w:suppressAutoHyphens/>
      <w:autoSpaceDE w:val="0"/>
      <w:autoSpaceDN w:val="0"/>
      <w:adjustRightInd w:val="0"/>
      <w:spacing w:before="170" w:after="170" w:line="260" w:lineRule="atLeast"/>
      <w:ind w:firstLine="0"/>
      <w:jc w:val="center"/>
      <w:textAlignment w:val="center"/>
    </w:pPr>
    <w:rPr>
      <w:rFonts w:eastAsia="Calibri" w:cs="Arial"/>
      <w:b/>
      <w:bCs/>
      <w:color w:val="024DA1"/>
      <w:szCs w:val="20"/>
    </w:rPr>
  </w:style>
  <w:style w:type="character" w:customStyle="1" w:styleId="Numerprzypisu">
    <w:name w:val="Numer przypisu"/>
    <w:uiPriority w:val="99"/>
    <w:rsid w:val="002F2E2E"/>
    <w:rPr>
      <w:vertAlign w:val="superscript"/>
    </w:rPr>
  </w:style>
  <w:style w:type="paragraph" w:customStyle="1" w:styleId="Ramkapunkt">
    <w:name w:val="Ramka punkt"/>
    <w:basedOn w:val="Normalny"/>
    <w:uiPriority w:val="99"/>
    <w:rsid w:val="002D3F90"/>
    <w:pPr>
      <w:suppressAutoHyphens/>
      <w:autoSpaceDE w:val="0"/>
      <w:autoSpaceDN w:val="0"/>
      <w:adjustRightInd w:val="0"/>
      <w:spacing w:line="240" w:lineRule="atLeast"/>
      <w:ind w:left="340" w:hanging="340"/>
      <w:textAlignment w:val="center"/>
    </w:pPr>
    <w:rPr>
      <w:rFonts w:eastAsia="Calibri" w:cs="Arial"/>
      <w:color w:val="FFFFFF"/>
      <w:szCs w:val="20"/>
    </w:rPr>
  </w:style>
  <w:style w:type="paragraph" w:customStyle="1" w:styleId="Punktbold">
    <w:name w:val="Punkt bold"/>
    <w:basedOn w:val="Normalny"/>
    <w:uiPriority w:val="99"/>
    <w:rsid w:val="002D3F90"/>
    <w:pPr>
      <w:keepNext/>
      <w:suppressAutoHyphens/>
      <w:autoSpaceDE w:val="0"/>
      <w:autoSpaceDN w:val="0"/>
      <w:adjustRightInd w:val="0"/>
      <w:spacing w:before="340" w:line="260" w:lineRule="atLeast"/>
      <w:ind w:left="340" w:hanging="340"/>
      <w:jc w:val="left"/>
      <w:textAlignment w:val="center"/>
    </w:pPr>
    <w:rPr>
      <w:rFonts w:eastAsia="Calibri" w:cs="Arial"/>
      <w:b/>
      <w:bCs/>
      <w:color w:val="024DA1"/>
      <w:szCs w:val="20"/>
    </w:rPr>
  </w:style>
  <w:style w:type="paragraph" w:customStyle="1" w:styleId="Punktboldtekst">
    <w:name w:val="Punkt bold tekst"/>
    <w:basedOn w:val="Normalny"/>
    <w:uiPriority w:val="99"/>
    <w:rsid w:val="002D3F90"/>
    <w:pPr>
      <w:autoSpaceDE w:val="0"/>
      <w:autoSpaceDN w:val="0"/>
      <w:adjustRightInd w:val="0"/>
      <w:spacing w:line="260" w:lineRule="atLeast"/>
      <w:ind w:left="340" w:firstLine="0"/>
      <w:textAlignment w:val="center"/>
    </w:pPr>
    <w:rPr>
      <w:rFonts w:eastAsia="Calibri" w:cs="Arial"/>
      <w:color w:val="000000"/>
      <w:szCs w:val="20"/>
    </w:rPr>
  </w:style>
  <w:style w:type="character" w:customStyle="1" w:styleId="Nierozpoznanawzmianka2">
    <w:name w:val="Nierozpoznana wzmianka2"/>
    <w:basedOn w:val="Domylnaczcionkaakapitu"/>
    <w:uiPriority w:val="99"/>
    <w:semiHidden/>
    <w:unhideWhenUsed/>
    <w:rsid w:val="00FA7769"/>
    <w:rPr>
      <w:color w:val="605E5C"/>
      <w:shd w:val="clear" w:color="auto" w:fill="E1DFDD"/>
    </w:rPr>
  </w:style>
  <w:style w:type="character" w:customStyle="1" w:styleId="Nierozpoznanawzmianka3">
    <w:name w:val="Nierozpoznana wzmianka3"/>
    <w:basedOn w:val="Domylnaczcionkaakapitu"/>
    <w:uiPriority w:val="99"/>
    <w:semiHidden/>
    <w:unhideWhenUsed/>
    <w:rsid w:val="00C824CC"/>
    <w:rPr>
      <w:color w:val="605E5C"/>
      <w:shd w:val="clear" w:color="auto" w:fill="E1DFDD"/>
    </w:rPr>
  </w:style>
  <w:style w:type="character" w:customStyle="1" w:styleId="Nierozpoznanawzmianka4">
    <w:name w:val="Nierozpoznana wzmianka4"/>
    <w:basedOn w:val="Domylnaczcionkaakapitu"/>
    <w:uiPriority w:val="99"/>
    <w:semiHidden/>
    <w:unhideWhenUsed/>
    <w:rsid w:val="00767F54"/>
    <w:rPr>
      <w:color w:val="605E5C"/>
      <w:shd w:val="clear" w:color="auto" w:fill="E1DFDD"/>
    </w:rPr>
  </w:style>
  <w:style w:type="paragraph" w:styleId="Tekstpodstawowyzwciciem">
    <w:name w:val="Body Text First Indent"/>
    <w:basedOn w:val="Tekstpodstawowy"/>
    <w:link w:val="TekstpodstawowyzwciciemZnak"/>
    <w:uiPriority w:val="99"/>
    <w:unhideWhenUsed/>
    <w:rsid w:val="00725F84"/>
    <w:pPr>
      <w:spacing w:line="276" w:lineRule="auto"/>
      <w:ind w:firstLine="360"/>
    </w:pPr>
    <w:rPr>
      <w:rFonts w:eastAsia="Franklin Gothic Book"/>
      <w:sz w:val="20"/>
      <w:szCs w:val="22"/>
    </w:rPr>
  </w:style>
  <w:style w:type="character" w:customStyle="1" w:styleId="TekstpodstawowyzwciciemZnak">
    <w:name w:val="Tekst podstawowy z wcięciem Znak"/>
    <w:basedOn w:val="TekstpodstawowyZnak"/>
    <w:link w:val="Tekstpodstawowyzwciciem"/>
    <w:uiPriority w:val="99"/>
    <w:rsid w:val="00725F84"/>
    <w:rPr>
      <w:rFonts w:ascii="Arial" w:eastAsia="Times New Roman" w:hAnsi="Arial" w:cs="Arial"/>
      <w:sz w:val="24"/>
      <w:szCs w:val="22"/>
      <w:lang w:eastAsia="en-US"/>
    </w:rPr>
  </w:style>
  <w:style w:type="character" w:customStyle="1" w:styleId="Nierozpoznanawzmianka5">
    <w:name w:val="Nierozpoznana wzmianka5"/>
    <w:basedOn w:val="Domylnaczcionkaakapitu"/>
    <w:uiPriority w:val="99"/>
    <w:semiHidden/>
    <w:unhideWhenUsed/>
    <w:rsid w:val="00613897"/>
    <w:rPr>
      <w:color w:val="605E5C"/>
      <w:shd w:val="clear" w:color="auto" w:fill="E1DFDD"/>
    </w:rPr>
  </w:style>
  <w:style w:type="character" w:customStyle="1" w:styleId="Nierozpoznanawzmianka6">
    <w:name w:val="Nierozpoznana wzmianka6"/>
    <w:basedOn w:val="Domylnaczcionkaakapitu"/>
    <w:uiPriority w:val="99"/>
    <w:semiHidden/>
    <w:unhideWhenUsed/>
    <w:rsid w:val="00781DB8"/>
    <w:rPr>
      <w:color w:val="605E5C"/>
      <w:shd w:val="clear" w:color="auto" w:fill="E1DFDD"/>
    </w:rPr>
  </w:style>
  <w:style w:type="table" w:styleId="rednialista1akcent6">
    <w:name w:val="Medium List 1 Accent 6"/>
    <w:basedOn w:val="Standardowy"/>
    <w:uiPriority w:val="65"/>
    <w:rsid w:val="00931A5E"/>
    <w:rPr>
      <w:color w:val="000000" w:themeColor="text1"/>
    </w:rPr>
    <w:tblPr>
      <w:tblStyleRowBandSize w:val="1"/>
      <w:tblStyleColBandSize w:val="1"/>
      <w:tblBorders>
        <w:top w:val="single" w:sz="8" w:space="0" w:color="70AD47" w:themeColor="accent6"/>
        <w:bottom w:val="single" w:sz="8" w:space="0" w:color="70AD47" w:themeColor="accent6"/>
      </w:tblBorders>
    </w:tblPr>
    <w:tblStylePr w:type="firstRow">
      <w:rPr>
        <w:rFonts w:asciiTheme="majorHAnsi" w:eastAsiaTheme="majorEastAsia" w:hAnsiTheme="majorHAnsi" w:cstheme="majorBidi"/>
      </w:rPr>
      <w:tblPr/>
      <w:tcPr>
        <w:tcBorders>
          <w:top w:val="nil"/>
          <w:bottom w:val="single" w:sz="8" w:space="0" w:color="70AD47" w:themeColor="accent6"/>
        </w:tcBorders>
      </w:tcPr>
    </w:tblStylePr>
    <w:tblStylePr w:type="lastRow">
      <w:rPr>
        <w:b/>
        <w:bCs/>
        <w:color w:val="44546A" w:themeColor="text2"/>
      </w:rPr>
      <w:tblPr/>
      <w:tcPr>
        <w:tcBorders>
          <w:top w:val="single" w:sz="8" w:space="0" w:color="70AD47" w:themeColor="accent6"/>
          <w:bottom w:val="single" w:sz="8" w:space="0" w:color="70AD47" w:themeColor="accent6"/>
        </w:tcBorders>
      </w:tcPr>
    </w:tblStylePr>
    <w:tblStylePr w:type="firstCol">
      <w:rPr>
        <w:b/>
        <w:bCs/>
      </w:rPr>
    </w:tblStylePr>
    <w:tblStylePr w:type="lastCol">
      <w:rPr>
        <w:b/>
        <w:bCs/>
      </w:rPr>
      <w:tblPr/>
      <w:tcPr>
        <w:tcBorders>
          <w:top w:val="single" w:sz="8" w:space="0" w:color="70AD47" w:themeColor="accent6"/>
          <w:bottom w:val="single" w:sz="8" w:space="0" w:color="70AD47" w:themeColor="accent6"/>
        </w:tcBorders>
      </w:tcPr>
    </w:tblStylePr>
    <w:tblStylePr w:type="band1Vert">
      <w:tblPr/>
      <w:tcPr>
        <w:shd w:val="clear" w:color="auto" w:fill="DBEBD0" w:themeFill="accent6" w:themeFillTint="3F"/>
      </w:tcPr>
    </w:tblStylePr>
    <w:tblStylePr w:type="band1Horz">
      <w:tblPr/>
      <w:tcPr>
        <w:shd w:val="clear" w:color="auto" w:fill="DBEBD0" w:themeFill="accent6" w:themeFillTint="3F"/>
      </w:tcPr>
    </w:tblStylePr>
  </w:style>
  <w:style w:type="character" w:customStyle="1" w:styleId="Nierozpoznanawzmianka7">
    <w:name w:val="Nierozpoznana wzmianka7"/>
    <w:basedOn w:val="Domylnaczcionkaakapitu"/>
    <w:uiPriority w:val="99"/>
    <w:semiHidden/>
    <w:unhideWhenUsed/>
    <w:rsid w:val="0014639F"/>
    <w:rPr>
      <w:color w:val="605E5C"/>
      <w:shd w:val="clear" w:color="auto" w:fill="E1DFDD"/>
    </w:rPr>
  </w:style>
  <w:style w:type="numbering" w:customStyle="1" w:styleId="Bezlisty1">
    <w:name w:val="Bez listy1"/>
    <w:next w:val="Bezlisty"/>
    <w:uiPriority w:val="99"/>
    <w:semiHidden/>
    <w:unhideWhenUsed/>
    <w:rsid w:val="00385484"/>
  </w:style>
  <w:style w:type="character" w:customStyle="1" w:styleId="Nierozpoznanawzmianka8">
    <w:name w:val="Nierozpoznana wzmianka8"/>
    <w:basedOn w:val="Domylnaczcionkaakapitu"/>
    <w:uiPriority w:val="99"/>
    <w:semiHidden/>
    <w:unhideWhenUsed/>
    <w:rsid w:val="00263C81"/>
    <w:rPr>
      <w:color w:val="605E5C"/>
      <w:shd w:val="clear" w:color="auto" w:fill="E1DFDD"/>
    </w:rPr>
  </w:style>
  <w:style w:type="paragraph" w:customStyle="1" w:styleId="pf1">
    <w:name w:val="pf1"/>
    <w:basedOn w:val="Normalny"/>
    <w:rsid w:val="00003557"/>
    <w:pPr>
      <w:spacing w:before="100" w:beforeAutospacing="1" w:after="100" w:afterAutospacing="1" w:line="240" w:lineRule="auto"/>
      <w:ind w:firstLine="0"/>
      <w:jc w:val="left"/>
    </w:pPr>
    <w:rPr>
      <w:rFonts w:ascii="Times New Roman" w:eastAsia="Times New Roman" w:hAnsi="Times New Roman"/>
      <w:sz w:val="24"/>
      <w:szCs w:val="24"/>
      <w:lang w:eastAsia="pl-PL"/>
    </w:rPr>
  </w:style>
  <w:style w:type="character" w:customStyle="1" w:styleId="Nierozpoznanawzmianka81">
    <w:name w:val="Nierozpoznana wzmianka81"/>
    <w:basedOn w:val="Domylnaczcionkaakapitu"/>
    <w:uiPriority w:val="99"/>
    <w:semiHidden/>
    <w:unhideWhenUsed/>
    <w:rsid w:val="00D01EF8"/>
    <w:rPr>
      <w:color w:val="605E5C"/>
      <w:shd w:val="clear" w:color="auto" w:fill="E1DFDD"/>
    </w:rPr>
  </w:style>
  <w:style w:type="character" w:customStyle="1" w:styleId="Nierozpoznanawzmianka9">
    <w:name w:val="Nierozpoznana wzmianka9"/>
    <w:basedOn w:val="Domylnaczcionkaakapitu"/>
    <w:uiPriority w:val="99"/>
    <w:semiHidden/>
    <w:unhideWhenUsed/>
    <w:rsid w:val="00241AFC"/>
    <w:rPr>
      <w:color w:val="605E5C"/>
      <w:shd w:val="clear" w:color="auto" w:fill="E1DFDD"/>
    </w:rPr>
  </w:style>
  <w:style w:type="table" w:styleId="Tabelasiatki2akcent1">
    <w:name w:val="Grid Table 2 Accent 1"/>
    <w:basedOn w:val="Standardowy"/>
    <w:uiPriority w:val="47"/>
    <w:rsid w:val="00897677"/>
    <w:tblPr>
      <w:tblStyleRowBandSize w:val="1"/>
      <w:tblStyleColBandSize w:val="1"/>
      <w:tblBorders>
        <w:top w:val="single" w:sz="2" w:space="0" w:color="96D6D2" w:themeColor="accent1" w:themeTint="99"/>
        <w:bottom w:val="single" w:sz="2" w:space="0" w:color="96D6D2" w:themeColor="accent1" w:themeTint="99"/>
        <w:insideH w:val="single" w:sz="2" w:space="0" w:color="96D6D2" w:themeColor="accent1" w:themeTint="99"/>
        <w:insideV w:val="single" w:sz="2" w:space="0" w:color="96D6D2" w:themeColor="accent1" w:themeTint="99"/>
      </w:tblBorders>
    </w:tblPr>
    <w:tblStylePr w:type="firstRow">
      <w:rPr>
        <w:b/>
        <w:bCs/>
      </w:rPr>
      <w:tblPr/>
      <w:tcPr>
        <w:tcBorders>
          <w:top w:val="nil"/>
          <w:bottom w:val="single" w:sz="12" w:space="0" w:color="96D6D2" w:themeColor="accent1" w:themeTint="99"/>
          <w:insideH w:val="nil"/>
          <w:insideV w:val="nil"/>
        </w:tcBorders>
        <w:shd w:val="clear" w:color="auto" w:fill="FFFFFF" w:themeFill="background1"/>
      </w:tcPr>
    </w:tblStylePr>
    <w:tblStylePr w:type="lastRow">
      <w:rPr>
        <w:b/>
        <w:bCs/>
      </w:rPr>
      <w:tblPr/>
      <w:tcPr>
        <w:tcBorders>
          <w:top w:val="double" w:sz="2" w:space="0" w:color="96D6D2"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CF1F0" w:themeFill="accent1" w:themeFillTint="33"/>
      </w:tcPr>
    </w:tblStylePr>
    <w:tblStylePr w:type="band1Horz">
      <w:tblPr/>
      <w:tcPr>
        <w:shd w:val="clear" w:color="auto" w:fill="DCF1F0" w:themeFill="accent1" w:themeFillTint="33"/>
      </w:tcPr>
    </w:tblStylePr>
  </w:style>
  <w:style w:type="table" w:styleId="Siatkatabelijasna">
    <w:name w:val="Grid Table Light"/>
    <w:basedOn w:val="Standardowy"/>
    <w:uiPriority w:val="40"/>
    <w:rsid w:val="00897677"/>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character" w:customStyle="1" w:styleId="UnresolvedMention">
    <w:name w:val="Unresolved Mention"/>
    <w:basedOn w:val="Domylnaczcionkaakapitu"/>
    <w:uiPriority w:val="99"/>
    <w:semiHidden/>
    <w:unhideWhenUsed/>
    <w:rsid w:val="00F27460"/>
    <w:rPr>
      <w:color w:val="605E5C"/>
      <w:shd w:val="clear" w:color="auto" w:fill="E1DFDD"/>
    </w:rPr>
  </w:style>
  <w:style w:type="character" w:customStyle="1" w:styleId="markedcontent">
    <w:name w:val="markedcontent"/>
    <w:basedOn w:val="Domylnaczcionkaakapitu"/>
    <w:rsid w:val="00892CB1"/>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2267379">
      <w:bodyDiv w:val="1"/>
      <w:marLeft w:val="0"/>
      <w:marRight w:val="0"/>
      <w:marTop w:val="0"/>
      <w:marBottom w:val="0"/>
      <w:divBdr>
        <w:top w:val="none" w:sz="0" w:space="0" w:color="auto"/>
        <w:left w:val="none" w:sz="0" w:space="0" w:color="auto"/>
        <w:bottom w:val="none" w:sz="0" w:space="0" w:color="auto"/>
        <w:right w:val="none" w:sz="0" w:space="0" w:color="auto"/>
      </w:divBdr>
    </w:div>
    <w:div w:id="54747755">
      <w:bodyDiv w:val="1"/>
      <w:marLeft w:val="0"/>
      <w:marRight w:val="0"/>
      <w:marTop w:val="0"/>
      <w:marBottom w:val="0"/>
      <w:divBdr>
        <w:top w:val="none" w:sz="0" w:space="0" w:color="auto"/>
        <w:left w:val="none" w:sz="0" w:space="0" w:color="auto"/>
        <w:bottom w:val="none" w:sz="0" w:space="0" w:color="auto"/>
        <w:right w:val="none" w:sz="0" w:space="0" w:color="auto"/>
      </w:divBdr>
    </w:div>
    <w:div w:id="102648715">
      <w:bodyDiv w:val="1"/>
      <w:marLeft w:val="0"/>
      <w:marRight w:val="0"/>
      <w:marTop w:val="0"/>
      <w:marBottom w:val="0"/>
      <w:divBdr>
        <w:top w:val="none" w:sz="0" w:space="0" w:color="auto"/>
        <w:left w:val="none" w:sz="0" w:space="0" w:color="auto"/>
        <w:bottom w:val="none" w:sz="0" w:space="0" w:color="auto"/>
        <w:right w:val="none" w:sz="0" w:space="0" w:color="auto"/>
      </w:divBdr>
    </w:div>
    <w:div w:id="147870927">
      <w:bodyDiv w:val="1"/>
      <w:marLeft w:val="0"/>
      <w:marRight w:val="0"/>
      <w:marTop w:val="0"/>
      <w:marBottom w:val="0"/>
      <w:divBdr>
        <w:top w:val="none" w:sz="0" w:space="0" w:color="auto"/>
        <w:left w:val="none" w:sz="0" w:space="0" w:color="auto"/>
        <w:bottom w:val="none" w:sz="0" w:space="0" w:color="auto"/>
        <w:right w:val="none" w:sz="0" w:space="0" w:color="auto"/>
      </w:divBdr>
    </w:div>
    <w:div w:id="177431446">
      <w:bodyDiv w:val="1"/>
      <w:marLeft w:val="0"/>
      <w:marRight w:val="0"/>
      <w:marTop w:val="0"/>
      <w:marBottom w:val="0"/>
      <w:divBdr>
        <w:top w:val="none" w:sz="0" w:space="0" w:color="auto"/>
        <w:left w:val="none" w:sz="0" w:space="0" w:color="auto"/>
        <w:bottom w:val="none" w:sz="0" w:space="0" w:color="auto"/>
        <w:right w:val="none" w:sz="0" w:space="0" w:color="auto"/>
      </w:divBdr>
    </w:div>
    <w:div w:id="187569658">
      <w:bodyDiv w:val="1"/>
      <w:marLeft w:val="0"/>
      <w:marRight w:val="0"/>
      <w:marTop w:val="0"/>
      <w:marBottom w:val="0"/>
      <w:divBdr>
        <w:top w:val="none" w:sz="0" w:space="0" w:color="auto"/>
        <w:left w:val="none" w:sz="0" w:space="0" w:color="auto"/>
        <w:bottom w:val="none" w:sz="0" w:space="0" w:color="auto"/>
        <w:right w:val="none" w:sz="0" w:space="0" w:color="auto"/>
      </w:divBdr>
    </w:div>
    <w:div w:id="209415454">
      <w:bodyDiv w:val="1"/>
      <w:marLeft w:val="0"/>
      <w:marRight w:val="0"/>
      <w:marTop w:val="0"/>
      <w:marBottom w:val="0"/>
      <w:divBdr>
        <w:top w:val="none" w:sz="0" w:space="0" w:color="auto"/>
        <w:left w:val="none" w:sz="0" w:space="0" w:color="auto"/>
        <w:bottom w:val="none" w:sz="0" w:space="0" w:color="auto"/>
        <w:right w:val="none" w:sz="0" w:space="0" w:color="auto"/>
      </w:divBdr>
    </w:div>
    <w:div w:id="213202325">
      <w:bodyDiv w:val="1"/>
      <w:marLeft w:val="0"/>
      <w:marRight w:val="0"/>
      <w:marTop w:val="0"/>
      <w:marBottom w:val="0"/>
      <w:divBdr>
        <w:top w:val="none" w:sz="0" w:space="0" w:color="auto"/>
        <w:left w:val="none" w:sz="0" w:space="0" w:color="auto"/>
        <w:bottom w:val="none" w:sz="0" w:space="0" w:color="auto"/>
        <w:right w:val="none" w:sz="0" w:space="0" w:color="auto"/>
      </w:divBdr>
      <w:divsChild>
        <w:div w:id="863791178">
          <w:marLeft w:val="0"/>
          <w:marRight w:val="0"/>
          <w:marTop w:val="0"/>
          <w:marBottom w:val="0"/>
          <w:divBdr>
            <w:top w:val="none" w:sz="0" w:space="0" w:color="auto"/>
            <w:left w:val="none" w:sz="0" w:space="0" w:color="auto"/>
            <w:bottom w:val="none" w:sz="0" w:space="0" w:color="auto"/>
            <w:right w:val="none" w:sz="0" w:space="0" w:color="auto"/>
          </w:divBdr>
        </w:div>
        <w:div w:id="1394281607">
          <w:marLeft w:val="0"/>
          <w:marRight w:val="0"/>
          <w:marTop w:val="0"/>
          <w:marBottom w:val="0"/>
          <w:divBdr>
            <w:top w:val="none" w:sz="0" w:space="0" w:color="auto"/>
            <w:left w:val="none" w:sz="0" w:space="0" w:color="auto"/>
            <w:bottom w:val="none" w:sz="0" w:space="0" w:color="auto"/>
            <w:right w:val="none" w:sz="0" w:space="0" w:color="auto"/>
          </w:divBdr>
        </w:div>
        <w:div w:id="1812165417">
          <w:marLeft w:val="0"/>
          <w:marRight w:val="0"/>
          <w:marTop w:val="0"/>
          <w:marBottom w:val="0"/>
          <w:divBdr>
            <w:top w:val="none" w:sz="0" w:space="0" w:color="auto"/>
            <w:left w:val="none" w:sz="0" w:space="0" w:color="auto"/>
            <w:bottom w:val="none" w:sz="0" w:space="0" w:color="auto"/>
            <w:right w:val="none" w:sz="0" w:space="0" w:color="auto"/>
          </w:divBdr>
        </w:div>
        <w:div w:id="2010450250">
          <w:marLeft w:val="0"/>
          <w:marRight w:val="0"/>
          <w:marTop w:val="0"/>
          <w:marBottom w:val="0"/>
          <w:divBdr>
            <w:top w:val="none" w:sz="0" w:space="0" w:color="auto"/>
            <w:left w:val="none" w:sz="0" w:space="0" w:color="auto"/>
            <w:bottom w:val="none" w:sz="0" w:space="0" w:color="auto"/>
            <w:right w:val="none" w:sz="0" w:space="0" w:color="auto"/>
          </w:divBdr>
        </w:div>
      </w:divsChild>
    </w:div>
    <w:div w:id="236208782">
      <w:bodyDiv w:val="1"/>
      <w:marLeft w:val="0"/>
      <w:marRight w:val="0"/>
      <w:marTop w:val="0"/>
      <w:marBottom w:val="0"/>
      <w:divBdr>
        <w:top w:val="none" w:sz="0" w:space="0" w:color="auto"/>
        <w:left w:val="none" w:sz="0" w:space="0" w:color="auto"/>
        <w:bottom w:val="none" w:sz="0" w:space="0" w:color="auto"/>
        <w:right w:val="none" w:sz="0" w:space="0" w:color="auto"/>
      </w:divBdr>
    </w:div>
    <w:div w:id="236550641">
      <w:bodyDiv w:val="1"/>
      <w:marLeft w:val="0"/>
      <w:marRight w:val="0"/>
      <w:marTop w:val="0"/>
      <w:marBottom w:val="0"/>
      <w:divBdr>
        <w:top w:val="none" w:sz="0" w:space="0" w:color="auto"/>
        <w:left w:val="none" w:sz="0" w:space="0" w:color="auto"/>
        <w:bottom w:val="none" w:sz="0" w:space="0" w:color="auto"/>
        <w:right w:val="none" w:sz="0" w:space="0" w:color="auto"/>
      </w:divBdr>
    </w:div>
    <w:div w:id="248391170">
      <w:bodyDiv w:val="1"/>
      <w:marLeft w:val="0"/>
      <w:marRight w:val="0"/>
      <w:marTop w:val="0"/>
      <w:marBottom w:val="0"/>
      <w:divBdr>
        <w:top w:val="none" w:sz="0" w:space="0" w:color="auto"/>
        <w:left w:val="none" w:sz="0" w:space="0" w:color="auto"/>
        <w:bottom w:val="none" w:sz="0" w:space="0" w:color="auto"/>
        <w:right w:val="none" w:sz="0" w:space="0" w:color="auto"/>
      </w:divBdr>
    </w:div>
    <w:div w:id="271671423">
      <w:bodyDiv w:val="1"/>
      <w:marLeft w:val="0"/>
      <w:marRight w:val="0"/>
      <w:marTop w:val="0"/>
      <w:marBottom w:val="0"/>
      <w:divBdr>
        <w:top w:val="none" w:sz="0" w:space="0" w:color="auto"/>
        <w:left w:val="none" w:sz="0" w:space="0" w:color="auto"/>
        <w:bottom w:val="none" w:sz="0" w:space="0" w:color="auto"/>
        <w:right w:val="none" w:sz="0" w:space="0" w:color="auto"/>
      </w:divBdr>
    </w:div>
    <w:div w:id="274606681">
      <w:bodyDiv w:val="1"/>
      <w:marLeft w:val="0"/>
      <w:marRight w:val="0"/>
      <w:marTop w:val="0"/>
      <w:marBottom w:val="0"/>
      <w:divBdr>
        <w:top w:val="none" w:sz="0" w:space="0" w:color="auto"/>
        <w:left w:val="none" w:sz="0" w:space="0" w:color="auto"/>
        <w:bottom w:val="none" w:sz="0" w:space="0" w:color="auto"/>
        <w:right w:val="none" w:sz="0" w:space="0" w:color="auto"/>
      </w:divBdr>
    </w:div>
    <w:div w:id="318459348">
      <w:bodyDiv w:val="1"/>
      <w:marLeft w:val="0"/>
      <w:marRight w:val="0"/>
      <w:marTop w:val="0"/>
      <w:marBottom w:val="0"/>
      <w:divBdr>
        <w:top w:val="none" w:sz="0" w:space="0" w:color="auto"/>
        <w:left w:val="none" w:sz="0" w:space="0" w:color="auto"/>
        <w:bottom w:val="none" w:sz="0" w:space="0" w:color="auto"/>
        <w:right w:val="none" w:sz="0" w:space="0" w:color="auto"/>
      </w:divBdr>
    </w:div>
    <w:div w:id="334116108">
      <w:bodyDiv w:val="1"/>
      <w:marLeft w:val="0"/>
      <w:marRight w:val="0"/>
      <w:marTop w:val="0"/>
      <w:marBottom w:val="0"/>
      <w:divBdr>
        <w:top w:val="none" w:sz="0" w:space="0" w:color="auto"/>
        <w:left w:val="none" w:sz="0" w:space="0" w:color="auto"/>
        <w:bottom w:val="none" w:sz="0" w:space="0" w:color="auto"/>
        <w:right w:val="none" w:sz="0" w:space="0" w:color="auto"/>
      </w:divBdr>
    </w:div>
    <w:div w:id="356656943">
      <w:bodyDiv w:val="1"/>
      <w:marLeft w:val="0"/>
      <w:marRight w:val="0"/>
      <w:marTop w:val="0"/>
      <w:marBottom w:val="0"/>
      <w:divBdr>
        <w:top w:val="none" w:sz="0" w:space="0" w:color="auto"/>
        <w:left w:val="none" w:sz="0" w:space="0" w:color="auto"/>
        <w:bottom w:val="none" w:sz="0" w:space="0" w:color="auto"/>
        <w:right w:val="none" w:sz="0" w:space="0" w:color="auto"/>
      </w:divBdr>
    </w:div>
    <w:div w:id="357893927">
      <w:bodyDiv w:val="1"/>
      <w:marLeft w:val="0"/>
      <w:marRight w:val="0"/>
      <w:marTop w:val="0"/>
      <w:marBottom w:val="0"/>
      <w:divBdr>
        <w:top w:val="none" w:sz="0" w:space="0" w:color="auto"/>
        <w:left w:val="none" w:sz="0" w:space="0" w:color="auto"/>
        <w:bottom w:val="none" w:sz="0" w:space="0" w:color="auto"/>
        <w:right w:val="none" w:sz="0" w:space="0" w:color="auto"/>
      </w:divBdr>
    </w:div>
    <w:div w:id="376589331">
      <w:bodyDiv w:val="1"/>
      <w:marLeft w:val="0"/>
      <w:marRight w:val="0"/>
      <w:marTop w:val="0"/>
      <w:marBottom w:val="0"/>
      <w:divBdr>
        <w:top w:val="none" w:sz="0" w:space="0" w:color="auto"/>
        <w:left w:val="none" w:sz="0" w:space="0" w:color="auto"/>
        <w:bottom w:val="none" w:sz="0" w:space="0" w:color="auto"/>
        <w:right w:val="none" w:sz="0" w:space="0" w:color="auto"/>
      </w:divBdr>
    </w:div>
    <w:div w:id="397482444">
      <w:bodyDiv w:val="1"/>
      <w:marLeft w:val="0"/>
      <w:marRight w:val="0"/>
      <w:marTop w:val="0"/>
      <w:marBottom w:val="0"/>
      <w:divBdr>
        <w:top w:val="none" w:sz="0" w:space="0" w:color="auto"/>
        <w:left w:val="none" w:sz="0" w:space="0" w:color="auto"/>
        <w:bottom w:val="none" w:sz="0" w:space="0" w:color="auto"/>
        <w:right w:val="none" w:sz="0" w:space="0" w:color="auto"/>
      </w:divBdr>
    </w:div>
    <w:div w:id="453715517">
      <w:bodyDiv w:val="1"/>
      <w:marLeft w:val="0"/>
      <w:marRight w:val="0"/>
      <w:marTop w:val="0"/>
      <w:marBottom w:val="0"/>
      <w:divBdr>
        <w:top w:val="none" w:sz="0" w:space="0" w:color="auto"/>
        <w:left w:val="none" w:sz="0" w:space="0" w:color="auto"/>
        <w:bottom w:val="none" w:sz="0" w:space="0" w:color="auto"/>
        <w:right w:val="none" w:sz="0" w:space="0" w:color="auto"/>
      </w:divBdr>
      <w:divsChild>
        <w:div w:id="1598905454">
          <w:marLeft w:val="547"/>
          <w:marRight w:val="0"/>
          <w:marTop w:val="0"/>
          <w:marBottom w:val="0"/>
          <w:divBdr>
            <w:top w:val="none" w:sz="0" w:space="0" w:color="auto"/>
            <w:left w:val="none" w:sz="0" w:space="0" w:color="auto"/>
            <w:bottom w:val="none" w:sz="0" w:space="0" w:color="auto"/>
            <w:right w:val="none" w:sz="0" w:space="0" w:color="auto"/>
          </w:divBdr>
        </w:div>
      </w:divsChild>
    </w:div>
    <w:div w:id="456488824">
      <w:bodyDiv w:val="1"/>
      <w:marLeft w:val="0"/>
      <w:marRight w:val="0"/>
      <w:marTop w:val="0"/>
      <w:marBottom w:val="0"/>
      <w:divBdr>
        <w:top w:val="none" w:sz="0" w:space="0" w:color="auto"/>
        <w:left w:val="none" w:sz="0" w:space="0" w:color="auto"/>
        <w:bottom w:val="none" w:sz="0" w:space="0" w:color="auto"/>
        <w:right w:val="none" w:sz="0" w:space="0" w:color="auto"/>
      </w:divBdr>
    </w:div>
    <w:div w:id="503016059">
      <w:bodyDiv w:val="1"/>
      <w:marLeft w:val="0"/>
      <w:marRight w:val="0"/>
      <w:marTop w:val="0"/>
      <w:marBottom w:val="0"/>
      <w:divBdr>
        <w:top w:val="none" w:sz="0" w:space="0" w:color="auto"/>
        <w:left w:val="none" w:sz="0" w:space="0" w:color="auto"/>
        <w:bottom w:val="none" w:sz="0" w:space="0" w:color="auto"/>
        <w:right w:val="none" w:sz="0" w:space="0" w:color="auto"/>
      </w:divBdr>
    </w:div>
    <w:div w:id="508452224">
      <w:bodyDiv w:val="1"/>
      <w:marLeft w:val="0"/>
      <w:marRight w:val="0"/>
      <w:marTop w:val="0"/>
      <w:marBottom w:val="0"/>
      <w:divBdr>
        <w:top w:val="none" w:sz="0" w:space="0" w:color="auto"/>
        <w:left w:val="none" w:sz="0" w:space="0" w:color="auto"/>
        <w:bottom w:val="none" w:sz="0" w:space="0" w:color="auto"/>
        <w:right w:val="none" w:sz="0" w:space="0" w:color="auto"/>
      </w:divBdr>
    </w:div>
    <w:div w:id="510294582">
      <w:bodyDiv w:val="1"/>
      <w:marLeft w:val="0"/>
      <w:marRight w:val="0"/>
      <w:marTop w:val="0"/>
      <w:marBottom w:val="0"/>
      <w:divBdr>
        <w:top w:val="none" w:sz="0" w:space="0" w:color="auto"/>
        <w:left w:val="none" w:sz="0" w:space="0" w:color="auto"/>
        <w:bottom w:val="none" w:sz="0" w:space="0" w:color="auto"/>
        <w:right w:val="none" w:sz="0" w:space="0" w:color="auto"/>
      </w:divBdr>
    </w:div>
    <w:div w:id="542401621">
      <w:bodyDiv w:val="1"/>
      <w:marLeft w:val="0"/>
      <w:marRight w:val="0"/>
      <w:marTop w:val="0"/>
      <w:marBottom w:val="0"/>
      <w:divBdr>
        <w:top w:val="none" w:sz="0" w:space="0" w:color="auto"/>
        <w:left w:val="none" w:sz="0" w:space="0" w:color="auto"/>
        <w:bottom w:val="none" w:sz="0" w:space="0" w:color="auto"/>
        <w:right w:val="none" w:sz="0" w:space="0" w:color="auto"/>
      </w:divBdr>
    </w:div>
    <w:div w:id="565149446">
      <w:bodyDiv w:val="1"/>
      <w:marLeft w:val="0"/>
      <w:marRight w:val="0"/>
      <w:marTop w:val="0"/>
      <w:marBottom w:val="0"/>
      <w:divBdr>
        <w:top w:val="none" w:sz="0" w:space="0" w:color="auto"/>
        <w:left w:val="none" w:sz="0" w:space="0" w:color="auto"/>
        <w:bottom w:val="none" w:sz="0" w:space="0" w:color="auto"/>
        <w:right w:val="none" w:sz="0" w:space="0" w:color="auto"/>
      </w:divBdr>
    </w:div>
    <w:div w:id="599414303">
      <w:bodyDiv w:val="1"/>
      <w:marLeft w:val="0"/>
      <w:marRight w:val="0"/>
      <w:marTop w:val="0"/>
      <w:marBottom w:val="0"/>
      <w:divBdr>
        <w:top w:val="none" w:sz="0" w:space="0" w:color="auto"/>
        <w:left w:val="none" w:sz="0" w:space="0" w:color="auto"/>
        <w:bottom w:val="none" w:sz="0" w:space="0" w:color="auto"/>
        <w:right w:val="none" w:sz="0" w:space="0" w:color="auto"/>
      </w:divBdr>
    </w:div>
    <w:div w:id="616644015">
      <w:bodyDiv w:val="1"/>
      <w:marLeft w:val="0"/>
      <w:marRight w:val="0"/>
      <w:marTop w:val="0"/>
      <w:marBottom w:val="0"/>
      <w:divBdr>
        <w:top w:val="none" w:sz="0" w:space="0" w:color="auto"/>
        <w:left w:val="none" w:sz="0" w:space="0" w:color="auto"/>
        <w:bottom w:val="none" w:sz="0" w:space="0" w:color="auto"/>
        <w:right w:val="none" w:sz="0" w:space="0" w:color="auto"/>
      </w:divBdr>
    </w:div>
    <w:div w:id="630862912">
      <w:bodyDiv w:val="1"/>
      <w:marLeft w:val="0"/>
      <w:marRight w:val="0"/>
      <w:marTop w:val="0"/>
      <w:marBottom w:val="0"/>
      <w:divBdr>
        <w:top w:val="none" w:sz="0" w:space="0" w:color="auto"/>
        <w:left w:val="none" w:sz="0" w:space="0" w:color="auto"/>
        <w:bottom w:val="none" w:sz="0" w:space="0" w:color="auto"/>
        <w:right w:val="none" w:sz="0" w:space="0" w:color="auto"/>
      </w:divBdr>
    </w:div>
    <w:div w:id="641276386">
      <w:bodyDiv w:val="1"/>
      <w:marLeft w:val="0"/>
      <w:marRight w:val="0"/>
      <w:marTop w:val="0"/>
      <w:marBottom w:val="0"/>
      <w:divBdr>
        <w:top w:val="none" w:sz="0" w:space="0" w:color="auto"/>
        <w:left w:val="none" w:sz="0" w:space="0" w:color="auto"/>
        <w:bottom w:val="none" w:sz="0" w:space="0" w:color="auto"/>
        <w:right w:val="none" w:sz="0" w:space="0" w:color="auto"/>
      </w:divBdr>
      <w:divsChild>
        <w:div w:id="140199110">
          <w:marLeft w:val="1166"/>
          <w:marRight w:val="0"/>
          <w:marTop w:val="0"/>
          <w:marBottom w:val="0"/>
          <w:divBdr>
            <w:top w:val="none" w:sz="0" w:space="0" w:color="auto"/>
            <w:left w:val="none" w:sz="0" w:space="0" w:color="auto"/>
            <w:bottom w:val="none" w:sz="0" w:space="0" w:color="auto"/>
            <w:right w:val="none" w:sz="0" w:space="0" w:color="auto"/>
          </w:divBdr>
        </w:div>
        <w:div w:id="426468920">
          <w:marLeft w:val="1166"/>
          <w:marRight w:val="0"/>
          <w:marTop w:val="0"/>
          <w:marBottom w:val="0"/>
          <w:divBdr>
            <w:top w:val="none" w:sz="0" w:space="0" w:color="auto"/>
            <w:left w:val="none" w:sz="0" w:space="0" w:color="auto"/>
            <w:bottom w:val="none" w:sz="0" w:space="0" w:color="auto"/>
            <w:right w:val="none" w:sz="0" w:space="0" w:color="auto"/>
          </w:divBdr>
        </w:div>
        <w:div w:id="594748479">
          <w:marLeft w:val="1166"/>
          <w:marRight w:val="0"/>
          <w:marTop w:val="0"/>
          <w:marBottom w:val="0"/>
          <w:divBdr>
            <w:top w:val="none" w:sz="0" w:space="0" w:color="auto"/>
            <w:left w:val="none" w:sz="0" w:space="0" w:color="auto"/>
            <w:bottom w:val="none" w:sz="0" w:space="0" w:color="auto"/>
            <w:right w:val="none" w:sz="0" w:space="0" w:color="auto"/>
          </w:divBdr>
        </w:div>
        <w:div w:id="691151585">
          <w:marLeft w:val="547"/>
          <w:marRight w:val="0"/>
          <w:marTop w:val="0"/>
          <w:marBottom w:val="0"/>
          <w:divBdr>
            <w:top w:val="none" w:sz="0" w:space="0" w:color="auto"/>
            <w:left w:val="none" w:sz="0" w:space="0" w:color="auto"/>
            <w:bottom w:val="none" w:sz="0" w:space="0" w:color="auto"/>
            <w:right w:val="none" w:sz="0" w:space="0" w:color="auto"/>
          </w:divBdr>
        </w:div>
        <w:div w:id="1258909568">
          <w:marLeft w:val="1166"/>
          <w:marRight w:val="0"/>
          <w:marTop w:val="0"/>
          <w:marBottom w:val="0"/>
          <w:divBdr>
            <w:top w:val="none" w:sz="0" w:space="0" w:color="auto"/>
            <w:left w:val="none" w:sz="0" w:space="0" w:color="auto"/>
            <w:bottom w:val="none" w:sz="0" w:space="0" w:color="auto"/>
            <w:right w:val="none" w:sz="0" w:space="0" w:color="auto"/>
          </w:divBdr>
        </w:div>
        <w:div w:id="1283731756">
          <w:marLeft w:val="1166"/>
          <w:marRight w:val="0"/>
          <w:marTop w:val="0"/>
          <w:marBottom w:val="0"/>
          <w:divBdr>
            <w:top w:val="none" w:sz="0" w:space="0" w:color="auto"/>
            <w:left w:val="none" w:sz="0" w:space="0" w:color="auto"/>
            <w:bottom w:val="none" w:sz="0" w:space="0" w:color="auto"/>
            <w:right w:val="none" w:sz="0" w:space="0" w:color="auto"/>
          </w:divBdr>
        </w:div>
        <w:div w:id="2064330421">
          <w:marLeft w:val="1166"/>
          <w:marRight w:val="0"/>
          <w:marTop w:val="0"/>
          <w:marBottom w:val="0"/>
          <w:divBdr>
            <w:top w:val="none" w:sz="0" w:space="0" w:color="auto"/>
            <w:left w:val="none" w:sz="0" w:space="0" w:color="auto"/>
            <w:bottom w:val="none" w:sz="0" w:space="0" w:color="auto"/>
            <w:right w:val="none" w:sz="0" w:space="0" w:color="auto"/>
          </w:divBdr>
        </w:div>
      </w:divsChild>
    </w:div>
    <w:div w:id="659846057">
      <w:bodyDiv w:val="1"/>
      <w:marLeft w:val="0"/>
      <w:marRight w:val="0"/>
      <w:marTop w:val="0"/>
      <w:marBottom w:val="0"/>
      <w:divBdr>
        <w:top w:val="none" w:sz="0" w:space="0" w:color="auto"/>
        <w:left w:val="none" w:sz="0" w:space="0" w:color="auto"/>
        <w:bottom w:val="none" w:sz="0" w:space="0" w:color="auto"/>
        <w:right w:val="none" w:sz="0" w:space="0" w:color="auto"/>
      </w:divBdr>
      <w:divsChild>
        <w:div w:id="170529402">
          <w:marLeft w:val="0"/>
          <w:marRight w:val="0"/>
          <w:marTop w:val="0"/>
          <w:marBottom w:val="0"/>
          <w:divBdr>
            <w:top w:val="none" w:sz="0" w:space="0" w:color="auto"/>
            <w:left w:val="none" w:sz="0" w:space="0" w:color="auto"/>
            <w:bottom w:val="none" w:sz="0" w:space="0" w:color="auto"/>
            <w:right w:val="none" w:sz="0" w:space="0" w:color="auto"/>
          </w:divBdr>
        </w:div>
        <w:div w:id="1590507508">
          <w:marLeft w:val="0"/>
          <w:marRight w:val="0"/>
          <w:marTop w:val="0"/>
          <w:marBottom w:val="0"/>
          <w:divBdr>
            <w:top w:val="none" w:sz="0" w:space="0" w:color="auto"/>
            <w:left w:val="none" w:sz="0" w:space="0" w:color="auto"/>
            <w:bottom w:val="none" w:sz="0" w:space="0" w:color="auto"/>
            <w:right w:val="none" w:sz="0" w:space="0" w:color="auto"/>
          </w:divBdr>
        </w:div>
      </w:divsChild>
    </w:div>
    <w:div w:id="660623970">
      <w:bodyDiv w:val="1"/>
      <w:marLeft w:val="0"/>
      <w:marRight w:val="0"/>
      <w:marTop w:val="0"/>
      <w:marBottom w:val="0"/>
      <w:divBdr>
        <w:top w:val="none" w:sz="0" w:space="0" w:color="auto"/>
        <w:left w:val="none" w:sz="0" w:space="0" w:color="auto"/>
        <w:bottom w:val="none" w:sz="0" w:space="0" w:color="auto"/>
        <w:right w:val="none" w:sz="0" w:space="0" w:color="auto"/>
      </w:divBdr>
    </w:div>
    <w:div w:id="665984109">
      <w:bodyDiv w:val="1"/>
      <w:marLeft w:val="0"/>
      <w:marRight w:val="0"/>
      <w:marTop w:val="0"/>
      <w:marBottom w:val="0"/>
      <w:divBdr>
        <w:top w:val="none" w:sz="0" w:space="0" w:color="auto"/>
        <w:left w:val="none" w:sz="0" w:space="0" w:color="auto"/>
        <w:bottom w:val="none" w:sz="0" w:space="0" w:color="auto"/>
        <w:right w:val="none" w:sz="0" w:space="0" w:color="auto"/>
      </w:divBdr>
    </w:div>
    <w:div w:id="667170262">
      <w:bodyDiv w:val="1"/>
      <w:marLeft w:val="0"/>
      <w:marRight w:val="0"/>
      <w:marTop w:val="0"/>
      <w:marBottom w:val="0"/>
      <w:divBdr>
        <w:top w:val="none" w:sz="0" w:space="0" w:color="auto"/>
        <w:left w:val="none" w:sz="0" w:space="0" w:color="auto"/>
        <w:bottom w:val="none" w:sz="0" w:space="0" w:color="auto"/>
        <w:right w:val="none" w:sz="0" w:space="0" w:color="auto"/>
      </w:divBdr>
    </w:div>
    <w:div w:id="672495301">
      <w:bodyDiv w:val="1"/>
      <w:marLeft w:val="0"/>
      <w:marRight w:val="0"/>
      <w:marTop w:val="0"/>
      <w:marBottom w:val="0"/>
      <w:divBdr>
        <w:top w:val="none" w:sz="0" w:space="0" w:color="auto"/>
        <w:left w:val="none" w:sz="0" w:space="0" w:color="auto"/>
        <w:bottom w:val="none" w:sz="0" w:space="0" w:color="auto"/>
        <w:right w:val="none" w:sz="0" w:space="0" w:color="auto"/>
      </w:divBdr>
    </w:div>
    <w:div w:id="674572391">
      <w:bodyDiv w:val="1"/>
      <w:marLeft w:val="0"/>
      <w:marRight w:val="0"/>
      <w:marTop w:val="0"/>
      <w:marBottom w:val="0"/>
      <w:divBdr>
        <w:top w:val="none" w:sz="0" w:space="0" w:color="auto"/>
        <w:left w:val="none" w:sz="0" w:space="0" w:color="auto"/>
        <w:bottom w:val="none" w:sz="0" w:space="0" w:color="auto"/>
        <w:right w:val="none" w:sz="0" w:space="0" w:color="auto"/>
      </w:divBdr>
    </w:div>
    <w:div w:id="688025290">
      <w:bodyDiv w:val="1"/>
      <w:marLeft w:val="0"/>
      <w:marRight w:val="0"/>
      <w:marTop w:val="0"/>
      <w:marBottom w:val="0"/>
      <w:divBdr>
        <w:top w:val="none" w:sz="0" w:space="0" w:color="auto"/>
        <w:left w:val="none" w:sz="0" w:space="0" w:color="auto"/>
        <w:bottom w:val="none" w:sz="0" w:space="0" w:color="auto"/>
        <w:right w:val="none" w:sz="0" w:space="0" w:color="auto"/>
      </w:divBdr>
    </w:div>
    <w:div w:id="753748895">
      <w:bodyDiv w:val="1"/>
      <w:marLeft w:val="0"/>
      <w:marRight w:val="0"/>
      <w:marTop w:val="0"/>
      <w:marBottom w:val="0"/>
      <w:divBdr>
        <w:top w:val="none" w:sz="0" w:space="0" w:color="auto"/>
        <w:left w:val="none" w:sz="0" w:space="0" w:color="auto"/>
        <w:bottom w:val="none" w:sz="0" w:space="0" w:color="auto"/>
        <w:right w:val="none" w:sz="0" w:space="0" w:color="auto"/>
      </w:divBdr>
    </w:div>
    <w:div w:id="755787623">
      <w:bodyDiv w:val="1"/>
      <w:marLeft w:val="0"/>
      <w:marRight w:val="0"/>
      <w:marTop w:val="0"/>
      <w:marBottom w:val="0"/>
      <w:divBdr>
        <w:top w:val="none" w:sz="0" w:space="0" w:color="auto"/>
        <w:left w:val="none" w:sz="0" w:space="0" w:color="auto"/>
        <w:bottom w:val="none" w:sz="0" w:space="0" w:color="auto"/>
        <w:right w:val="none" w:sz="0" w:space="0" w:color="auto"/>
      </w:divBdr>
      <w:divsChild>
        <w:div w:id="19741286">
          <w:marLeft w:val="547"/>
          <w:marRight w:val="0"/>
          <w:marTop w:val="0"/>
          <w:marBottom w:val="0"/>
          <w:divBdr>
            <w:top w:val="none" w:sz="0" w:space="0" w:color="auto"/>
            <w:left w:val="none" w:sz="0" w:space="0" w:color="auto"/>
            <w:bottom w:val="none" w:sz="0" w:space="0" w:color="auto"/>
            <w:right w:val="none" w:sz="0" w:space="0" w:color="auto"/>
          </w:divBdr>
        </w:div>
        <w:div w:id="972101765">
          <w:marLeft w:val="547"/>
          <w:marRight w:val="0"/>
          <w:marTop w:val="0"/>
          <w:marBottom w:val="0"/>
          <w:divBdr>
            <w:top w:val="none" w:sz="0" w:space="0" w:color="auto"/>
            <w:left w:val="none" w:sz="0" w:space="0" w:color="auto"/>
            <w:bottom w:val="none" w:sz="0" w:space="0" w:color="auto"/>
            <w:right w:val="none" w:sz="0" w:space="0" w:color="auto"/>
          </w:divBdr>
        </w:div>
      </w:divsChild>
    </w:div>
    <w:div w:id="755981123">
      <w:bodyDiv w:val="1"/>
      <w:marLeft w:val="0"/>
      <w:marRight w:val="0"/>
      <w:marTop w:val="0"/>
      <w:marBottom w:val="0"/>
      <w:divBdr>
        <w:top w:val="none" w:sz="0" w:space="0" w:color="auto"/>
        <w:left w:val="none" w:sz="0" w:space="0" w:color="auto"/>
        <w:bottom w:val="none" w:sz="0" w:space="0" w:color="auto"/>
        <w:right w:val="none" w:sz="0" w:space="0" w:color="auto"/>
      </w:divBdr>
    </w:div>
    <w:div w:id="761534424">
      <w:bodyDiv w:val="1"/>
      <w:marLeft w:val="0"/>
      <w:marRight w:val="0"/>
      <w:marTop w:val="0"/>
      <w:marBottom w:val="0"/>
      <w:divBdr>
        <w:top w:val="none" w:sz="0" w:space="0" w:color="auto"/>
        <w:left w:val="none" w:sz="0" w:space="0" w:color="auto"/>
        <w:bottom w:val="none" w:sz="0" w:space="0" w:color="auto"/>
        <w:right w:val="none" w:sz="0" w:space="0" w:color="auto"/>
      </w:divBdr>
    </w:div>
    <w:div w:id="763308810">
      <w:bodyDiv w:val="1"/>
      <w:marLeft w:val="0"/>
      <w:marRight w:val="0"/>
      <w:marTop w:val="0"/>
      <w:marBottom w:val="0"/>
      <w:divBdr>
        <w:top w:val="none" w:sz="0" w:space="0" w:color="auto"/>
        <w:left w:val="none" w:sz="0" w:space="0" w:color="auto"/>
        <w:bottom w:val="none" w:sz="0" w:space="0" w:color="auto"/>
        <w:right w:val="none" w:sz="0" w:space="0" w:color="auto"/>
      </w:divBdr>
    </w:div>
    <w:div w:id="767626881">
      <w:bodyDiv w:val="1"/>
      <w:marLeft w:val="0"/>
      <w:marRight w:val="0"/>
      <w:marTop w:val="0"/>
      <w:marBottom w:val="0"/>
      <w:divBdr>
        <w:top w:val="none" w:sz="0" w:space="0" w:color="auto"/>
        <w:left w:val="none" w:sz="0" w:space="0" w:color="auto"/>
        <w:bottom w:val="none" w:sz="0" w:space="0" w:color="auto"/>
        <w:right w:val="none" w:sz="0" w:space="0" w:color="auto"/>
      </w:divBdr>
    </w:div>
    <w:div w:id="768235362">
      <w:bodyDiv w:val="1"/>
      <w:marLeft w:val="0"/>
      <w:marRight w:val="0"/>
      <w:marTop w:val="0"/>
      <w:marBottom w:val="0"/>
      <w:divBdr>
        <w:top w:val="none" w:sz="0" w:space="0" w:color="auto"/>
        <w:left w:val="none" w:sz="0" w:space="0" w:color="auto"/>
        <w:bottom w:val="none" w:sz="0" w:space="0" w:color="auto"/>
        <w:right w:val="none" w:sz="0" w:space="0" w:color="auto"/>
      </w:divBdr>
    </w:div>
    <w:div w:id="775252335">
      <w:bodyDiv w:val="1"/>
      <w:marLeft w:val="0"/>
      <w:marRight w:val="0"/>
      <w:marTop w:val="0"/>
      <w:marBottom w:val="0"/>
      <w:divBdr>
        <w:top w:val="none" w:sz="0" w:space="0" w:color="auto"/>
        <w:left w:val="none" w:sz="0" w:space="0" w:color="auto"/>
        <w:bottom w:val="none" w:sz="0" w:space="0" w:color="auto"/>
        <w:right w:val="none" w:sz="0" w:space="0" w:color="auto"/>
      </w:divBdr>
    </w:div>
    <w:div w:id="777600237">
      <w:bodyDiv w:val="1"/>
      <w:marLeft w:val="0"/>
      <w:marRight w:val="0"/>
      <w:marTop w:val="0"/>
      <w:marBottom w:val="0"/>
      <w:divBdr>
        <w:top w:val="none" w:sz="0" w:space="0" w:color="auto"/>
        <w:left w:val="none" w:sz="0" w:space="0" w:color="auto"/>
        <w:bottom w:val="none" w:sz="0" w:space="0" w:color="auto"/>
        <w:right w:val="none" w:sz="0" w:space="0" w:color="auto"/>
      </w:divBdr>
    </w:div>
    <w:div w:id="777606186">
      <w:bodyDiv w:val="1"/>
      <w:marLeft w:val="0"/>
      <w:marRight w:val="0"/>
      <w:marTop w:val="0"/>
      <w:marBottom w:val="0"/>
      <w:divBdr>
        <w:top w:val="none" w:sz="0" w:space="0" w:color="auto"/>
        <w:left w:val="none" w:sz="0" w:space="0" w:color="auto"/>
        <w:bottom w:val="none" w:sz="0" w:space="0" w:color="auto"/>
        <w:right w:val="none" w:sz="0" w:space="0" w:color="auto"/>
      </w:divBdr>
    </w:div>
    <w:div w:id="797913768">
      <w:bodyDiv w:val="1"/>
      <w:marLeft w:val="0"/>
      <w:marRight w:val="0"/>
      <w:marTop w:val="0"/>
      <w:marBottom w:val="0"/>
      <w:divBdr>
        <w:top w:val="none" w:sz="0" w:space="0" w:color="auto"/>
        <w:left w:val="none" w:sz="0" w:space="0" w:color="auto"/>
        <w:bottom w:val="none" w:sz="0" w:space="0" w:color="auto"/>
        <w:right w:val="none" w:sz="0" w:space="0" w:color="auto"/>
      </w:divBdr>
    </w:div>
    <w:div w:id="810098765">
      <w:bodyDiv w:val="1"/>
      <w:marLeft w:val="0"/>
      <w:marRight w:val="0"/>
      <w:marTop w:val="0"/>
      <w:marBottom w:val="0"/>
      <w:divBdr>
        <w:top w:val="none" w:sz="0" w:space="0" w:color="auto"/>
        <w:left w:val="none" w:sz="0" w:space="0" w:color="auto"/>
        <w:bottom w:val="none" w:sz="0" w:space="0" w:color="auto"/>
        <w:right w:val="none" w:sz="0" w:space="0" w:color="auto"/>
      </w:divBdr>
    </w:div>
    <w:div w:id="811867336">
      <w:bodyDiv w:val="1"/>
      <w:marLeft w:val="0"/>
      <w:marRight w:val="0"/>
      <w:marTop w:val="0"/>
      <w:marBottom w:val="0"/>
      <w:divBdr>
        <w:top w:val="none" w:sz="0" w:space="0" w:color="auto"/>
        <w:left w:val="none" w:sz="0" w:space="0" w:color="auto"/>
        <w:bottom w:val="none" w:sz="0" w:space="0" w:color="auto"/>
        <w:right w:val="none" w:sz="0" w:space="0" w:color="auto"/>
      </w:divBdr>
    </w:div>
    <w:div w:id="812985523">
      <w:bodyDiv w:val="1"/>
      <w:marLeft w:val="0"/>
      <w:marRight w:val="0"/>
      <w:marTop w:val="0"/>
      <w:marBottom w:val="0"/>
      <w:divBdr>
        <w:top w:val="none" w:sz="0" w:space="0" w:color="auto"/>
        <w:left w:val="none" w:sz="0" w:space="0" w:color="auto"/>
        <w:bottom w:val="none" w:sz="0" w:space="0" w:color="auto"/>
        <w:right w:val="none" w:sz="0" w:space="0" w:color="auto"/>
      </w:divBdr>
    </w:div>
    <w:div w:id="832722519">
      <w:bodyDiv w:val="1"/>
      <w:marLeft w:val="0"/>
      <w:marRight w:val="0"/>
      <w:marTop w:val="0"/>
      <w:marBottom w:val="0"/>
      <w:divBdr>
        <w:top w:val="none" w:sz="0" w:space="0" w:color="auto"/>
        <w:left w:val="none" w:sz="0" w:space="0" w:color="auto"/>
        <w:bottom w:val="none" w:sz="0" w:space="0" w:color="auto"/>
        <w:right w:val="none" w:sz="0" w:space="0" w:color="auto"/>
      </w:divBdr>
      <w:divsChild>
        <w:div w:id="767777706">
          <w:marLeft w:val="0"/>
          <w:marRight w:val="0"/>
          <w:marTop w:val="0"/>
          <w:marBottom w:val="0"/>
          <w:divBdr>
            <w:top w:val="none" w:sz="0" w:space="0" w:color="auto"/>
            <w:left w:val="none" w:sz="0" w:space="0" w:color="auto"/>
            <w:bottom w:val="none" w:sz="0" w:space="0" w:color="auto"/>
            <w:right w:val="none" w:sz="0" w:space="0" w:color="auto"/>
          </w:divBdr>
        </w:div>
      </w:divsChild>
    </w:div>
    <w:div w:id="835725512">
      <w:bodyDiv w:val="1"/>
      <w:marLeft w:val="0"/>
      <w:marRight w:val="0"/>
      <w:marTop w:val="0"/>
      <w:marBottom w:val="0"/>
      <w:divBdr>
        <w:top w:val="none" w:sz="0" w:space="0" w:color="auto"/>
        <w:left w:val="none" w:sz="0" w:space="0" w:color="auto"/>
        <w:bottom w:val="none" w:sz="0" w:space="0" w:color="auto"/>
        <w:right w:val="none" w:sz="0" w:space="0" w:color="auto"/>
      </w:divBdr>
      <w:divsChild>
        <w:div w:id="1402022482">
          <w:marLeft w:val="547"/>
          <w:marRight w:val="0"/>
          <w:marTop w:val="0"/>
          <w:marBottom w:val="0"/>
          <w:divBdr>
            <w:top w:val="none" w:sz="0" w:space="0" w:color="auto"/>
            <w:left w:val="none" w:sz="0" w:space="0" w:color="auto"/>
            <w:bottom w:val="none" w:sz="0" w:space="0" w:color="auto"/>
            <w:right w:val="none" w:sz="0" w:space="0" w:color="auto"/>
          </w:divBdr>
        </w:div>
      </w:divsChild>
    </w:div>
    <w:div w:id="857618210">
      <w:bodyDiv w:val="1"/>
      <w:marLeft w:val="0"/>
      <w:marRight w:val="0"/>
      <w:marTop w:val="0"/>
      <w:marBottom w:val="0"/>
      <w:divBdr>
        <w:top w:val="none" w:sz="0" w:space="0" w:color="auto"/>
        <w:left w:val="none" w:sz="0" w:space="0" w:color="auto"/>
        <w:bottom w:val="none" w:sz="0" w:space="0" w:color="auto"/>
        <w:right w:val="none" w:sz="0" w:space="0" w:color="auto"/>
      </w:divBdr>
    </w:div>
    <w:div w:id="860703427">
      <w:bodyDiv w:val="1"/>
      <w:marLeft w:val="0"/>
      <w:marRight w:val="0"/>
      <w:marTop w:val="0"/>
      <w:marBottom w:val="0"/>
      <w:divBdr>
        <w:top w:val="none" w:sz="0" w:space="0" w:color="auto"/>
        <w:left w:val="none" w:sz="0" w:space="0" w:color="auto"/>
        <w:bottom w:val="none" w:sz="0" w:space="0" w:color="auto"/>
        <w:right w:val="none" w:sz="0" w:space="0" w:color="auto"/>
      </w:divBdr>
      <w:divsChild>
        <w:div w:id="22023640">
          <w:blockQuote w:val="1"/>
          <w:marLeft w:val="0"/>
          <w:marRight w:val="720"/>
          <w:marTop w:val="100"/>
          <w:marBottom w:val="100"/>
          <w:divBdr>
            <w:top w:val="none" w:sz="0" w:space="0" w:color="auto"/>
            <w:left w:val="single" w:sz="6" w:space="8" w:color="0000FF"/>
            <w:bottom w:val="none" w:sz="0" w:space="0" w:color="auto"/>
            <w:right w:val="none" w:sz="0" w:space="0" w:color="auto"/>
          </w:divBdr>
          <w:divsChild>
            <w:div w:id="8516035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62210019">
      <w:bodyDiv w:val="1"/>
      <w:marLeft w:val="0"/>
      <w:marRight w:val="0"/>
      <w:marTop w:val="0"/>
      <w:marBottom w:val="0"/>
      <w:divBdr>
        <w:top w:val="none" w:sz="0" w:space="0" w:color="auto"/>
        <w:left w:val="none" w:sz="0" w:space="0" w:color="auto"/>
        <w:bottom w:val="none" w:sz="0" w:space="0" w:color="auto"/>
        <w:right w:val="none" w:sz="0" w:space="0" w:color="auto"/>
      </w:divBdr>
    </w:div>
    <w:div w:id="874656803">
      <w:bodyDiv w:val="1"/>
      <w:marLeft w:val="0"/>
      <w:marRight w:val="0"/>
      <w:marTop w:val="0"/>
      <w:marBottom w:val="0"/>
      <w:divBdr>
        <w:top w:val="none" w:sz="0" w:space="0" w:color="auto"/>
        <w:left w:val="none" w:sz="0" w:space="0" w:color="auto"/>
        <w:bottom w:val="none" w:sz="0" w:space="0" w:color="auto"/>
        <w:right w:val="none" w:sz="0" w:space="0" w:color="auto"/>
      </w:divBdr>
    </w:div>
    <w:div w:id="916011150">
      <w:bodyDiv w:val="1"/>
      <w:marLeft w:val="0"/>
      <w:marRight w:val="0"/>
      <w:marTop w:val="0"/>
      <w:marBottom w:val="0"/>
      <w:divBdr>
        <w:top w:val="none" w:sz="0" w:space="0" w:color="auto"/>
        <w:left w:val="none" w:sz="0" w:space="0" w:color="auto"/>
        <w:bottom w:val="none" w:sz="0" w:space="0" w:color="auto"/>
        <w:right w:val="none" w:sz="0" w:space="0" w:color="auto"/>
      </w:divBdr>
    </w:div>
    <w:div w:id="929893611">
      <w:bodyDiv w:val="1"/>
      <w:marLeft w:val="0"/>
      <w:marRight w:val="0"/>
      <w:marTop w:val="0"/>
      <w:marBottom w:val="0"/>
      <w:divBdr>
        <w:top w:val="none" w:sz="0" w:space="0" w:color="auto"/>
        <w:left w:val="none" w:sz="0" w:space="0" w:color="auto"/>
        <w:bottom w:val="none" w:sz="0" w:space="0" w:color="auto"/>
        <w:right w:val="none" w:sz="0" w:space="0" w:color="auto"/>
      </w:divBdr>
    </w:div>
    <w:div w:id="965701386">
      <w:bodyDiv w:val="1"/>
      <w:marLeft w:val="0"/>
      <w:marRight w:val="0"/>
      <w:marTop w:val="0"/>
      <w:marBottom w:val="0"/>
      <w:divBdr>
        <w:top w:val="none" w:sz="0" w:space="0" w:color="auto"/>
        <w:left w:val="none" w:sz="0" w:space="0" w:color="auto"/>
        <w:bottom w:val="none" w:sz="0" w:space="0" w:color="auto"/>
        <w:right w:val="none" w:sz="0" w:space="0" w:color="auto"/>
      </w:divBdr>
    </w:div>
    <w:div w:id="965770841">
      <w:bodyDiv w:val="1"/>
      <w:marLeft w:val="0"/>
      <w:marRight w:val="0"/>
      <w:marTop w:val="0"/>
      <w:marBottom w:val="0"/>
      <w:divBdr>
        <w:top w:val="none" w:sz="0" w:space="0" w:color="auto"/>
        <w:left w:val="none" w:sz="0" w:space="0" w:color="auto"/>
        <w:bottom w:val="none" w:sz="0" w:space="0" w:color="auto"/>
        <w:right w:val="none" w:sz="0" w:space="0" w:color="auto"/>
      </w:divBdr>
      <w:divsChild>
        <w:div w:id="1582518853">
          <w:marLeft w:val="547"/>
          <w:marRight w:val="0"/>
          <w:marTop w:val="0"/>
          <w:marBottom w:val="0"/>
          <w:divBdr>
            <w:top w:val="none" w:sz="0" w:space="0" w:color="auto"/>
            <w:left w:val="none" w:sz="0" w:space="0" w:color="auto"/>
            <w:bottom w:val="none" w:sz="0" w:space="0" w:color="auto"/>
            <w:right w:val="none" w:sz="0" w:space="0" w:color="auto"/>
          </w:divBdr>
        </w:div>
      </w:divsChild>
    </w:div>
    <w:div w:id="971790904">
      <w:bodyDiv w:val="1"/>
      <w:marLeft w:val="0"/>
      <w:marRight w:val="0"/>
      <w:marTop w:val="0"/>
      <w:marBottom w:val="0"/>
      <w:divBdr>
        <w:top w:val="none" w:sz="0" w:space="0" w:color="auto"/>
        <w:left w:val="none" w:sz="0" w:space="0" w:color="auto"/>
        <w:bottom w:val="none" w:sz="0" w:space="0" w:color="auto"/>
        <w:right w:val="none" w:sz="0" w:space="0" w:color="auto"/>
      </w:divBdr>
    </w:div>
    <w:div w:id="977881830">
      <w:bodyDiv w:val="1"/>
      <w:marLeft w:val="0"/>
      <w:marRight w:val="0"/>
      <w:marTop w:val="0"/>
      <w:marBottom w:val="0"/>
      <w:divBdr>
        <w:top w:val="none" w:sz="0" w:space="0" w:color="auto"/>
        <w:left w:val="none" w:sz="0" w:space="0" w:color="auto"/>
        <w:bottom w:val="none" w:sz="0" w:space="0" w:color="auto"/>
        <w:right w:val="none" w:sz="0" w:space="0" w:color="auto"/>
      </w:divBdr>
    </w:div>
    <w:div w:id="992368583">
      <w:bodyDiv w:val="1"/>
      <w:marLeft w:val="0"/>
      <w:marRight w:val="0"/>
      <w:marTop w:val="0"/>
      <w:marBottom w:val="0"/>
      <w:divBdr>
        <w:top w:val="none" w:sz="0" w:space="0" w:color="auto"/>
        <w:left w:val="none" w:sz="0" w:space="0" w:color="auto"/>
        <w:bottom w:val="none" w:sz="0" w:space="0" w:color="auto"/>
        <w:right w:val="none" w:sz="0" w:space="0" w:color="auto"/>
      </w:divBdr>
    </w:div>
    <w:div w:id="996691834">
      <w:bodyDiv w:val="1"/>
      <w:marLeft w:val="0"/>
      <w:marRight w:val="0"/>
      <w:marTop w:val="0"/>
      <w:marBottom w:val="0"/>
      <w:divBdr>
        <w:top w:val="none" w:sz="0" w:space="0" w:color="auto"/>
        <w:left w:val="none" w:sz="0" w:space="0" w:color="auto"/>
        <w:bottom w:val="none" w:sz="0" w:space="0" w:color="auto"/>
        <w:right w:val="none" w:sz="0" w:space="0" w:color="auto"/>
      </w:divBdr>
    </w:div>
    <w:div w:id="1026442927">
      <w:bodyDiv w:val="1"/>
      <w:marLeft w:val="0"/>
      <w:marRight w:val="0"/>
      <w:marTop w:val="0"/>
      <w:marBottom w:val="0"/>
      <w:divBdr>
        <w:top w:val="none" w:sz="0" w:space="0" w:color="auto"/>
        <w:left w:val="none" w:sz="0" w:space="0" w:color="auto"/>
        <w:bottom w:val="none" w:sz="0" w:space="0" w:color="auto"/>
        <w:right w:val="none" w:sz="0" w:space="0" w:color="auto"/>
      </w:divBdr>
    </w:div>
    <w:div w:id="1054039370">
      <w:bodyDiv w:val="1"/>
      <w:marLeft w:val="0"/>
      <w:marRight w:val="0"/>
      <w:marTop w:val="0"/>
      <w:marBottom w:val="0"/>
      <w:divBdr>
        <w:top w:val="none" w:sz="0" w:space="0" w:color="auto"/>
        <w:left w:val="none" w:sz="0" w:space="0" w:color="auto"/>
        <w:bottom w:val="none" w:sz="0" w:space="0" w:color="auto"/>
        <w:right w:val="none" w:sz="0" w:space="0" w:color="auto"/>
      </w:divBdr>
    </w:div>
    <w:div w:id="1063140975">
      <w:bodyDiv w:val="1"/>
      <w:marLeft w:val="0"/>
      <w:marRight w:val="0"/>
      <w:marTop w:val="0"/>
      <w:marBottom w:val="0"/>
      <w:divBdr>
        <w:top w:val="none" w:sz="0" w:space="0" w:color="auto"/>
        <w:left w:val="none" w:sz="0" w:space="0" w:color="auto"/>
        <w:bottom w:val="none" w:sz="0" w:space="0" w:color="auto"/>
        <w:right w:val="none" w:sz="0" w:space="0" w:color="auto"/>
      </w:divBdr>
    </w:div>
    <w:div w:id="1089501329">
      <w:bodyDiv w:val="1"/>
      <w:marLeft w:val="0"/>
      <w:marRight w:val="0"/>
      <w:marTop w:val="0"/>
      <w:marBottom w:val="0"/>
      <w:divBdr>
        <w:top w:val="none" w:sz="0" w:space="0" w:color="auto"/>
        <w:left w:val="none" w:sz="0" w:space="0" w:color="auto"/>
        <w:bottom w:val="none" w:sz="0" w:space="0" w:color="auto"/>
        <w:right w:val="none" w:sz="0" w:space="0" w:color="auto"/>
      </w:divBdr>
    </w:div>
    <w:div w:id="1105468391">
      <w:bodyDiv w:val="1"/>
      <w:marLeft w:val="0"/>
      <w:marRight w:val="0"/>
      <w:marTop w:val="0"/>
      <w:marBottom w:val="0"/>
      <w:divBdr>
        <w:top w:val="none" w:sz="0" w:space="0" w:color="auto"/>
        <w:left w:val="none" w:sz="0" w:space="0" w:color="auto"/>
        <w:bottom w:val="none" w:sz="0" w:space="0" w:color="auto"/>
        <w:right w:val="none" w:sz="0" w:space="0" w:color="auto"/>
      </w:divBdr>
    </w:div>
    <w:div w:id="1124008354">
      <w:bodyDiv w:val="1"/>
      <w:marLeft w:val="0"/>
      <w:marRight w:val="0"/>
      <w:marTop w:val="0"/>
      <w:marBottom w:val="0"/>
      <w:divBdr>
        <w:top w:val="none" w:sz="0" w:space="0" w:color="auto"/>
        <w:left w:val="none" w:sz="0" w:space="0" w:color="auto"/>
        <w:bottom w:val="none" w:sz="0" w:space="0" w:color="auto"/>
        <w:right w:val="none" w:sz="0" w:space="0" w:color="auto"/>
      </w:divBdr>
    </w:div>
    <w:div w:id="1131484537">
      <w:bodyDiv w:val="1"/>
      <w:marLeft w:val="0"/>
      <w:marRight w:val="0"/>
      <w:marTop w:val="0"/>
      <w:marBottom w:val="0"/>
      <w:divBdr>
        <w:top w:val="none" w:sz="0" w:space="0" w:color="auto"/>
        <w:left w:val="none" w:sz="0" w:space="0" w:color="auto"/>
        <w:bottom w:val="none" w:sz="0" w:space="0" w:color="auto"/>
        <w:right w:val="none" w:sz="0" w:space="0" w:color="auto"/>
      </w:divBdr>
    </w:div>
    <w:div w:id="1163206803">
      <w:bodyDiv w:val="1"/>
      <w:marLeft w:val="0"/>
      <w:marRight w:val="0"/>
      <w:marTop w:val="0"/>
      <w:marBottom w:val="0"/>
      <w:divBdr>
        <w:top w:val="none" w:sz="0" w:space="0" w:color="auto"/>
        <w:left w:val="none" w:sz="0" w:space="0" w:color="auto"/>
        <w:bottom w:val="none" w:sz="0" w:space="0" w:color="auto"/>
        <w:right w:val="none" w:sz="0" w:space="0" w:color="auto"/>
      </w:divBdr>
    </w:div>
    <w:div w:id="1177385291">
      <w:bodyDiv w:val="1"/>
      <w:marLeft w:val="0"/>
      <w:marRight w:val="0"/>
      <w:marTop w:val="0"/>
      <w:marBottom w:val="0"/>
      <w:divBdr>
        <w:top w:val="none" w:sz="0" w:space="0" w:color="auto"/>
        <w:left w:val="none" w:sz="0" w:space="0" w:color="auto"/>
        <w:bottom w:val="none" w:sz="0" w:space="0" w:color="auto"/>
        <w:right w:val="none" w:sz="0" w:space="0" w:color="auto"/>
      </w:divBdr>
    </w:div>
    <w:div w:id="1215240068">
      <w:bodyDiv w:val="1"/>
      <w:marLeft w:val="0"/>
      <w:marRight w:val="0"/>
      <w:marTop w:val="0"/>
      <w:marBottom w:val="0"/>
      <w:divBdr>
        <w:top w:val="none" w:sz="0" w:space="0" w:color="auto"/>
        <w:left w:val="none" w:sz="0" w:space="0" w:color="auto"/>
        <w:bottom w:val="none" w:sz="0" w:space="0" w:color="auto"/>
        <w:right w:val="none" w:sz="0" w:space="0" w:color="auto"/>
      </w:divBdr>
    </w:div>
    <w:div w:id="1224415521">
      <w:bodyDiv w:val="1"/>
      <w:marLeft w:val="0"/>
      <w:marRight w:val="0"/>
      <w:marTop w:val="0"/>
      <w:marBottom w:val="0"/>
      <w:divBdr>
        <w:top w:val="none" w:sz="0" w:space="0" w:color="auto"/>
        <w:left w:val="none" w:sz="0" w:space="0" w:color="auto"/>
        <w:bottom w:val="none" w:sz="0" w:space="0" w:color="auto"/>
        <w:right w:val="none" w:sz="0" w:space="0" w:color="auto"/>
      </w:divBdr>
    </w:div>
    <w:div w:id="1241062820">
      <w:bodyDiv w:val="1"/>
      <w:marLeft w:val="0"/>
      <w:marRight w:val="0"/>
      <w:marTop w:val="0"/>
      <w:marBottom w:val="0"/>
      <w:divBdr>
        <w:top w:val="none" w:sz="0" w:space="0" w:color="auto"/>
        <w:left w:val="none" w:sz="0" w:space="0" w:color="auto"/>
        <w:bottom w:val="none" w:sz="0" w:space="0" w:color="auto"/>
        <w:right w:val="none" w:sz="0" w:space="0" w:color="auto"/>
      </w:divBdr>
    </w:div>
    <w:div w:id="1255165031">
      <w:bodyDiv w:val="1"/>
      <w:marLeft w:val="0"/>
      <w:marRight w:val="0"/>
      <w:marTop w:val="0"/>
      <w:marBottom w:val="0"/>
      <w:divBdr>
        <w:top w:val="none" w:sz="0" w:space="0" w:color="auto"/>
        <w:left w:val="none" w:sz="0" w:space="0" w:color="auto"/>
        <w:bottom w:val="none" w:sz="0" w:space="0" w:color="auto"/>
        <w:right w:val="none" w:sz="0" w:space="0" w:color="auto"/>
      </w:divBdr>
    </w:div>
    <w:div w:id="1262911269">
      <w:bodyDiv w:val="1"/>
      <w:marLeft w:val="0"/>
      <w:marRight w:val="0"/>
      <w:marTop w:val="0"/>
      <w:marBottom w:val="0"/>
      <w:divBdr>
        <w:top w:val="none" w:sz="0" w:space="0" w:color="auto"/>
        <w:left w:val="none" w:sz="0" w:space="0" w:color="auto"/>
        <w:bottom w:val="none" w:sz="0" w:space="0" w:color="auto"/>
        <w:right w:val="none" w:sz="0" w:space="0" w:color="auto"/>
      </w:divBdr>
    </w:div>
    <w:div w:id="1265383221">
      <w:bodyDiv w:val="1"/>
      <w:marLeft w:val="0"/>
      <w:marRight w:val="0"/>
      <w:marTop w:val="0"/>
      <w:marBottom w:val="0"/>
      <w:divBdr>
        <w:top w:val="none" w:sz="0" w:space="0" w:color="auto"/>
        <w:left w:val="none" w:sz="0" w:space="0" w:color="auto"/>
        <w:bottom w:val="none" w:sz="0" w:space="0" w:color="auto"/>
        <w:right w:val="none" w:sz="0" w:space="0" w:color="auto"/>
      </w:divBdr>
    </w:div>
    <w:div w:id="1287348679">
      <w:bodyDiv w:val="1"/>
      <w:marLeft w:val="0"/>
      <w:marRight w:val="0"/>
      <w:marTop w:val="0"/>
      <w:marBottom w:val="0"/>
      <w:divBdr>
        <w:top w:val="none" w:sz="0" w:space="0" w:color="auto"/>
        <w:left w:val="none" w:sz="0" w:space="0" w:color="auto"/>
        <w:bottom w:val="none" w:sz="0" w:space="0" w:color="auto"/>
        <w:right w:val="none" w:sz="0" w:space="0" w:color="auto"/>
      </w:divBdr>
    </w:div>
    <w:div w:id="1298797268">
      <w:bodyDiv w:val="1"/>
      <w:marLeft w:val="0"/>
      <w:marRight w:val="0"/>
      <w:marTop w:val="0"/>
      <w:marBottom w:val="0"/>
      <w:divBdr>
        <w:top w:val="none" w:sz="0" w:space="0" w:color="auto"/>
        <w:left w:val="none" w:sz="0" w:space="0" w:color="auto"/>
        <w:bottom w:val="none" w:sz="0" w:space="0" w:color="auto"/>
        <w:right w:val="none" w:sz="0" w:space="0" w:color="auto"/>
      </w:divBdr>
      <w:divsChild>
        <w:div w:id="471557787">
          <w:marLeft w:val="0"/>
          <w:marRight w:val="0"/>
          <w:marTop w:val="0"/>
          <w:marBottom w:val="0"/>
          <w:divBdr>
            <w:top w:val="none" w:sz="0" w:space="0" w:color="auto"/>
            <w:left w:val="none" w:sz="0" w:space="0" w:color="auto"/>
            <w:bottom w:val="none" w:sz="0" w:space="0" w:color="auto"/>
            <w:right w:val="none" w:sz="0" w:space="0" w:color="auto"/>
          </w:divBdr>
        </w:div>
        <w:div w:id="1970741729">
          <w:marLeft w:val="0"/>
          <w:marRight w:val="0"/>
          <w:marTop w:val="0"/>
          <w:marBottom w:val="0"/>
          <w:divBdr>
            <w:top w:val="none" w:sz="0" w:space="0" w:color="auto"/>
            <w:left w:val="none" w:sz="0" w:space="0" w:color="auto"/>
            <w:bottom w:val="none" w:sz="0" w:space="0" w:color="auto"/>
            <w:right w:val="none" w:sz="0" w:space="0" w:color="auto"/>
          </w:divBdr>
        </w:div>
      </w:divsChild>
    </w:div>
    <w:div w:id="1300039465">
      <w:bodyDiv w:val="1"/>
      <w:marLeft w:val="0"/>
      <w:marRight w:val="0"/>
      <w:marTop w:val="0"/>
      <w:marBottom w:val="0"/>
      <w:divBdr>
        <w:top w:val="none" w:sz="0" w:space="0" w:color="auto"/>
        <w:left w:val="none" w:sz="0" w:space="0" w:color="auto"/>
        <w:bottom w:val="none" w:sz="0" w:space="0" w:color="auto"/>
        <w:right w:val="none" w:sz="0" w:space="0" w:color="auto"/>
      </w:divBdr>
    </w:div>
    <w:div w:id="1312832236">
      <w:bodyDiv w:val="1"/>
      <w:marLeft w:val="0"/>
      <w:marRight w:val="0"/>
      <w:marTop w:val="0"/>
      <w:marBottom w:val="0"/>
      <w:divBdr>
        <w:top w:val="none" w:sz="0" w:space="0" w:color="auto"/>
        <w:left w:val="none" w:sz="0" w:space="0" w:color="auto"/>
        <w:bottom w:val="none" w:sz="0" w:space="0" w:color="auto"/>
        <w:right w:val="none" w:sz="0" w:space="0" w:color="auto"/>
      </w:divBdr>
    </w:div>
    <w:div w:id="1328677636">
      <w:bodyDiv w:val="1"/>
      <w:marLeft w:val="0"/>
      <w:marRight w:val="0"/>
      <w:marTop w:val="0"/>
      <w:marBottom w:val="0"/>
      <w:divBdr>
        <w:top w:val="none" w:sz="0" w:space="0" w:color="auto"/>
        <w:left w:val="none" w:sz="0" w:space="0" w:color="auto"/>
        <w:bottom w:val="none" w:sz="0" w:space="0" w:color="auto"/>
        <w:right w:val="none" w:sz="0" w:space="0" w:color="auto"/>
      </w:divBdr>
    </w:div>
    <w:div w:id="1330673485">
      <w:bodyDiv w:val="1"/>
      <w:marLeft w:val="0"/>
      <w:marRight w:val="0"/>
      <w:marTop w:val="0"/>
      <w:marBottom w:val="0"/>
      <w:divBdr>
        <w:top w:val="none" w:sz="0" w:space="0" w:color="auto"/>
        <w:left w:val="none" w:sz="0" w:space="0" w:color="auto"/>
        <w:bottom w:val="none" w:sz="0" w:space="0" w:color="auto"/>
        <w:right w:val="none" w:sz="0" w:space="0" w:color="auto"/>
      </w:divBdr>
    </w:div>
    <w:div w:id="1340548196">
      <w:bodyDiv w:val="1"/>
      <w:marLeft w:val="0"/>
      <w:marRight w:val="0"/>
      <w:marTop w:val="0"/>
      <w:marBottom w:val="0"/>
      <w:divBdr>
        <w:top w:val="none" w:sz="0" w:space="0" w:color="auto"/>
        <w:left w:val="none" w:sz="0" w:space="0" w:color="auto"/>
        <w:bottom w:val="none" w:sz="0" w:space="0" w:color="auto"/>
        <w:right w:val="none" w:sz="0" w:space="0" w:color="auto"/>
      </w:divBdr>
    </w:div>
    <w:div w:id="1344043841">
      <w:bodyDiv w:val="1"/>
      <w:marLeft w:val="0"/>
      <w:marRight w:val="0"/>
      <w:marTop w:val="0"/>
      <w:marBottom w:val="0"/>
      <w:divBdr>
        <w:top w:val="none" w:sz="0" w:space="0" w:color="auto"/>
        <w:left w:val="none" w:sz="0" w:space="0" w:color="auto"/>
        <w:bottom w:val="none" w:sz="0" w:space="0" w:color="auto"/>
        <w:right w:val="none" w:sz="0" w:space="0" w:color="auto"/>
      </w:divBdr>
    </w:div>
    <w:div w:id="1362776682">
      <w:bodyDiv w:val="1"/>
      <w:marLeft w:val="0"/>
      <w:marRight w:val="0"/>
      <w:marTop w:val="0"/>
      <w:marBottom w:val="0"/>
      <w:divBdr>
        <w:top w:val="none" w:sz="0" w:space="0" w:color="auto"/>
        <w:left w:val="none" w:sz="0" w:space="0" w:color="auto"/>
        <w:bottom w:val="none" w:sz="0" w:space="0" w:color="auto"/>
        <w:right w:val="none" w:sz="0" w:space="0" w:color="auto"/>
      </w:divBdr>
    </w:div>
    <w:div w:id="1379939741">
      <w:bodyDiv w:val="1"/>
      <w:marLeft w:val="0"/>
      <w:marRight w:val="0"/>
      <w:marTop w:val="0"/>
      <w:marBottom w:val="0"/>
      <w:divBdr>
        <w:top w:val="none" w:sz="0" w:space="0" w:color="auto"/>
        <w:left w:val="none" w:sz="0" w:space="0" w:color="auto"/>
        <w:bottom w:val="none" w:sz="0" w:space="0" w:color="auto"/>
        <w:right w:val="none" w:sz="0" w:space="0" w:color="auto"/>
      </w:divBdr>
    </w:div>
    <w:div w:id="1388340167">
      <w:bodyDiv w:val="1"/>
      <w:marLeft w:val="0"/>
      <w:marRight w:val="0"/>
      <w:marTop w:val="0"/>
      <w:marBottom w:val="0"/>
      <w:divBdr>
        <w:top w:val="none" w:sz="0" w:space="0" w:color="auto"/>
        <w:left w:val="none" w:sz="0" w:space="0" w:color="auto"/>
        <w:bottom w:val="none" w:sz="0" w:space="0" w:color="auto"/>
        <w:right w:val="none" w:sz="0" w:space="0" w:color="auto"/>
      </w:divBdr>
    </w:div>
    <w:div w:id="1391805654">
      <w:bodyDiv w:val="1"/>
      <w:marLeft w:val="0"/>
      <w:marRight w:val="0"/>
      <w:marTop w:val="0"/>
      <w:marBottom w:val="0"/>
      <w:divBdr>
        <w:top w:val="none" w:sz="0" w:space="0" w:color="auto"/>
        <w:left w:val="none" w:sz="0" w:space="0" w:color="auto"/>
        <w:bottom w:val="none" w:sz="0" w:space="0" w:color="auto"/>
        <w:right w:val="none" w:sz="0" w:space="0" w:color="auto"/>
      </w:divBdr>
    </w:div>
    <w:div w:id="1422027365">
      <w:bodyDiv w:val="1"/>
      <w:marLeft w:val="0"/>
      <w:marRight w:val="0"/>
      <w:marTop w:val="0"/>
      <w:marBottom w:val="0"/>
      <w:divBdr>
        <w:top w:val="none" w:sz="0" w:space="0" w:color="auto"/>
        <w:left w:val="none" w:sz="0" w:space="0" w:color="auto"/>
        <w:bottom w:val="none" w:sz="0" w:space="0" w:color="auto"/>
        <w:right w:val="none" w:sz="0" w:space="0" w:color="auto"/>
      </w:divBdr>
    </w:div>
    <w:div w:id="1447769888">
      <w:bodyDiv w:val="1"/>
      <w:marLeft w:val="0"/>
      <w:marRight w:val="0"/>
      <w:marTop w:val="0"/>
      <w:marBottom w:val="0"/>
      <w:divBdr>
        <w:top w:val="none" w:sz="0" w:space="0" w:color="auto"/>
        <w:left w:val="none" w:sz="0" w:space="0" w:color="auto"/>
        <w:bottom w:val="none" w:sz="0" w:space="0" w:color="auto"/>
        <w:right w:val="none" w:sz="0" w:space="0" w:color="auto"/>
      </w:divBdr>
      <w:divsChild>
        <w:div w:id="172381599">
          <w:marLeft w:val="0"/>
          <w:marRight w:val="0"/>
          <w:marTop w:val="0"/>
          <w:marBottom w:val="0"/>
          <w:divBdr>
            <w:top w:val="none" w:sz="0" w:space="0" w:color="auto"/>
            <w:left w:val="none" w:sz="0" w:space="0" w:color="auto"/>
            <w:bottom w:val="none" w:sz="0" w:space="0" w:color="auto"/>
            <w:right w:val="none" w:sz="0" w:space="0" w:color="auto"/>
          </w:divBdr>
        </w:div>
        <w:div w:id="368998227">
          <w:marLeft w:val="0"/>
          <w:marRight w:val="0"/>
          <w:marTop w:val="0"/>
          <w:marBottom w:val="0"/>
          <w:divBdr>
            <w:top w:val="none" w:sz="0" w:space="0" w:color="auto"/>
            <w:left w:val="none" w:sz="0" w:space="0" w:color="auto"/>
            <w:bottom w:val="none" w:sz="0" w:space="0" w:color="auto"/>
            <w:right w:val="none" w:sz="0" w:space="0" w:color="auto"/>
          </w:divBdr>
        </w:div>
        <w:div w:id="738209440">
          <w:marLeft w:val="0"/>
          <w:marRight w:val="0"/>
          <w:marTop w:val="0"/>
          <w:marBottom w:val="0"/>
          <w:divBdr>
            <w:top w:val="none" w:sz="0" w:space="0" w:color="auto"/>
            <w:left w:val="none" w:sz="0" w:space="0" w:color="auto"/>
            <w:bottom w:val="none" w:sz="0" w:space="0" w:color="auto"/>
            <w:right w:val="none" w:sz="0" w:space="0" w:color="auto"/>
          </w:divBdr>
        </w:div>
        <w:div w:id="1039353872">
          <w:marLeft w:val="0"/>
          <w:marRight w:val="0"/>
          <w:marTop w:val="0"/>
          <w:marBottom w:val="0"/>
          <w:divBdr>
            <w:top w:val="none" w:sz="0" w:space="0" w:color="auto"/>
            <w:left w:val="none" w:sz="0" w:space="0" w:color="auto"/>
            <w:bottom w:val="none" w:sz="0" w:space="0" w:color="auto"/>
            <w:right w:val="none" w:sz="0" w:space="0" w:color="auto"/>
          </w:divBdr>
        </w:div>
        <w:div w:id="1391811230">
          <w:marLeft w:val="0"/>
          <w:marRight w:val="0"/>
          <w:marTop w:val="0"/>
          <w:marBottom w:val="0"/>
          <w:divBdr>
            <w:top w:val="none" w:sz="0" w:space="0" w:color="auto"/>
            <w:left w:val="none" w:sz="0" w:space="0" w:color="auto"/>
            <w:bottom w:val="none" w:sz="0" w:space="0" w:color="auto"/>
            <w:right w:val="none" w:sz="0" w:space="0" w:color="auto"/>
          </w:divBdr>
        </w:div>
        <w:div w:id="1587494980">
          <w:marLeft w:val="0"/>
          <w:marRight w:val="0"/>
          <w:marTop w:val="0"/>
          <w:marBottom w:val="0"/>
          <w:divBdr>
            <w:top w:val="none" w:sz="0" w:space="0" w:color="auto"/>
            <w:left w:val="none" w:sz="0" w:space="0" w:color="auto"/>
            <w:bottom w:val="none" w:sz="0" w:space="0" w:color="auto"/>
            <w:right w:val="none" w:sz="0" w:space="0" w:color="auto"/>
          </w:divBdr>
        </w:div>
        <w:div w:id="2048141632">
          <w:marLeft w:val="0"/>
          <w:marRight w:val="0"/>
          <w:marTop w:val="0"/>
          <w:marBottom w:val="0"/>
          <w:divBdr>
            <w:top w:val="none" w:sz="0" w:space="0" w:color="auto"/>
            <w:left w:val="none" w:sz="0" w:space="0" w:color="auto"/>
            <w:bottom w:val="none" w:sz="0" w:space="0" w:color="auto"/>
            <w:right w:val="none" w:sz="0" w:space="0" w:color="auto"/>
          </w:divBdr>
        </w:div>
      </w:divsChild>
    </w:div>
    <w:div w:id="1459568677">
      <w:bodyDiv w:val="1"/>
      <w:marLeft w:val="0"/>
      <w:marRight w:val="0"/>
      <w:marTop w:val="0"/>
      <w:marBottom w:val="0"/>
      <w:divBdr>
        <w:top w:val="none" w:sz="0" w:space="0" w:color="auto"/>
        <w:left w:val="none" w:sz="0" w:space="0" w:color="auto"/>
        <w:bottom w:val="none" w:sz="0" w:space="0" w:color="auto"/>
        <w:right w:val="none" w:sz="0" w:space="0" w:color="auto"/>
      </w:divBdr>
    </w:div>
    <w:div w:id="1477913758">
      <w:bodyDiv w:val="1"/>
      <w:marLeft w:val="0"/>
      <w:marRight w:val="0"/>
      <w:marTop w:val="0"/>
      <w:marBottom w:val="0"/>
      <w:divBdr>
        <w:top w:val="none" w:sz="0" w:space="0" w:color="auto"/>
        <w:left w:val="none" w:sz="0" w:space="0" w:color="auto"/>
        <w:bottom w:val="none" w:sz="0" w:space="0" w:color="auto"/>
        <w:right w:val="none" w:sz="0" w:space="0" w:color="auto"/>
      </w:divBdr>
    </w:div>
    <w:div w:id="1513454072">
      <w:bodyDiv w:val="1"/>
      <w:marLeft w:val="0"/>
      <w:marRight w:val="0"/>
      <w:marTop w:val="0"/>
      <w:marBottom w:val="0"/>
      <w:divBdr>
        <w:top w:val="none" w:sz="0" w:space="0" w:color="auto"/>
        <w:left w:val="none" w:sz="0" w:space="0" w:color="auto"/>
        <w:bottom w:val="none" w:sz="0" w:space="0" w:color="auto"/>
        <w:right w:val="none" w:sz="0" w:space="0" w:color="auto"/>
      </w:divBdr>
    </w:div>
    <w:div w:id="1528640820">
      <w:bodyDiv w:val="1"/>
      <w:marLeft w:val="0"/>
      <w:marRight w:val="0"/>
      <w:marTop w:val="0"/>
      <w:marBottom w:val="0"/>
      <w:divBdr>
        <w:top w:val="none" w:sz="0" w:space="0" w:color="auto"/>
        <w:left w:val="none" w:sz="0" w:space="0" w:color="auto"/>
        <w:bottom w:val="none" w:sz="0" w:space="0" w:color="auto"/>
        <w:right w:val="none" w:sz="0" w:space="0" w:color="auto"/>
      </w:divBdr>
    </w:div>
    <w:div w:id="1530991217">
      <w:bodyDiv w:val="1"/>
      <w:marLeft w:val="0"/>
      <w:marRight w:val="0"/>
      <w:marTop w:val="0"/>
      <w:marBottom w:val="0"/>
      <w:divBdr>
        <w:top w:val="none" w:sz="0" w:space="0" w:color="auto"/>
        <w:left w:val="none" w:sz="0" w:space="0" w:color="auto"/>
        <w:bottom w:val="none" w:sz="0" w:space="0" w:color="auto"/>
        <w:right w:val="none" w:sz="0" w:space="0" w:color="auto"/>
      </w:divBdr>
    </w:div>
    <w:div w:id="1562063133">
      <w:bodyDiv w:val="1"/>
      <w:marLeft w:val="0"/>
      <w:marRight w:val="0"/>
      <w:marTop w:val="0"/>
      <w:marBottom w:val="0"/>
      <w:divBdr>
        <w:top w:val="none" w:sz="0" w:space="0" w:color="auto"/>
        <w:left w:val="none" w:sz="0" w:space="0" w:color="auto"/>
        <w:bottom w:val="none" w:sz="0" w:space="0" w:color="auto"/>
        <w:right w:val="none" w:sz="0" w:space="0" w:color="auto"/>
      </w:divBdr>
    </w:div>
    <w:div w:id="1566799264">
      <w:bodyDiv w:val="1"/>
      <w:marLeft w:val="0"/>
      <w:marRight w:val="0"/>
      <w:marTop w:val="0"/>
      <w:marBottom w:val="0"/>
      <w:divBdr>
        <w:top w:val="none" w:sz="0" w:space="0" w:color="auto"/>
        <w:left w:val="none" w:sz="0" w:space="0" w:color="auto"/>
        <w:bottom w:val="none" w:sz="0" w:space="0" w:color="auto"/>
        <w:right w:val="none" w:sz="0" w:space="0" w:color="auto"/>
      </w:divBdr>
    </w:div>
    <w:div w:id="1566915265">
      <w:bodyDiv w:val="1"/>
      <w:marLeft w:val="0"/>
      <w:marRight w:val="0"/>
      <w:marTop w:val="0"/>
      <w:marBottom w:val="0"/>
      <w:divBdr>
        <w:top w:val="none" w:sz="0" w:space="0" w:color="auto"/>
        <w:left w:val="none" w:sz="0" w:space="0" w:color="auto"/>
        <w:bottom w:val="none" w:sz="0" w:space="0" w:color="auto"/>
        <w:right w:val="none" w:sz="0" w:space="0" w:color="auto"/>
      </w:divBdr>
    </w:div>
    <w:div w:id="1587882556">
      <w:bodyDiv w:val="1"/>
      <w:marLeft w:val="0"/>
      <w:marRight w:val="0"/>
      <w:marTop w:val="0"/>
      <w:marBottom w:val="0"/>
      <w:divBdr>
        <w:top w:val="none" w:sz="0" w:space="0" w:color="auto"/>
        <w:left w:val="none" w:sz="0" w:space="0" w:color="auto"/>
        <w:bottom w:val="none" w:sz="0" w:space="0" w:color="auto"/>
        <w:right w:val="none" w:sz="0" w:space="0" w:color="auto"/>
      </w:divBdr>
    </w:div>
    <w:div w:id="1593514953">
      <w:bodyDiv w:val="1"/>
      <w:marLeft w:val="0"/>
      <w:marRight w:val="0"/>
      <w:marTop w:val="0"/>
      <w:marBottom w:val="0"/>
      <w:divBdr>
        <w:top w:val="none" w:sz="0" w:space="0" w:color="auto"/>
        <w:left w:val="none" w:sz="0" w:space="0" w:color="auto"/>
        <w:bottom w:val="none" w:sz="0" w:space="0" w:color="auto"/>
        <w:right w:val="none" w:sz="0" w:space="0" w:color="auto"/>
      </w:divBdr>
    </w:div>
    <w:div w:id="1599754653">
      <w:bodyDiv w:val="1"/>
      <w:marLeft w:val="0"/>
      <w:marRight w:val="0"/>
      <w:marTop w:val="0"/>
      <w:marBottom w:val="0"/>
      <w:divBdr>
        <w:top w:val="none" w:sz="0" w:space="0" w:color="auto"/>
        <w:left w:val="none" w:sz="0" w:space="0" w:color="auto"/>
        <w:bottom w:val="none" w:sz="0" w:space="0" w:color="auto"/>
        <w:right w:val="none" w:sz="0" w:space="0" w:color="auto"/>
      </w:divBdr>
    </w:div>
    <w:div w:id="1602838031">
      <w:bodyDiv w:val="1"/>
      <w:marLeft w:val="0"/>
      <w:marRight w:val="0"/>
      <w:marTop w:val="0"/>
      <w:marBottom w:val="0"/>
      <w:divBdr>
        <w:top w:val="none" w:sz="0" w:space="0" w:color="auto"/>
        <w:left w:val="none" w:sz="0" w:space="0" w:color="auto"/>
        <w:bottom w:val="none" w:sz="0" w:space="0" w:color="auto"/>
        <w:right w:val="none" w:sz="0" w:space="0" w:color="auto"/>
      </w:divBdr>
      <w:divsChild>
        <w:div w:id="632758150">
          <w:marLeft w:val="0"/>
          <w:marRight w:val="0"/>
          <w:marTop w:val="0"/>
          <w:marBottom w:val="0"/>
          <w:divBdr>
            <w:top w:val="none" w:sz="0" w:space="0" w:color="auto"/>
            <w:left w:val="none" w:sz="0" w:space="0" w:color="auto"/>
            <w:bottom w:val="none" w:sz="0" w:space="0" w:color="auto"/>
            <w:right w:val="none" w:sz="0" w:space="0" w:color="auto"/>
          </w:divBdr>
          <w:divsChild>
            <w:div w:id="1650868716">
              <w:marLeft w:val="0"/>
              <w:marRight w:val="0"/>
              <w:marTop w:val="0"/>
              <w:marBottom w:val="0"/>
              <w:divBdr>
                <w:top w:val="none" w:sz="0" w:space="0" w:color="auto"/>
                <w:left w:val="none" w:sz="0" w:space="0" w:color="auto"/>
                <w:bottom w:val="none" w:sz="0" w:space="0" w:color="auto"/>
                <w:right w:val="none" w:sz="0" w:space="0" w:color="auto"/>
              </w:divBdr>
              <w:divsChild>
                <w:div w:id="18010731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10232713">
      <w:bodyDiv w:val="1"/>
      <w:marLeft w:val="0"/>
      <w:marRight w:val="0"/>
      <w:marTop w:val="0"/>
      <w:marBottom w:val="0"/>
      <w:divBdr>
        <w:top w:val="none" w:sz="0" w:space="0" w:color="auto"/>
        <w:left w:val="none" w:sz="0" w:space="0" w:color="auto"/>
        <w:bottom w:val="none" w:sz="0" w:space="0" w:color="auto"/>
        <w:right w:val="none" w:sz="0" w:space="0" w:color="auto"/>
      </w:divBdr>
    </w:div>
    <w:div w:id="1615865581">
      <w:bodyDiv w:val="1"/>
      <w:marLeft w:val="0"/>
      <w:marRight w:val="0"/>
      <w:marTop w:val="0"/>
      <w:marBottom w:val="0"/>
      <w:divBdr>
        <w:top w:val="none" w:sz="0" w:space="0" w:color="auto"/>
        <w:left w:val="none" w:sz="0" w:space="0" w:color="auto"/>
        <w:bottom w:val="none" w:sz="0" w:space="0" w:color="auto"/>
        <w:right w:val="none" w:sz="0" w:space="0" w:color="auto"/>
      </w:divBdr>
      <w:divsChild>
        <w:div w:id="457838105">
          <w:marLeft w:val="0"/>
          <w:marRight w:val="0"/>
          <w:marTop w:val="0"/>
          <w:marBottom w:val="0"/>
          <w:divBdr>
            <w:top w:val="none" w:sz="0" w:space="0" w:color="auto"/>
            <w:left w:val="none" w:sz="0" w:space="0" w:color="auto"/>
            <w:bottom w:val="none" w:sz="0" w:space="0" w:color="auto"/>
            <w:right w:val="none" w:sz="0" w:space="0" w:color="auto"/>
          </w:divBdr>
        </w:div>
        <w:div w:id="964383317">
          <w:marLeft w:val="0"/>
          <w:marRight w:val="0"/>
          <w:marTop w:val="0"/>
          <w:marBottom w:val="0"/>
          <w:divBdr>
            <w:top w:val="none" w:sz="0" w:space="0" w:color="auto"/>
            <w:left w:val="none" w:sz="0" w:space="0" w:color="auto"/>
            <w:bottom w:val="none" w:sz="0" w:space="0" w:color="auto"/>
            <w:right w:val="none" w:sz="0" w:space="0" w:color="auto"/>
          </w:divBdr>
        </w:div>
      </w:divsChild>
    </w:div>
    <w:div w:id="1629779251">
      <w:bodyDiv w:val="1"/>
      <w:marLeft w:val="0"/>
      <w:marRight w:val="0"/>
      <w:marTop w:val="0"/>
      <w:marBottom w:val="0"/>
      <w:divBdr>
        <w:top w:val="none" w:sz="0" w:space="0" w:color="auto"/>
        <w:left w:val="none" w:sz="0" w:space="0" w:color="auto"/>
        <w:bottom w:val="none" w:sz="0" w:space="0" w:color="auto"/>
        <w:right w:val="none" w:sz="0" w:space="0" w:color="auto"/>
      </w:divBdr>
      <w:divsChild>
        <w:div w:id="593973917">
          <w:marLeft w:val="0"/>
          <w:marRight w:val="0"/>
          <w:marTop w:val="90"/>
          <w:marBottom w:val="0"/>
          <w:divBdr>
            <w:top w:val="none" w:sz="0" w:space="0" w:color="auto"/>
            <w:left w:val="none" w:sz="0" w:space="0" w:color="auto"/>
            <w:bottom w:val="none" w:sz="0" w:space="0" w:color="auto"/>
            <w:right w:val="none" w:sz="0" w:space="0" w:color="auto"/>
          </w:divBdr>
          <w:divsChild>
            <w:div w:id="1584681477">
              <w:marLeft w:val="0"/>
              <w:marRight w:val="0"/>
              <w:marTop w:val="0"/>
              <w:marBottom w:val="420"/>
              <w:divBdr>
                <w:top w:val="none" w:sz="0" w:space="0" w:color="auto"/>
                <w:left w:val="none" w:sz="0" w:space="0" w:color="auto"/>
                <w:bottom w:val="none" w:sz="0" w:space="0" w:color="auto"/>
                <w:right w:val="none" w:sz="0" w:space="0" w:color="auto"/>
              </w:divBdr>
              <w:divsChild>
                <w:div w:id="1577587459">
                  <w:marLeft w:val="0"/>
                  <w:marRight w:val="0"/>
                  <w:marTop w:val="0"/>
                  <w:marBottom w:val="0"/>
                  <w:divBdr>
                    <w:top w:val="none" w:sz="0" w:space="0" w:color="auto"/>
                    <w:left w:val="none" w:sz="0" w:space="0" w:color="auto"/>
                    <w:bottom w:val="none" w:sz="0" w:space="0" w:color="auto"/>
                    <w:right w:val="none" w:sz="0" w:space="0" w:color="auto"/>
                  </w:divBdr>
                  <w:divsChild>
                    <w:div w:id="4485968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33562370">
      <w:bodyDiv w:val="1"/>
      <w:marLeft w:val="0"/>
      <w:marRight w:val="0"/>
      <w:marTop w:val="0"/>
      <w:marBottom w:val="0"/>
      <w:divBdr>
        <w:top w:val="none" w:sz="0" w:space="0" w:color="auto"/>
        <w:left w:val="none" w:sz="0" w:space="0" w:color="auto"/>
        <w:bottom w:val="none" w:sz="0" w:space="0" w:color="auto"/>
        <w:right w:val="none" w:sz="0" w:space="0" w:color="auto"/>
      </w:divBdr>
    </w:div>
    <w:div w:id="1644312723">
      <w:bodyDiv w:val="1"/>
      <w:marLeft w:val="0"/>
      <w:marRight w:val="0"/>
      <w:marTop w:val="0"/>
      <w:marBottom w:val="0"/>
      <w:divBdr>
        <w:top w:val="none" w:sz="0" w:space="0" w:color="auto"/>
        <w:left w:val="none" w:sz="0" w:space="0" w:color="auto"/>
        <w:bottom w:val="none" w:sz="0" w:space="0" w:color="auto"/>
        <w:right w:val="none" w:sz="0" w:space="0" w:color="auto"/>
      </w:divBdr>
    </w:div>
    <w:div w:id="1711301224">
      <w:bodyDiv w:val="1"/>
      <w:marLeft w:val="0"/>
      <w:marRight w:val="0"/>
      <w:marTop w:val="0"/>
      <w:marBottom w:val="0"/>
      <w:divBdr>
        <w:top w:val="none" w:sz="0" w:space="0" w:color="auto"/>
        <w:left w:val="none" w:sz="0" w:space="0" w:color="auto"/>
        <w:bottom w:val="none" w:sz="0" w:space="0" w:color="auto"/>
        <w:right w:val="none" w:sz="0" w:space="0" w:color="auto"/>
      </w:divBdr>
    </w:div>
    <w:div w:id="1726175199">
      <w:bodyDiv w:val="1"/>
      <w:marLeft w:val="0"/>
      <w:marRight w:val="0"/>
      <w:marTop w:val="0"/>
      <w:marBottom w:val="0"/>
      <w:divBdr>
        <w:top w:val="none" w:sz="0" w:space="0" w:color="auto"/>
        <w:left w:val="none" w:sz="0" w:space="0" w:color="auto"/>
        <w:bottom w:val="none" w:sz="0" w:space="0" w:color="auto"/>
        <w:right w:val="none" w:sz="0" w:space="0" w:color="auto"/>
      </w:divBdr>
    </w:div>
    <w:div w:id="1730835969">
      <w:bodyDiv w:val="1"/>
      <w:marLeft w:val="0"/>
      <w:marRight w:val="0"/>
      <w:marTop w:val="0"/>
      <w:marBottom w:val="0"/>
      <w:divBdr>
        <w:top w:val="none" w:sz="0" w:space="0" w:color="auto"/>
        <w:left w:val="none" w:sz="0" w:space="0" w:color="auto"/>
        <w:bottom w:val="none" w:sz="0" w:space="0" w:color="auto"/>
        <w:right w:val="none" w:sz="0" w:space="0" w:color="auto"/>
      </w:divBdr>
    </w:div>
    <w:div w:id="1731003581">
      <w:bodyDiv w:val="1"/>
      <w:marLeft w:val="0"/>
      <w:marRight w:val="0"/>
      <w:marTop w:val="0"/>
      <w:marBottom w:val="0"/>
      <w:divBdr>
        <w:top w:val="none" w:sz="0" w:space="0" w:color="auto"/>
        <w:left w:val="none" w:sz="0" w:space="0" w:color="auto"/>
        <w:bottom w:val="none" w:sz="0" w:space="0" w:color="auto"/>
        <w:right w:val="none" w:sz="0" w:space="0" w:color="auto"/>
      </w:divBdr>
    </w:div>
    <w:div w:id="1739865806">
      <w:bodyDiv w:val="1"/>
      <w:marLeft w:val="0"/>
      <w:marRight w:val="0"/>
      <w:marTop w:val="0"/>
      <w:marBottom w:val="0"/>
      <w:divBdr>
        <w:top w:val="none" w:sz="0" w:space="0" w:color="auto"/>
        <w:left w:val="none" w:sz="0" w:space="0" w:color="auto"/>
        <w:bottom w:val="none" w:sz="0" w:space="0" w:color="auto"/>
        <w:right w:val="none" w:sz="0" w:space="0" w:color="auto"/>
      </w:divBdr>
    </w:div>
    <w:div w:id="1740597709">
      <w:bodyDiv w:val="1"/>
      <w:marLeft w:val="0"/>
      <w:marRight w:val="0"/>
      <w:marTop w:val="0"/>
      <w:marBottom w:val="0"/>
      <w:divBdr>
        <w:top w:val="none" w:sz="0" w:space="0" w:color="auto"/>
        <w:left w:val="none" w:sz="0" w:space="0" w:color="auto"/>
        <w:bottom w:val="none" w:sz="0" w:space="0" w:color="auto"/>
        <w:right w:val="none" w:sz="0" w:space="0" w:color="auto"/>
      </w:divBdr>
    </w:div>
    <w:div w:id="1763212021">
      <w:bodyDiv w:val="1"/>
      <w:marLeft w:val="0"/>
      <w:marRight w:val="0"/>
      <w:marTop w:val="0"/>
      <w:marBottom w:val="0"/>
      <w:divBdr>
        <w:top w:val="none" w:sz="0" w:space="0" w:color="auto"/>
        <w:left w:val="none" w:sz="0" w:space="0" w:color="auto"/>
        <w:bottom w:val="none" w:sz="0" w:space="0" w:color="auto"/>
        <w:right w:val="none" w:sz="0" w:space="0" w:color="auto"/>
      </w:divBdr>
    </w:div>
    <w:div w:id="1777750751">
      <w:bodyDiv w:val="1"/>
      <w:marLeft w:val="0"/>
      <w:marRight w:val="0"/>
      <w:marTop w:val="0"/>
      <w:marBottom w:val="0"/>
      <w:divBdr>
        <w:top w:val="none" w:sz="0" w:space="0" w:color="auto"/>
        <w:left w:val="none" w:sz="0" w:space="0" w:color="auto"/>
        <w:bottom w:val="none" w:sz="0" w:space="0" w:color="auto"/>
        <w:right w:val="none" w:sz="0" w:space="0" w:color="auto"/>
      </w:divBdr>
    </w:div>
    <w:div w:id="1789228856">
      <w:bodyDiv w:val="1"/>
      <w:marLeft w:val="0"/>
      <w:marRight w:val="0"/>
      <w:marTop w:val="0"/>
      <w:marBottom w:val="0"/>
      <w:divBdr>
        <w:top w:val="none" w:sz="0" w:space="0" w:color="auto"/>
        <w:left w:val="none" w:sz="0" w:space="0" w:color="auto"/>
        <w:bottom w:val="none" w:sz="0" w:space="0" w:color="auto"/>
        <w:right w:val="none" w:sz="0" w:space="0" w:color="auto"/>
      </w:divBdr>
    </w:div>
    <w:div w:id="1790394107">
      <w:bodyDiv w:val="1"/>
      <w:marLeft w:val="0"/>
      <w:marRight w:val="0"/>
      <w:marTop w:val="0"/>
      <w:marBottom w:val="0"/>
      <w:divBdr>
        <w:top w:val="none" w:sz="0" w:space="0" w:color="auto"/>
        <w:left w:val="none" w:sz="0" w:space="0" w:color="auto"/>
        <w:bottom w:val="none" w:sz="0" w:space="0" w:color="auto"/>
        <w:right w:val="none" w:sz="0" w:space="0" w:color="auto"/>
      </w:divBdr>
    </w:div>
    <w:div w:id="1803768591">
      <w:bodyDiv w:val="1"/>
      <w:marLeft w:val="0"/>
      <w:marRight w:val="0"/>
      <w:marTop w:val="0"/>
      <w:marBottom w:val="0"/>
      <w:divBdr>
        <w:top w:val="none" w:sz="0" w:space="0" w:color="auto"/>
        <w:left w:val="none" w:sz="0" w:space="0" w:color="auto"/>
        <w:bottom w:val="none" w:sz="0" w:space="0" w:color="auto"/>
        <w:right w:val="none" w:sz="0" w:space="0" w:color="auto"/>
      </w:divBdr>
    </w:div>
    <w:div w:id="1812282661">
      <w:bodyDiv w:val="1"/>
      <w:marLeft w:val="0"/>
      <w:marRight w:val="0"/>
      <w:marTop w:val="0"/>
      <w:marBottom w:val="0"/>
      <w:divBdr>
        <w:top w:val="none" w:sz="0" w:space="0" w:color="auto"/>
        <w:left w:val="none" w:sz="0" w:space="0" w:color="auto"/>
        <w:bottom w:val="none" w:sz="0" w:space="0" w:color="auto"/>
        <w:right w:val="none" w:sz="0" w:space="0" w:color="auto"/>
      </w:divBdr>
      <w:divsChild>
        <w:div w:id="245266541">
          <w:marLeft w:val="0"/>
          <w:marRight w:val="0"/>
          <w:marTop w:val="0"/>
          <w:marBottom w:val="160"/>
          <w:divBdr>
            <w:top w:val="none" w:sz="0" w:space="0" w:color="auto"/>
            <w:left w:val="none" w:sz="0" w:space="0" w:color="auto"/>
            <w:bottom w:val="none" w:sz="0" w:space="0" w:color="auto"/>
            <w:right w:val="none" w:sz="0" w:space="0" w:color="auto"/>
          </w:divBdr>
        </w:div>
        <w:div w:id="333457227">
          <w:marLeft w:val="0"/>
          <w:marRight w:val="0"/>
          <w:marTop w:val="0"/>
          <w:marBottom w:val="160"/>
          <w:divBdr>
            <w:top w:val="none" w:sz="0" w:space="0" w:color="auto"/>
            <w:left w:val="none" w:sz="0" w:space="0" w:color="auto"/>
            <w:bottom w:val="none" w:sz="0" w:space="0" w:color="auto"/>
            <w:right w:val="none" w:sz="0" w:space="0" w:color="auto"/>
          </w:divBdr>
        </w:div>
        <w:div w:id="1521240935">
          <w:marLeft w:val="0"/>
          <w:marRight w:val="0"/>
          <w:marTop w:val="0"/>
          <w:marBottom w:val="160"/>
          <w:divBdr>
            <w:top w:val="none" w:sz="0" w:space="0" w:color="auto"/>
            <w:left w:val="none" w:sz="0" w:space="0" w:color="auto"/>
            <w:bottom w:val="none" w:sz="0" w:space="0" w:color="auto"/>
            <w:right w:val="none" w:sz="0" w:space="0" w:color="auto"/>
          </w:divBdr>
        </w:div>
        <w:div w:id="1605771692">
          <w:marLeft w:val="0"/>
          <w:marRight w:val="0"/>
          <w:marTop w:val="0"/>
          <w:marBottom w:val="160"/>
          <w:divBdr>
            <w:top w:val="none" w:sz="0" w:space="0" w:color="auto"/>
            <w:left w:val="none" w:sz="0" w:space="0" w:color="auto"/>
            <w:bottom w:val="none" w:sz="0" w:space="0" w:color="auto"/>
            <w:right w:val="none" w:sz="0" w:space="0" w:color="auto"/>
          </w:divBdr>
        </w:div>
      </w:divsChild>
    </w:div>
    <w:div w:id="1815760006">
      <w:bodyDiv w:val="1"/>
      <w:marLeft w:val="0"/>
      <w:marRight w:val="0"/>
      <w:marTop w:val="0"/>
      <w:marBottom w:val="0"/>
      <w:divBdr>
        <w:top w:val="none" w:sz="0" w:space="0" w:color="auto"/>
        <w:left w:val="none" w:sz="0" w:space="0" w:color="auto"/>
        <w:bottom w:val="none" w:sz="0" w:space="0" w:color="auto"/>
        <w:right w:val="none" w:sz="0" w:space="0" w:color="auto"/>
      </w:divBdr>
    </w:div>
    <w:div w:id="1819302054">
      <w:bodyDiv w:val="1"/>
      <w:marLeft w:val="0"/>
      <w:marRight w:val="0"/>
      <w:marTop w:val="0"/>
      <w:marBottom w:val="0"/>
      <w:divBdr>
        <w:top w:val="none" w:sz="0" w:space="0" w:color="auto"/>
        <w:left w:val="none" w:sz="0" w:space="0" w:color="auto"/>
        <w:bottom w:val="none" w:sz="0" w:space="0" w:color="auto"/>
        <w:right w:val="none" w:sz="0" w:space="0" w:color="auto"/>
      </w:divBdr>
    </w:div>
    <w:div w:id="1826049504">
      <w:bodyDiv w:val="1"/>
      <w:marLeft w:val="0"/>
      <w:marRight w:val="0"/>
      <w:marTop w:val="0"/>
      <w:marBottom w:val="0"/>
      <w:divBdr>
        <w:top w:val="none" w:sz="0" w:space="0" w:color="auto"/>
        <w:left w:val="none" w:sz="0" w:space="0" w:color="auto"/>
        <w:bottom w:val="none" w:sz="0" w:space="0" w:color="auto"/>
        <w:right w:val="none" w:sz="0" w:space="0" w:color="auto"/>
      </w:divBdr>
    </w:div>
    <w:div w:id="1836722327">
      <w:bodyDiv w:val="1"/>
      <w:marLeft w:val="0"/>
      <w:marRight w:val="0"/>
      <w:marTop w:val="0"/>
      <w:marBottom w:val="0"/>
      <w:divBdr>
        <w:top w:val="none" w:sz="0" w:space="0" w:color="auto"/>
        <w:left w:val="none" w:sz="0" w:space="0" w:color="auto"/>
        <w:bottom w:val="none" w:sz="0" w:space="0" w:color="auto"/>
        <w:right w:val="none" w:sz="0" w:space="0" w:color="auto"/>
      </w:divBdr>
      <w:divsChild>
        <w:div w:id="157769933">
          <w:marLeft w:val="0"/>
          <w:marRight w:val="0"/>
          <w:marTop w:val="0"/>
          <w:marBottom w:val="0"/>
          <w:divBdr>
            <w:top w:val="none" w:sz="0" w:space="0" w:color="auto"/>
            <w:left w:val="none" w:sz="0" w:space="0" w:color="auto"/>
            <w:bottom w:val="none" w:sz="0" w:space="0" w:color="auto"/>
            <w:right w:val="none" w:sz="0" w:space="0" w:color="auto"/>
          </w:divBdr>
        </w:div>
        <w:div w:id="1346052691">
          <w:marLeft w:val="0"/>
          <w:marRight w:val="0"/>
          <w:marTop w:val="0"/>
          <w:marBottom w:val="0"/>
          <w:divBdr>
            <w:top w:val="none" w:sz="0" w:space="0" w:color="auto"/>
            <w:left w:val="none" w:sz="0" w:space="0" w:color="auto"/>
            <w:bottom w:val="none" w:sz="0" w:space="0" w:color="auto"/>
            <w:right w:val="none" w:sz="0" w:space="0" w:color="auto"/>
          </w:divBdr>
        </w:div>
      </w:divsChild>
    </w:div>
    <w:div w:id="1848598106">
      <w:bodyDiv w:val="1"/>
      <w:marLeft w:val="0"/>
      <w:marRight w:val="0"/>
      <w:marTop w:val="0"/>
      <w:marBottom w:val="0"/>
      <w:divBdr>
        <w:top w:val="none" w:sz="0" w:space="0" w:color="auto"/>
        <w:left w:val="none" w:sz="0" w:space="0" w:color="auto"/>
        <w:bottom w:val="none" w:sz="0" w:space="0" w:color="auto"/>
        <w:right w:val="none" w:sz="0" w:space="0" w:color="auto"/>
      </w:divBdr>
    </w:div>
    <w:div w:id="1848934348">
      <w:bodyDiv w:val="1"/>
      <w:marLeft w:val="0"/>
      <w:marRight w:val="0"/>
      <w:marTop w:val="0"/>
      <w:marBottom w:val="0"/>
      <w:divBdr>
        <w:top w:val="none" w:sz="0" w:space="0" w:color="auto"/>
        <w:left w:val="none" w:sz="0" w:space="0" w:color="auto"/>
        <w:bottom w:val="none" w:sz="0" w:space="0" w:color="auto"/>
        <w:right w:val="none" w:sz="0" w:space="0" w:color="auto"/>
      </w:divBdr>
    </w:div>
    <w:div w:id="1854874991">
      <w:bodyDiv w:val="1"/>
      <w:marLeft w:val="0"/>
      <w:marRight w:val="0"/>
      <w:marTop w:val="0"/>
      <w:marBottom w:val="0"/>
      <w:divBdr>
        <w:top w:val="none" w:sz="0" w:space="0" w:color="auto"/>
        <w:left w:val="none" w:sz="0" w:space="0" w:color="auto"/>
        <w:bottom w:val="none" w:sz="0" w:space="0" w:color="auto"/>
        <w:right w:val="none" w:sz="0" w:space="0" w:color="auto"/>
      </w:divBdr>
    </w:div>
    <w:div w:id="1862893312">
      <w:bodyDiv w:val="1"/>
      <w:marLeft w:val="0"/>
      <w:marRight w:val="0"/>
      <w:marTop w:val="0"/>
      <w:marBottom w:val="0"/>
      <w:divBdr>
        <w:top w:val="none" w:sz="0" w:space="0" w:color="auto"/>
        <w:left w:val="none" w:sz="0" w:space="0" w:color="auto"/>
        <w:bottom w:val="none" w:sz="0" w:space="0" w:color="auto"/>
        <w:right w:val="none" w:sz="0" w:space="0" w:color="auto"/>
      </w:divBdr>
    </w:div>
    <w:div w:id="1864392997">
      <w:bodyDiv w:val="1"/>
      <w:marLeft w:val="0"/>
      <w:marRight w:val="0"/>
      <w:marTop w:val="0"/>
      <w:marBottom w:val="0"/>
      <w:divBdr>
        <w:top w:val="none" w:sz="0" w:space="0" w:color="auto"/>
        <w:left w:val="none" w:sz="0" w:space="0" w:color="auto"/>
        <w:bottom w:val="none" w:sz="0" w:space="0" w:color="auto"/>
        <w:right w:val="none" w:sz="0" w:space="0" w:color="auto"/>
      </w:divBdr>
    </w:div>
    <w:div w:id="1886675816">
      <w:bodyDiv w:val="1"/>
      <w:marLeft w:val="0"/>
      <w:marRight w:val="0"/>
      <w:marTop w:val="0"/>
      <w:marBottom w:val="0"/>
      <w:divBdr>
        <w:top w:val="none" w:sz="0" w:space="0" w:color="auto"/>
        <w:left w:val="none" w:sz="0" w:space="0" w:color="auto"/>
        <w:bottom w:val="none" w:sz="0" w:space="0" w:color="auto"/>
        <w:right w:val="none" w:sz="0" w:space="0" w:color="auto"/>
      </w:divBdr>
    </w:div>
    <w:div w:id="1890454832">
      <w:bodyDiv w:val="1"/>
      <w:marLeft w:val="0"/>
      <w:marRight w:val="0"/>
      <w:marTop w:val="0"/>
      <w:marBottom w:val="0"/>
      <w:divBdr>
        <w:top w:val="none" w:sz="0" w:space="0" w:color="auto"/>
        <w:left w:val="none" w:sz="0" w:space="0" w:color="auto"/>
        <w:bottom w:val="none" w:sz="0" w:space="0" w:color="auto"/>
        <w:right w:val="none" w:sz="0" w:space="0" w:color="auto"/>
      </w:divBdr>
    </w:div>
    <w:div w:id="1913464356">
      <w:bodyDiv w:val="1"/>
      <w:marLeft w:val="0"/>
      <w:marRight w:val="0"/>
      <w:marTop w:val="0"/>
      <w:marBottom w:val="0"/>
      <w:divBdr>
        <w:top w:val="none" w:sz="0" w:space="0" w:color="auto"/>
        <w:left w:val="none" w:sz="0" w:space="0" w:color="auto"/>
        <w:bottom w:val="none" w:sz="0" w:space="0" w:color="auto"/>
        <w:right w:val="none" w:sz="0" w:space="0" w:color="auto"/>
      </w:divBdr>
    </w:div>
    <w:div w:id="1923027821">
      <w:bodyDiv w:val="1"/>
      <w:marLeft w:val="0"/>
      <w:marRight w:val="0"/>
      <w:marTop w:val="0"/>
      <w:marBottom w:val="0"/>
      <w:divBdr>
        <w:top w:val="none" w:sz="0" w:space="0" w:color="auto"/>
        <w:left w:val="none" w:sz="0" w:space="0" w:color="auto"/>
        <w:bottom w:val="none" w:sz="0" w:space="0" w:color="auto"/>
        <w:right w:val="none" w:sz="0" w:space="0" w:color="auto"/>
      </w:divBdr>
    </w:div>
    <w:div w:id="1930386459">
      <w:bodyDiv w:val="1"/>
      <w:marLeft w:val="0"/>
      <w:marRight w:val="0"/>
      <w:marTop w:val="0"/>
      <w:marBottom w:val="0"/>
      <w:divBdr>
        <w:top w:val="none" w:sz="0" w:space="0" w:color="auto"/>
        <w:left w:val="none" w:sz="0" w:space="0" w:color="auto"/>
        <w:bottom w:val="none" w:sz="0" w:space="0" w:color="auto"/>
        <w:right w:val="none" w:sz="0" w:space="0" w:color="auto"/>
      </w:divBdr>
    </w:div>
    <w:div w:id="1933079364">
      <w:bodyDiv w:val="1"/>
      <w:marLeft w:val="0"/>
      <w:marRight w:val="0"/>
      <w:marTop w:val="0"/>
      <w:marBottom w:val="0"/>
      <w:divBdr>
        <w:top w:val="none" w:sz="0" w:space="0" w:color="auto"/>
        <w:left w:val="none" w:sz="0" w:space="0" w:color="auto"/>
        <w:bottom w:val="none" w:sz="0" w:space="0" w:color="auto"/>
        <w:right w:val="none" w:sz="0" w:space="0" w:color="auto"/>
      </w:divBdr>
    </w:div>
    <w:div w:id="1941373190">
      <w:bodyDiv w:val="1"/>
      <w:marLeft w:val="0"/>
      <w:marRight w:val="0"/>
      <w:marTop w:val="0"/>
      <w:marBottom w:val="0"/>
      <w:divBdr>
        <w:top w:val="none" w:sz="0" w:space="0" w:color="auto"/>
        <w:left w:val="none" w:sz="0" w:space="0" w:color="auto"/>
        <w:bottom w:val="none" w:sz="0" w:space="0" w:color="auto"/>
        <w:right w:val="none" w:sz="0" w:space="0" w:color="auto"/>
      </w:divBdr>
    </w:div>
    <w:div w:id="1959294687">
      <w:bodyDiv w:val="1"/>
      <w:marLeft w:val="0"/>
      <w:marRight w:val="0"/>
      <w:marTop w:val="0"/>
      <w:marBottom w:val="0"/>
      <w:divBdr>
        <w:top w:val="none" w:sz="0" w:space="0" w:color="auto"/>
        <w:left w:val="none" w:sz="0" w:space="0" w:color="auto"/>
        <w:bottom w:val="none" w:sz="0" w:space="0" w:color="auto"/>
        <w:right w:val="none" w:sz="0" w:space="0" w:color="auto"/>
      </w:divBdr>
    </w:div>
    <w:div w:id="1970739937">
      <w:bodyDiv w:val="1"/>
      <w:marLeft w:val="0"/>
      <w:marRight w:val="0"/>
      <w:marTop w:val="0"/>
      <w:marBottom w:val="0"/>
      <w:divBdr>
        <w:top w:val="none" w:sz="0" w:space="0" w:color="auto"/>
        <w:left w:val="none" w:sz="0" w:space="0" w:color="auto"/>
        <w:bottom w:val="none" w:sz="0" w:space="0" w:color="auto"/>
        <w:right w:val="none" w:sz="0" w:space="0" w:color="auto"/>
      </w:divBdr>
    </w:div>
    <w:div w:id="1975987695">
      <w:bodyDiv w:val="1"/>
      <w:marLeft w:val="0"/>
      <w:marRight w:val="0"/>
      <w:marTop w:val="0"/>
      <w:marBottom w:val="0"/>
      <w:divBdr>
        <w:top w:val="none" w:sz="0" w:space="0" w:color="auto"/>
        <w:left w:val="none" w:sz="0" w:space="0" w:color="auto"/>
        <w:bottom w:val="none" w:sz="0" w:space="0" w:color="auto"/>
        <w:right w:val="none" w:sz="0" w:space="0" w:color="auto"/>
      </w:divBdr>
      <w:divsChild>
        <w:div w:id="678192323">
          <w:marLeft w:val="0"/>
          <w:marRight w:val="0"/>
          <w:marTop w:val="0"/>
          <w:marBottom w:val="0"/>
          <w:divBdr>
            <w:top w:val="none" w:sz="0" w:space="0" w:color="auto"/>
            <w:left w:val="none" w:sz="0" w:space="0" w:color="auto"/>
            <w:bottom w:val="none" w:sz="0" w:space="0" w:color="auto"/>
            <w:right w:val="none" w:sz="0" w:space="0" w:color="auto"/>
          </w:divBdr>
        </w:div>
        <w:div w:id="789590986">
          <w:marLeft w:val="0"/>
          <w:marRight w:val="0"/>
          <w:marTop w:val="0"/>
          <w:marBottom w:val="0"/>
          <w:divBdr>
            <w:top w:val="none" w:sz="0" w:space="0" w:color="auto"/>
            <w:left w:val="none" w:sz="0" w:space="0" w:color="auto"/>
            <w:bottom w:val="none" w:sz="0" w:space="0" w:color="auto"/>
            <w:right w:val="none" w:sz="0" w:space="0" w:color="auto"/>
          </w:divBdr>
        </w:div>
        <w:div w:id="1188448779">
          <w:marLeft w:val="0"/>
          <w:marRight w:val="0"/>
          <w:marTop w:val="0"/>
          <w:marBottom w:val="0"/>
          <w:divBdr>
            <w:top w:val="none" w:sz="0" w:space="0" w:color="auto"/>
            <w:left w:val="none" w:sz="0" w:space="0" w:color="auto"/>
            <w:bottom w:val="none" w:sz="0" w:space="0" w:color="auto"/>
            <w:right w:val="none" w:sz="0" w:space="0" w:color="auto"/>
          </w:divBdr>
        </w:div>
        <w:div w:id="1923055230">
          <w:marLeft w:val="0"/>
          <w:marRight w:val="0"/>
          <w:marTop w:val="0"/>
          <w:marBottom w:val="0"/>
          <w:divBdr>
            <w:top w:val="none" w:sz="0" w:space="0" w:color="auto"/>
            <w:left w:val="none" w:sz="0" w:space="0" w:color="auto"/>
            <w:bottom w:val="none" w:sz="0" w:space="0" w:color="auto"/>
            <w:right w:val="none" w:sz="0" w:space="0" w:color="auto"/>
          </w:divBdr>
        </w:div>
      </w:divsChild>
    </w:div>
    <w:div w:id="1980374894">
      <w:bodyDiv w:val="1"/>
      <w:marLeft w:val="0"/>
      <w:marRight w:val="0"/>
      <w:marTop w:val="0"/>
      <w:marBottom w:val="0"/>
      <w:divBdr>
        <w:top w:val="none" w:sz="0" w:space="0" w:color="auto"/>
        <w:left w:val="none" w:sz="0" w:space="0" w:color="auto"/>
        <w:bottom w:val="none" w:sz="0" w:space="0" w:color="auto"/>
        <w:right w:val="none" w:sz="0" w:space="0" w:color="auto"/>
      </w:divBdr>
    </w:div>
    <w:div w:id="1986739293">
      <w:bodyDiv w:val="1"/>
      <w:marLeft w:val="0"/>
      <w:marRight w:val="0"/>
      <w:marTop w:val="0"/>
      <w:marBottom w:val="0"/>
      <w:divBdr>
        <w:top w:val="none" w:sz="0" w:space="0" w:color="auto"/>
        <w:left w:val="none" w:sz="0" w:space="0" w:color="auto"/>
        <w:bottom w:val="none" w:sz="0" w:space="0" w:color="auto"/>
        <w:right w:val="none" w:sz="0" w:space="0" w:color="auto"/>
      </w:divBdr>
    </w:div>
    <w:div w:id="1998530783">
      <w:bodyDiv w:val="1"/>
      <w:marLeft w:val="0"/>
      <w:marRight w:val="0"/>
      <w:marTop w:val="0"/>
      <w:marBottom w:val="0"/>
      <w:divBdr>
        <w:top w:val="none" w:sz="0" w:space="0" w:color="auto"/>
        <w:left w:val="none" w:sz="0" w:space="0" w:color="auto"/>
        <w:bottom w:val="none" w:sz="0" w:space="0" w:color="auto"/>
        <w:right w:val="none" w:sz="0" w:space="0" w:color="auto"/>
      </w:divBdr>
      <w:divsChild>
        <w:div w:id="365109397">
          <w:marLeft w:val="0"/>
          <w:marRight w:val="0"/>
          <w:marTop w:val="0"/>
          <w:marBottom w:val="0"/>
          <w:divBdr>
            <w:top w:val="none" w:sz="0" w:space="0" w:color="auto"/>
            <w:left w:val="none" w:sz="0" w:space="0" w:color="auto"/>
            <w:bottom w:val="none" w:sz="0" w:space="0" w:color="auto"/>
            <w:right w:val="none" w:sz="0" w:space="0" w:color="auto"/>
          </w:divBdr>
        </w:div>
        <w:div w:id="661852498">
          <w:marLeft w:val="0"/>
          <w:marRight w:val="0"/>
          <w:marTop w:val="0"/>
          <w:marBottom w:val="0"/>
          <w:divBdr>
            <w:top w:val="none" w:sz="0" w:space="0" w:color="auto"/>
            <w:left w:val="none" w:sz="0" w:space="0" w:color="auto"/>
            <w:bottom w:val="none" w:sz="0" w:space="0" w:color="auto"/>
            <w:right w:val="none" w:sz="0" w:space="0" w:color="auto"/>
          </w:divBdr>
        </w:div>
        <w:div w:id="1177302593">
          <w:marLeft w:val="0"/>
          <w:marRight w:val="0"/>
          <w:marTop w:val="0"/>
          <w:marBottom w:val="0"/>
          <w:divBdr>
            <w:top w:val="none" w:sz="0" w:space="0" w:color="auto"/>
            <w:left w:val="none" w:sz="0" w:space="0" w:color="auto"/>
            <w:bottom w:val="none" w:sz="0" w:space="0" w:color="auto"/>
            <w:right w:val="none" w:sz="0" w:space="0" w:color="auto"/>
          </w:divBdr>
        </w:div>
        <w:div w:id="1590888941">
          <w:marLeft w:val="0"/>
          <w:marRight w:val="0"/>
          <w:marTop w:val="0"/>
          <w:marBottom w:val="0"/>
          <w:divBdr>
            <w:top w:val="none" w:sz="0" w:space="0" w:color="auto"/>
            <w:left w:val="none" w:sz="0" w:space="0" w:color="auto"/>
            <w:bottom w:val="none" w:sz="0" w:space="0" w:color="auto"/>
            <w:right w:val="none" w:sz="0" w:space="0" w:color="auto"/>
          </w:divBdr>
        </w:div>
        <w:div w:id="1956212421">
          <w:marLeft w:val="0"/>
          <w:marRight w:val="0"/>
          <w:marTop w:val="0"/>
          <w:marBottom w:val="0"/>
          <w:divBdr>
            <w:top w:val="none" w:sz="0" w:space="0" w:color="auto"/>
            <w:left w:val="none" w:sz="0" w:space="0" w:color="auto"/>
            <w:bottom w:val="none" w:sz="0" w:space="0" w:color="auto"/>
            <w:right w:val="none" w:sz="0" w:space="0" w:color="auto"/>
          </w:divBdr>
        </w:div>
        <w:div w:id="2010063373">
          <w:marLeft w:val="0"/>
          <w:marRight w:val="0"/>
          <w:marTop w:val="0"/>
          <w:marBottom w:val="0"/>
          <w:divBdr>
            <w:top w:val="none" w:sz="0" w:space="0" w:color="auto"/>
            <w:left w:val="none" w:sz="0" w:space="0" w:color="auto"/>
            <w:bottom w:val="none" w:sz="0" w:space="0" w:color="auto"/>
            <w:right w:val="none" w:sz="0" w:space="0" w:color="auto"/>
          </w:divBdr>
        </w:div>
      </w:divsChild>
    </w:div>
    <w:div w:id="2002001490">
      <w:bodyDiv w:val="1"/>
      <w:marLeft w:val="0"/>
      <w:marRight w:val="0"/>
      <w:marTop w:val="0"/>
      <w:marBottom w:val="0"/>
      <w:divBdr>
        <w:top w:val="none" w:sz="0" w:space="0" w:color="auto"/>
        <w:left w:val="none" w:sz="0" w:space="0" w:color="auto"/>
        <w:bottom w:val="none" w:sz="0" w:space="0" w:color="auto"/>
        <w:right w:val="none" w:sz="0" w:space="0" w:color="auto"/>
      </w:divBdr>
    </w:div>
    <w:div w:id="2017730334">
      <w:bodyDiv w:val="1"/>
      <w:marLeft w:val="0"/>
      <w:marRight w:val="0"/>
      <w:marTop w:val="0"/>
      <w:marBottom w:val="0"/>
      <w:divBdr>
        <w:top w:val="none" w:sz="0" w:space="0" w:color="auto"/>
        <w:left w:val="none" w:sz="0" w:space="0" w:color="auto"/>
        <w:bottom w:val="none" w:sz="0" w:space="0" w:color="auto"/>
        <w:right w:val="none" w:sz="0" w:space="0" w:color="auto"/>
      </w:divBdr>
    </w:div>
    <w:div w:id="2047220470">
      <w:bodyDiv w:val="1"/>
      <w:marLeft w:val="0"/>
      <w:marRight w:val="0"/>
      <w:marTop w:val="0"/>
      <w:marBottom w:val="0"/>
      <w:divBdr>
        <w:top w:val="none" w:sz="0" w:space="0" w:color="auto"/>
        <w:left w:val="none" w:sz="0" w:space="0" w:color="auto"/>
        <w:bottom w:val="none" w:sz="0" w:space="0" w:color="auto"/>
        <w:right w:val="none" w:sz="0" w:space="0" w:color="auto"/>
      </w:divBdr>
    </w:div>
    <w:div w:id="2079549253">
      <w:bodyDiv w:val="1"/>
      <w:marLeft w:val="0"/>
      <w:marRight w:val="0"/>
      <w:marTop w:val="0"/>
      <w:marBottom w:val="0"/>
      <w:divBdr>
        <w:top w:val="none" w:sz="0" w:space="0" w:color="auto"/>
        <w:left w:val="none" w:sz="0" w:space="0" w:color="auto"/>
        <w:bottom w:val="none" w:sz="0" w:space="0" w:color="auto"/>
        <w:right w:val="none" w:sz="0" w:space="0" w:color="auto"/>
      </w:divBdr>
    </w:div>
    <w:div w:id="2088378256">
      <w:bodyDiv w:val="1"/>
      <w:marLeft w:val="0"/>
      <w:marRight w:val="0"/>
      <w:marTop w:val="0"/>
      <w:marBottom w:val="0"/>
      <w:divBdr>
        <w:top w:val="none" w:sz="0" w:space="0" w:color="auto"/>
        <w:left w:val="none" w:sz="0" w:space="0" w:color="auto"/>
        <w:bottom w:val="none" w:sz="0" w:space="0" w:color="auto"/>
        <w:right w:val="none" w:sz="0" w:space="0" w:color="auto"/>
      </w:divBdr>
    </w:div>
    <w:div w:id="2089113285">
      <w:bodyDiv w:val="1"/>
      <w:marLeft w:val="0"/>
      <w:marRight w:val="0"/>
      <w:marTop w:val="0"/>
      <w:marBottom w:val="0"/>
      <w:divBdr>
        <w:top w:val="none" w:sz="0" w:space="0" w:color="auto"/>
        <w:left w:val="none" w:sz="0" w:space="0" w:color="auto"/>
        <w:bottom w:val="none" w:sz="0" w:space="0" w:color="auto"/>
        <w:right w:val="none" w:sz="0" w:space="0" w:color="auto"/>
      </w:divBdr>
      <w:divsChild>
        <w:div w:id="15468147">
          <w:marLeft w:val="1166"/>
          <w:marRight w:val="0"/>
          <w:marTop w:val="0"/>
          <w:marBottom w:val="0"/>
          <w:divBdr>
            <w:top w:val="none" w:sz="0" w:space="0" w:color="auto"/>
            <w:left w:val="none" w:sz="0" w:space="0" w:color="auto"/>
            <w:bottom w:val="none" w:sz="0" w:space="0" w:color="auto"/>
            <w:right w:val="none" w:sz="0" w:space="0" w:color="auto"/>
          </w:divBdr>
        </w:div>
        <w:div w:id="241764009">
          <w:marLeft w:val="547"/>
          <w:marRight w:val="0"/>
          <w:marTop w:val="0"/>
          <w:marBottom w:val="0"/>
          <w:divBdr>
            <w:top w:val="none" w:sz="0" w:space="0" w:color="auto"/>
            <w:left w:val="none" w:sz="0" w:space="0" w:color="auto"/>
            <w:bottom w:val="none" w:sz="0" w:space="0" w:color="auto"/>
            <w:right w:val="none" w:sz="0" w:space="0" w:color="auto"/>
          </w:divBdr>
        </w:div>
        <w:div w:id="298805550">
          <w:marLeft w:val="1166"/>
          <w:marRight w:val="0"/>
          <w:marTop w:val="0"/>
          <w:marBottom w:val="0"/>
          <w:divBdr>
            <w:top w:val="none" w:sz="0" w:space="0" w:color="auto"/>
            <w:left w:val="none" w:sz="0" w:space="0" w:color="auto"/>
            <w:bottom w:val="none" w:sz="0" w:space="0" w:color="auto"/>
            <w:right w:val="none" w:sz="0" w:space="0" w:color="auto"/>
          </w:divBdr>
        </w:div>
        <w:div w:id="718287176">
          <w:marLeft w:val="1166"/>
          <w:marRight w:val="0"/>
          <w:marTop w:val="0"/>
          <w:marBottom w:val="0"/>
          <w:divBdr>
            <w:top w:val="none" w:sz="0" w:space="0" w:color="auto"/>
            <w:left w:val="none" w:sz="0" w:space="0" w:color="auto"/>
            <w:bottom w:val="none" w:sz="0" w:space="0" w:color="auto"/>
            <w:right w:val="none" w:sz="0" w:space="0" w:color="auto"/>
          </w:divBdr>
        </w:div>
        <w:div w:id="1791043899">
          <w:marLeft w:val="1166"/>
          <w:marRight w:val="0"/>
          <w:marTop w:val="0"/>
          <w:marBottom w:val="0"/>
          <w:divBdr>
            <w:top w:val="none" w:sz="0" w:space="0" w:color="auto"/>
            <w:left w:val="none" w:sz="0" w:space="0" w:color="auto"/>
            <w:bottom w:val="none" w:sz="0" w:space="0" w:color="auto"/>
            <w:right w:val="none" w:sz="0" w:space="0" w:color="auto"/>
          </w:divBdr>
        </w:div>
      </w:divsChild>
    </w:div>
    <w:div w:id="2119789647">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68.png"/><Relationship Id="rId21" Type="http://schemas.openxmlformats.org/officeDocument/2006/relationships/image" Target="media/image7.png"/><Relationship Id="rId42" Type="http://schemas.openxmlformats.org/officeDocument/2006/relationships/image" Target="media/image18.png"/><Relationship Id="rId63" Type="http://schemas.openxmlformats.org/officeDocument/2006/relationships/image" Target="media/image33.jpeg"/><Relationship Id="rId84" Type="http://schemas.openxmlformats.org/officeDocument/2006/relationships/image" Target="media/image38.jpeg"/><Relationship Id="rId138" Type="http://schemas.openxmlformats.org/officeDocument/2006/relationships/header" Target="header3.xml"/><Relationship Id="rId159" Type="http://schemas.openxmlformats.org/officeDocument/2006/relationships/chart" Target="charts/chart39.xml"/><Relationship Id="rId107" Type="http://schemas.openxmlformats.org/officeDocument/2006/relationships/image" Target="media/image58.jpeg"/><Relationship Id="rId11" Type="http://schemas.openxmlformats.org/officeDocument/2006/relationships/image" Target="media/image1.png"/><Relationship Id="rId32" Type="http://schemas.openxmlformats.org/officeDocument/2006/relationships/diagramColors" Target="diagrams/colors1.xml"/><Relationship Id="rId53" Type="http://schemas.openxmlformats.org/officeDocument/2006/relationships/image" Target="media/image23.png"/><Relationship Id="rId74" Type="http://schemas.openxmlformats.org/officeDocument/2006/relationships/diagramQuickStyle" Target="diagrams/quickStyle4.xml"/><Relationship Id="rId128" Type="http://schemas.openxmlformats.org/officeDocument/2006/relationships/image" Target="media/image77.jpeg"/><Relationship Id="rId149" Type="http://schemas.openxmlformats.org/officeDocument/2006/relationships/chart" Target="charts/chart29.xml"/><Relationship Id="rId5" Type="http://schemas.openxmlformats.org/officeDocument/2006/relationships/numbering" Target="numbering.xml"/><Relationship Id="rId95" Type="http://schemas.openxmlformats.org/officeDocument/2006/relationships/image" Target="media/image46.png"/><Relationship Id="rId160" Type="http://schemas.openxmlformats.org/officeDocument/2006/relationships/chart" Target="charts/chart40.xml"/><Relationship Id="rId22" Type="http://schemas.openxmlformats.org/officeDocument/2006/relationships/image" Target="media/image8.png"/><Relationship Id="rId43" Type="http://schemas.openxmlformats.org/officeDocument/2006/relationships/diagramData" Target="diagrams/data3.xml"/><Relationship Id="rId64" Type="http://schemas.openxmlformats.org/officeDocument/2006/relationships/chart" Target="charts/chart3.xml"/><Relationship Id="rId118" Type="http://schemas.openxmlformats.org/officeDocument/2006/relationships/image" Target="media/image69.jpeg"/><Relationship Id="rId139" Type="http://schemas.openxmlformats.org/officeDocument/2006/relationships/chart" Target="charts/chart19.xml"/><Relationship Id="rId85" Type="http://schemas.openxmlformats.org/officeDocument/2006/relationships/image" Target="media/image39.jpeg"/><Relationship Id="rId150" Type="http://schemas.openxmlformats.org/officeDocument/2006/relationships/chart" Target="charts/chart30.xml"/><Relationship Id="rId12" Type="http://schemas.openxmlformats.org/officeDocument/2006/relationships/header" Target="header1.xml"/><Relationship Id="rId17" Type="http://schemas.openxmlformats.org/officeDocument/2006/relationships/image" Target="media/image4.png"/><Relationship Id="rId33" Type="http://schemas.microsoft.com/office/2007/relationships/diagramDrawing" Target="diagrams/drawing1.xml"/><Relationship Id="rId38" Type="http://schemas.openxmlformats.org/officeDocument/2006/relationships/diagramColors" Target="diagrams/colors2.xml"/><Relationship Id="rId59" Type="http://schemas.openxmlformats.org/officeDocument/2006/relationships/image" Target="media/image29.png"/><Relationship Id="rId103" Type="http://schemas.openxmlformats.org/officeDocument/2006/relationships/image" Target="media/image54.png"/><Relationship Id="rId108" Type="http://schemas.openxmlformats.org/officeDocument/2006/relationships/image" Target="media/image59.jpeg"/><Relationship Id="rId124" Type="http://schemas.openxmlformats.org/officeDocument/2006/relationships/chart" Target="charts/chart18.xml"/><Relationship Id="rId129" Type="http://schemas.openxmlformats.org/officeDocument/2006/relationships/image" Target="media/image78.png"/><Relationship Id="rId54" Type="http://schemas.openxmlformats.org/officeDocument/2006/relationships/image" Target="media/image24.png"/><Relationship Id="rId70" Type="http://schemas.openxmlformats.org/officeDocument/2006/relationships/chart" Target="charts/chart9.xml"/><Relationship Id="rId75" Type="http://schemas.openxmlformats.org/officeDocument/2006/relationships/diagramColors" Target="diagrams/colors4.xml"/><Relationship Id="rId91" Type="http://schemas.openxmlformats.org/officeDocument/2006/relationships/image" Target="media/image42.jpeg"/><Relationship Id="rId96" Type="http://schemas.openxmlformats.org/officeDocument/2006/relationships/image" Target="media/image47.jpeg"/><Relationship Id="rId140" Type="http://schemas.openxmlformats.org/officeDocument/2006/relationships/chart" Target="charts/chart20.xml"/><Relationship Id="rId145" Type="http://schemas.openxmlformats.org/officeDocument/2006/relationships/chart" Target="charts/chart25.xml"/><Relationship Id="rId16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tyles" Target="styles.xml"/><Relationship Id="rId23" Type="http://schemas.openxmlformats.org/officeDocument/2006/relationships/image" Target="media/image9.png"/><Relationship Id="rId28" Type="http://schemas.openxmlformats.org/officeDocument/2006/relationships/image" Target="media/image14.png"/><Relationship Id="rId49" Type="http://schemas.openxmlformats.org/officeDocument/2006/relationships/image" Target="media/image19.png"/><Relationship Id="rId114" Type="http://schemas.openxmlformats.org/officeDocument/2006/relationships/image" Target="media/image65.png"/><Relationship Id="rId119" Type="http://schemas.openxmlformats.org/officeDocument/2006/relationships/image" Target="media/image70.jpeg"/><Relationship Id="rId44" Type="http://schemas.openxmlformats.org/officeDocument/2006/relationships/diagramLayout" Target="diagrams/layout3.xml"/><Relationship Id="rId60" Type="http://schemas.openxmlformats.org/officeDocument/2006/relationships/image" Target="media/image30.png"/><Relationship Id="rId65" Type="http://schemas.openxmlformats.org/officeDocument/2006/relationships/chart" Target="charts/chart4.xml"/><Relationship Id="rId81" Type="http://schemas.openxmlformats.org/officeDocument/2006/relationships/image" Target="media/image36.png"/><Relationship Id="rId86" Type="http://schemas.openxmlformats.org/officeDocument/2006/relationships/image" Target="media/image40.png"/><Relationship Id="rId130" Type="http://schemas.openxmlformats.org/officeDocument/2006/relationships/image" Target="media/image79.png"/><Relationship Id="rId135" Type="http://schemas.openxmlformats.org/officeDocument/2006/relationships/hyperlink" Target="https://www.teraz-srodowisko.pl/?AK9332" TargetMode="External"/><Relationship Id="rId151" Type="http://schemas.openxmlformats.org/officeDocument/2006/relationships/chart" Target="charts/chart31.xml"/><Relationship Id="rId156" Type="http://schemas.openxmlformats.org/officeDocument/2006/relationships/chart" Target="charts/chart36.xml"/><Relationship Id="rId13" Type="http://schemas.openxmlformats.org/officeDocument/2006/relationships/footer" Target="footer1.xml"/><Relationship Id="rId18" Type="http://schemas.openxmlformats.org/officeDocument/2006/relationships/image" Target="media/image5.png"/><Relationship Id="rId39" Type="http://schemas.microsoft.com/office/2007/relationships/diagramDrawing" Target="diagrams/drawing2.xml"/><Relationship Id="rId109" Type="http://schemas.openxmlformats.org/officeDocument/2006/relationships/image" Target="media/image60.png"/><Relationship Id="rId34" Type="http://schemas.openxmlformats.org/officeDocument/2006/relationships/image" Target="media/image15.png"/><Relationship Id="rId50" Type="http://schemas.openxmlformats.org/officeDocument/2006/relationships/image" Target="media/image20.png"/><Relationship Id="rId55" Type="http://schemas.openxmlformats.org/officeDocument/2006/relationships/image" Target="media/image25.png"/><Relationship Id="rId76" Type="http://schemas.microsoft.com/office/2007/relationships/diagramDrawing" Target="diagrams/drawing4.xml"/><Relationship Id="rId97" Type="http://schemas.openxmlformats.org/officeDocument/2006/relationships/image" Target="media/image48.jpeg"/><Relationship Id="rId104" Type="http://schemas.openxmlformats.org/officeDocument/2006/relationships/image" Target="media/image55.jpeg"/><Relationship Id="rId120" Type="http://schemas.openxmlformats.org/officeDocument/2006/relationships/image" Target="media/image71.png"/><Relationship Id="rId125" Type="http://schemas.openxmlformats.org/officeDocument/2006/relationships/image" Target="media/image74.png"/><Relationship Id="rId141" Type="http://schemas.openxmlformats.org/officeDocument/2006/relationships/chart" Target="charts/chart21.xml"/><Relationship Id="rId146" Type="http://schemas.openxmlformats.org/officeDocument/2006/relationships/chart" Target="charts/chart26.xml"/><Relationship Id="rId7" Type="http://schemas.openxmlformats.org/officeDocument/2006/relationships/settings" Target="settings.xml"/><Relationship Id="rId71" Type="http://schemas.openxmlformats.org/officeDocument/2006/relationships/chart" Target="charts/chart10.xml"/><Relationship Id="rId92" Type="http://schemas.openxmlformats.org/officeDocument/2006/relationships/image" Target="media/image43.png"/><Relationship Id="rId162" Type="http://schemas.openxmlformats.org/officeDocument/2006/relationships/theme" Target="theme/theme1.xml"/><Relationship Id="rId2" Type="http://schemas.openxmlformats.org/officeDocument/2006/relationships/customXml" Target="../customXml/item2.xml"/><Relationship Id="rId29" Type="http://schemas.openxmlformats.org/officeDocument/2006/relationships/diagramData" Target="diagrams/data1.xml"/><Relationship Id="rId24" Type="http://schemas.openxmlformats.org/officeDocument/2006/relationships/image" Target="media/image10.png"/><Relationship Id="rId40" Type="http://schemas.openxmlformats.org/officeDocument/2006/relationships/image" Target="media/image17.png"/><Relationship Id="rId45" Type="http://schemas.openxmlformats.org/officeDocument/2006/relationships/diagramQuickStyle" Target="diagrams/quickStyle3.xml"/><Relationship Id="rId66" Type="http://schemas.openxmlformats.org/officeDocument/2006/relationships/chart" Target="charts/chart5.xml"/><Relationship Id="rId87" Type="http://schemas.openxmlformats.org/officeDocument/2006/relationships/chart" Target="charts/chart14.xml"/><Relationship Id="rId110" Type="http://schemas.openxmlformats.org/officeDocument/2006/relationships/image" Target="media/image61.png"/><Relationship Id="rId115" Type="http://schemas.openxmlformats.org/officeDocument/2006/relationships/image" Target="media/image66.jpeg"/><Relationship Id="rId131" Type="http://schemas.openxmlformats.org/officeDocument/2006/relationships/image" Target="media/image80.png"/><Relationship Id="rId136" Type="http://schemas.openxmlformats.org/officeDocument/2006/relationships/hyperlink" Target="https://www.teraz-srodowisko.pl/?AK9254" TargetMode="External"/><Relationship Id="rId157" Type="http://schemas.openxmlformats.org/officeDocument/2006/relationships/chart" Target="charts/chart37.xml"/><Relationship Id="rId61" Type="http://schemas.openxmlformats.org/officeDocument/2006/relationships/image" Target="media/image31.png"/><Relationship Id="rId82" Type="http://schemas.openxmlformats.org/officeDocument/2006/relationships/chart" Target="charts/chart13.xml"/><Relationship Id="rId152" Type="http://schemas.openxmlformats.org/officeDocument/2006/relationships/chart" Target="charts/chart32.xml"/><Relationship Id="rId19" Type="http://schemas.openxmlformats.org/officeDocument/2006/relationships/image" Target="media/image6.png"/><Relationship Id="rId14" Type="http://schemas.openxmlformats.org/officeDocument/2006/relationships/header" Target="header2.xml"/><Relationship Id="rId30" Type="http://schemas.openxmlformats.org/officeDocument/2006/relationships/diagramLayout" Target="diagrams/layout1.xml"/><Relationship Id="rId35" Type="http://schemas.openxmlformats.org/officeDocument/2006/relationships/diagramData" Target="diagrams/data2.xml"/><Relationship Id="rId56" Type="http://schemas.openxmlformats.org/officeDocument/2006/relationships/image" Target="media/image26.png"/><Relationship Id="rId77" Type="http://schemas.openxmlformats.org/officeDocument/2006/relationships/image" Target="media/image34.png"/><Relationship Id="rId100" Type="http://schemas.openxmlformats.org/officeDocument/2006/relationships/image" Target="media/image51.jpeg"/><Relationship Id="rId105" Type="http://schemas.openxmlformats.org/officeDocument/2006/relationships/image" Target="media/image56.jpeg"/><Relationship Id="rId126" Type="http://schemas.openxmlformats.org/officeDocument/2006/relationships/image" Target="media/image75.png"/><Relationship Id="rId147" Type="http://schemas.openxmlformats.org/officeDocument/2006/relationships/chart" Target="charts/chart27.xml"/><Relationship Id="rId8" Type="http://schemas.openxmlformats.org/officeDocument/2006/relationships/webSettings" Target="webSettings.xml"/><Relationship Id="rId51" Type="http://schemas.openxmlformats.org/officeDocument/2006/relationships/image" Target="media/image21.png"/><Relationship Id="rId72" Type="http://schemas.openxmlformats.org/officeDocument/2006/relationships/diagramData" Target="diagrams/data4.xml"/><Relationship Id="rId93" Type="http://schemas.openxmlformats.org/officeDocument/2006/relationships/image" Target="media/image44.png"/><Relationship Id="rId98" Type="http://schemas.openxmlformats.org/officeDocument/2006/relationships/image" Target="media/image49.png"/><Relationship Id="rId121" Type="http://schemas.openxmlformats.org/officeDocument/2006/relationships/image" Target="media/image72.jpeg"/><Relationship Id="rId142" Type="http://schemas.openxmlformats.org/officeDocument/2006/relationships/chart" Target="charts/chart22.xml"/><Relationship Id="rId3" Type="http://schemas.openxmlformats.org/officeDocument/2006/relationships/customXml" Target="../customXml/item3.xml"/><Relationship Id="rId25" Type="http://schemas.openxmlformats.org/officeDocument/2006/relationships/image" Target="media/image11.png"/><Relationship Id="rId46" Type="http://schemas.openxmlformats.org/officeDocument/2006/relationships/diagramColors" Target="diagrams/colors3.xml"/><Relationship Id="rId67" Type="http://schemas.openxmlformats.org/officeDocument/2006/relationships/chart" Target="charts/chart6.xml"/><Relationship Id="rId116" Type="http://schemas.openxmlformats.org/officeDocument/2006/relationships/image" Target="media/image67.jpeg"/><Relationship Id="rId137" Type="http://schemas.openxmlformats.org/officeDocument/2006/relationships/hyperlink" Target="https://www.teraz-srodowisko.pl/?AK9164" TargetMode="External"/><Relationship Id="rId158" Type="http://schemas.openxmlformats.org/officeDocument/2006/relationships/chart" Target="charts/chart38.xml"/><Relationship Id="rId20" Type="http://schemas.openxmlformats.org/officeDocument/2006/relationships/chart" Target="charts/chart1.xml"/><Relationship Id="rId41" Type="http://schemas.openxmlformats.org/officeDocument/2006/relationships/chart" Target="charts/chart2.xml"/><Relationship Id="rId62" Type="http://schemas.openxmlformats.org/officeDocument/2006/relationships/image" Target="media/image32.jpeg"/><Relationship Id="rId83" Type="http://schemas.openxmlformats.org/officeDocument/2006/relationships/image" Target="media/image37.png"/><Relationship Id="rId88" Type="http://schemas.openxmlformats.org/officeDocument/2006/relationships/chart" Target="charts/chart15.xml"/><Relationship Id="rId111" Type="http://schemas.openxmlformats.org/officeDocument/2006/relationships/image" Target="media/image62.jpeg"/><Relationship Id="rId132" Type="http://schemas.openxmlformats.org/officeDocument/2006/relationships/image" Target="media/image81.jpeg"/><Relationship Id="rId153" Type="http://schemas.openxmlformats.org/officeDocument/2006/relationships/chart" Target="charts/chart33.xml"/><Relationship Id="rId15" Type="http://schemas.openxmlformats.org/officeDocument/2006/relationships/hyperlink" Target="https://pl.wikipedia.org/wiki/J%C4%99zyk_angielski" TargetMode="External"/><Relationship Id="rId36" Type="http://schemas.openxmlformats.org/officeDocument/2006/relationships/diagramLayout" Target="diagrams/layout2.xml"/><Relationship Id="rId57" Type="http://schemas.openxmlformats.org/officeDocument/2006/relationships/image" Target="media/image27.png"/><Relationship Id="rId106" Type="http://schemas.openxmlformats.org/officeDocument/2006/relationships/image" Target="media/image57.png"/><Relationship Id="rId127" Type="http://schemas.openxmlformats.org/officeDocument/2006/relationships/image" Target="media/image76.jpeg"/><Relationship Id="rId10" Type="http://schemas.openxmlformats.org/officeDocument/2006/relationships/endnotes" Target="endnotes.xml"/><Relationship Id="rId31" Type="http://schemas.openxmlformats.org/officeDocument/2006/relationships/diagramQuickStyle" Target="diagrams/quickStyle1.xml"/><Relationship Id="rId52" Type="http://schemas.openxmlformats.org/officeDocument/2006/relationships/image" Target="media/image22.png"/><Relationship Id="rId73" Type="http://schemas.openxmlformats.org/officeDocument/2006/relationships/diagramLayout" Target="diagrams/layout4.xml"/><Relationship Id="rId78" Type="http://schemas.openxmlformats.org/officeDocument/2006/relationships/image" Target="media/image35.tiff"/><Relationship Id="rId94" Type="http://schemas.openxmlformats.org/officeDocument/2006/relationships/image" Target="media/image45.png"/><Relationship Id="rId99" Type="http://schemas.openxmlformats.org/officeDocument/2006/relationships/image" Target="media/image50.jpeg"/><Relationship Id="rId101" Type="http://schemas.openxmlformats.org/officeDocument/2006/relationships/image" Target="media/image52.jpeg"/><Relationship Id="rId122" Type="http://schemas.openxmlformats.org/officeDocument/2006/relationships/image" Target="media/image73.jpeg"/><Relationship Id="rId143" Type="http://schemas.openxmlformats.org/officeDocument/2006/relationships/chart" Target="charts/chart23.xml"/><Relationship Id="rId148" Type="http://schemas.openxmlformats.org/officeDocument/2006/relationships/chart" Target="charts/chart28.xml"/><Relationship Id="rId4" Type="http://schemas.openxmlformats.org/officeDocument/2006/relationships/customXml" Target="../customXml/item4.xml"/><Relationship Id="rId9" Type="http://schemas.openxmlformats.org/officeDocument/2006/relationships/footnotes" Target="footnotes.xml"/><Relationship Id="rId26" Type="http://schemas.openxmlformats.org/officeDocument/2006/relationships/image" Target="media/image12.png"/><Relationship Id="rId47" Type="http://schemas.microsoft.com/office/2007/relationships/diagramDrawing" Target="diagrams/drawing3.xml"/><Relationship Id="rId68" Type="http://schemas.openxmlformats.org/officeDocument/2006/relationships/chart" Target="charts/chart7.xml"/><Relationship Id="rId89" Type="http://schemas.openxmlformats.org/officeDocument/2006/relationships/chart" Target="charts/chart16.xml"/><Relationship Id="rId112" Type="http://schemas.openxmlformats.org/officeDocument/2006/relationships/image" Target="media/image63.png"/><Relationship Id="rId133" Type="http://schemas.openxmlformats.org/officeDocument/2006/relationships/image" Target="media/image82.jpeg"/><Relationship Id="rId154" Type="http://schemas.openxmlformats.org/officeDocument/2006/relationships/chart" Target="charts/chart34.xml"/><Relationship Id="rId16" Type="http://schemas.openxmlformats.org/officeDocument/2006/relationships/image" Target="media/image3.png"/><Relationship Id="rId37" Type="http://schemas.openxmlformats.org/officeDocument/2006/relationships/diagramQuickStyle" Target="diagrams/quickStyle2.xml"/><Relationship Id="rId58" Type="http://schemas.openxmlformats.org/officeDocument/2006/relationships/image" Target="media/image28.png"/><Relationship Id="rId79" Type="http://schemas.openxmlformats.org/officeDocument/2006/relationships/chart" Target="charts/chart11.xml"/><Relationship Id="rId102" Type="http://schemas.openxmlformats.org/officeDocument/2006/relationships/image" Target="media/image53.jpeg"/><Relationship Id="rId123" Type="http://schemas.openxmlformats.org/officeDocument/2006/relationships/chart" Target="charts/chart17.xml"/><Relationship Id="rId144" Type="http://schemas.openxmlformats.org/officeDocument/2006/relationships/chart" Target="charts/chart24.xml"/><Relationship Id="rId90" Type="http://schemas.openxmlformats.org/officeDocument/2006/relationships/image" Target="media/image41.jpeg"/><Relationship Id="rId27" Type="http://schemas.openxmlformats.org/officeDocument/2006/relationships/image" Target="media/image13.jpeg"/><Relationship Id="rId48" Type="http://schemas.openxmlformats.org/officeDocument/2006/relationships/hyperlink" Target="http://iw.org.pl/eit-food-seedbed-2021-program-wsparcia-innowatorow-w-branzy-rolno-spozywczej-2/" TargetMode="External"/><Relationship Id="rId69" Type="http://schemas.openxmlformats.org/officeDocument/2006/relationships/chart" Target="charts/chart8.xml"/><Relationship Id="rId113" Type="http://schemas.openxmlformats.org/officeDocument/2006/relationships/image" Target="media/image64.jpeg"/><Relationship Id="rId134" Type="http://schemas.openxmlformats.org/officeDocument/2006/relationships/image" Target="media/image83.jpeg"/><Relationship Id="rId80" Type="http://schemas.openxmlformats.org/officeDocument/2006/relationships/chart" Target="charts/chart12.xml"/><Relationship Id="rId155" Type="http://schemas.openxmlformats.org/officeDocument/2006/relationships/chart" Target="charts/chart35.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2" Type="http://schemas.openxmlformats.org/officeDocument/2006/relationships/font" Target="fonts/font2.odttf"/><Relationship Id="rId16" Type="http://schemas.openxmlformats.org/officeDocument/2006/relationships/font" Target="fonts/font16.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_rels/footnotes.xml.rels><?xml version="1.0" encoding="UTF-8" standalone="yes"?>
<Relationships xmlns="http://schemas.openxmlformats.org/package/2006/relationships"><Relationship Id="rId8" Type="http://schemas.openxmlformats.org/officeDocument/2006/relationships/hyperlink" Target="http://www.ure.gov.pl" TargetMode="External"/><Relationship Id="rId13" Type="http://schemas.openxmlformats.org/officeDocument/2006/relationships/hyperlink" Target="https://duon.pl/lepiejnagaz/wyzwania-rynku-lng-w-ciezkim-transporcie-samochodowym-w-polsce/" TargetMode="External"/><Relationship Id="rId18" Type="http://schemas.openxmlformats.org/officeDocument/2006/relationships/hyperlink" Target="https://www.agroindustry.pl/index.php/2017/11/27/opakowania-inteligentne-i-aktywne/" TargetMode="External"/><Relationship Id="rId3" Type="http://schemas.openxmlformats.org/officeDocument/2006/relationships/hyperlink" Target="https://eur-lex.europa.eu/smartapi/cgi/sga_doc?smartapi!celexplus!prod!DocNumber&amp;lg=PL&amp;type_doc=COMfinal&amp;an_doc=2020&amp;nu_doc=0380" TargetMode="External"/><Relationship Id="rId21" Type="http://schemas.openxmlformats.org/officeDocument/2006/relationships/hyperlink" Target="https://eplastics.pl/wiadomosci/pb/13663-wodor-i-wegiel-z-plastikowych-smieci" TargetMode="External"/><Relationship Id="rId7" Type="http://schemas.openxmlformats.org/officeDocument/2006/relationships/hyperlink" Target="https://doi.org/10.1016/j.wasman" TargetMode="External"/><Relationship Id="rId12" Type="http://schemas.openxmlformats.org/officeDocument/2006/relationships/hyperlink" Target="https://bdl.stat.gov.pl/BDL/dane/podgrup/temat" TargetMode="External"/><Relationship Id="rId17" Type="http://schemas.openxmlformats.org/officeDocument/2006/relationships/hyperlink" Target="https://www.poznan.pl/mim/main/-,p,13631,47205,47207.html" TargetMode="External"/><Relationship Id="rId2" Type="http://schemas.openxmlformats.org/officeDocument/2006/relationships/hyperlink" Target="https://www.sciencedirect.com/science/journal/09218009/150/supp/C" TargetMode="External"/><Relationship Id="rId16" Type="http://schemas.openxmlformats.org/officeDocument/2006/relationships/hyperlink" Target="https://www.skanska.pl/o-skanska/media/informacje-prasowe/247536/Zielone-innowacje-Skanska-zawitaja-do-Poznania.-Deweloper-wybuduje-pierwszy-w-miescie-chodnik-antysmogowy" TargetMode="External"/><Relationship Id="rId20" Type="http://schemas.openxmlformats.org/officeDocument/2006/relationships/hyperlink" Target="https://ec.europa.eu/environment/ecoap/indicators/circular-economy-indicators_en" TargetMode="External"/><Relationship Id="rId1" Type="http://schemas.openxmlformats.org/officeDocument/2006/relationships/hyperlink" Target="https://www.sciencedirect.com/science/journal/09218009" TargetMode="External"/><Relationship Id="rId6" Type="http://schemas.openxmlformats.org/officeDocument/2006/relationships/hyperlink" Target="https://wrot.umww.pl/wp-content/uploads/2019/10/DIAGNOZA-2019.pdf" TargetMode="External"/><Relationship Id="rId11" Type="http://schemas.openxmlformats.org/officeDocument/2006/relationships/hyperlink" Target="https://goz.pw.edu.pl/" TargetMode="External"/><Relationship Id="rId5" Type="http://schemas.openxmlformats.org/officeDocument/2006/relationships/hyperlink" Target="https://ec.europa.eu/eurostat/web/circular-economy/indicators/monitoring-framework" TargetMode="External"/><Relationship Id="rId15" Type="http://schemas.openxmlformats.org/officeDocument/2006/relationships/hyperlink" Target="https://www.kowr.gov.pl/odnawialne-zrodla-energii/biogaz-rolniczy/wytworcy-biogazu-rolniczego/rejestr-wytworcow-biogazu-rolniczego" TargetMode="External"/><Relationship Id="rId10" Type="http://schemas.openxmlformats.org/officeDocument/2006/relationships/hyperlink" Target="http://eko-logis.com.pl/podzial-odpadow/" TargetMode="External"/><Relationship Id="rId19" Type="http://schemas.openxmlformats.org/officeDocument/2006/relationships/hyperlink" Target="https://bonavita.pl/innowacyjnosc-opakowan-do-zywnosci-przyklady-opakowan-aktywnych-i-inteligentnych" TargetMode="External"/><Relationship Id="rId4" Type="http://schemas.openxmlformats.org/officeDocument/2006/relationships/hyperlink" Target="https://www.parp.gov.pl/component/content/article/69040:gospodarka-o-obiegu-zamknietym-szansa-na-rozwoj-firm" TargetMode="External"/><Relationship Id="rId9" Type="http://schemas.openxmlformats.org/officeDocument/2006/relationships/hyperlink" Target="https://zepak.com.pl/pl/o-firmie/informacje-o-spolce.html" TargetMode="External"/><Relationship Id="rId14" Type="http://schemas.openxmlformats.org/officeDocument/2006/relationships/hyperlink" Target="https://www.neste.com/" TargetMode="External"/><Relationship Id="rId22" Type="http://schemas.openxmlformats.org/officeDocument/2006/relationships/hyperlink" Target="https://www.formika.com.pl/337/zrownowazony_rozwoj" TargetMode="External"/></Relationships>
</file>

<file path=word/_rels/header2.xml.rels><?xml version="1.0" encoding="UTF-8" standalone="yes"?>
<Relationships xmlns="http://schemas.openxmlformats.org/package/2006/relationships"><Relationship Id="rId1" Type="http://schemas.openxmlformats.org/officeDocument/2006/relationships/image" Target="media/image2.jpg"/></Relationships>
</file>

<file path=word/charts/_rels/chart1.xml.rels><?xml version="1.0" encoding="UTF-8" standalone="yes"?>
<Relationships xmlns="http://schemas.openxmlformats.org/package/2006/relationships"><Relationship Id="rId3" Type="http://schemas.openxmlformats.org/officeDocument/2006/relationships/oleObject" Target="file:///C:\Users\artma\Desktop\wykresy%20do%20charakterystyki%20woj%20GOZ.xlsx" TargetMode="External"/><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3" Type="http://schemas.openxmlformats.org/officeDocument/2006/relationships/oleObject" Target="file:///D:\PRACA\PAN%20Krak&#243;w\Zewn&#281;trzne%20zlecenia\GOZ%20Wielkopolskie\Realizacja\Diagramy%20na%20podstawie%20ankiet\Diagramy.xlsx" TargetMode="External"/><Relationship Id="rId2" Type="http://schemas.microsoft.com/office/2011/relationships/chartColorStyle" Target="colors10.xml"/><Relationship Id="rId1" Type="http://schemas.microsoft.com/office/2011/relationships/chartStyle" Target="style10.xml"/></Relationships>
</file>

<file path=word/charts/_rels/chart11.xml.rels><?xml version="1.0" encoding="UTF-8" standalone="yes"?>
<Relationships xmlns="http://schemas.openxmlformats.org/package/2006/relationships"><Relationship Id="rId3" Type="http://schemas.openxmlformats.org/officeDocument/2006/relationships/oleObject" Target="file:///E:\GOZ%20-%20Wielkopolskie\Raport\Rysunki%20fin.xlsx" TargetMode="External"/><Relationship Id="rId2" Type="http://schemas.microsoft.com/office/2011/relationships/chartColorStyle" Target="colors11.xml"/><Relationship Id="rId1" Type="http://schemas.microsoft.com/office/2011/relationships/chartStyle" Target="style11.xml"/></Relationships>
</file>

<file path=word/charts/_rels/chart12.xml.rels><?xml version="1.0" encoding="UTF-8" standalone="yes"?>
<Relationships xmlns="http://schemas.openxmlformats.org/package/2006/relationships"><Relationship Id="rId3" Type="http://schemas.openxmlformats.org/officeDocument/2006/relationships/oleObject" Target="file:///E:\GOZ%20-%20Wielkopolskie\Raport\Rysunki%20fin.xlsx" TargetMode="External"/><Relationship Id="rId2" Type="http://schemas.microsoft.com/office/2011/relationships/chartColorStyle" Target="colors12.xml"/><Relationship Id="rId1" Type="http://schemas.microsoft.com/office/2011/relationships/chartStyle" Target="style12.xml"/></Relationships>
</file>

<file path=word/charts/_rels/chart13.xml.rels><?xml version="1.0" encoding="UTF-8" standalone="yes"?>
<Relationships xmlns="http://schemas.openxmlformats.org/package/2006/relationships"><Relationship Id="rId3" Type="http://schemas.openxmlformats.org/officeDocument/2006/relationships/package" Target="../embeddings/Arkusz_programu_Microsoft_Excel.xlsx"/><Relationship Id="rId2" Type="http://schemas.microsoft.com/office/2011/relationships/chartColorStyle" Target="colors13.xml"/><Relationship Id="rId1" Type="http://schemas.microsoft.com/office/2011/relationships/chartStyle" Target="style13.xml"/></Relationships>
</file>

<file path=word/charts/_rels/chart14.xml.rels><?xml version="1.0" encoding="UTF-8" standalone="yes"?>
<Relationships xmlns="http://schemas.openxmlformats.org/package/2006/relationships"><Relationship Id="rId1" Type="http://schemas.openxmlformats.org/officeDocument/2006/relationships/oleObject" Target="file:///C:\Users\Justyna\Desktop\GOZ\Wskazniki%20fin%20JC.xlsx" TargetMode="External"/></Relationships>
</file>

<file path=word/charts/_rels/chart15.xml.rels><?xml version="1.0" encoding="UTF-8" standalone="yes"?>
<Relationships xmlns="http://schemas.openxmlformats.org/package/2006/relationships"><Relationship Id="rId1" Type="http://schemas.openxmlformats.org/officeDocument/2006/relationships/oleObject" Target="file:///C:\Users\Justyna\Desktop\GOZ\Wskazniki%20fin%20JC.xlsx" TargetMode="External"/></Relationships>
</file>

<file path=word/charts/_rels/chart16.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4.xml"/><Relationship Id="rId1" Type="http://schemas.microsoft.com/office/2011/relationships/chartStyle" Target="style14.xml"/><Relationship Id="rId4" Type="http://schemas.openxmlformats.org/officeDocument/2006/relationships/oleObject" Target="file:///C:\Users\Justyna\Downloads\wskazniki%20fin.xlsx" TargetMode="External"/></Relationships>
</file>

<file path=word/charts/_rels/chart17.xml.rels><?xml version="1.0" encoding="UTF-8" standalone="yes"?>
<Relationships xmlns="http://schemas.openxmlformats.org/package/2006/relationships"><Relationship Id="rId1" Type="http://schemas.openxmlformats.org/officeDocument/2006/relationships/oleObject" Target="file:///C:\Users\Justyna\Downloads\Udzia&#322;%20energii%20OZE%20w%20%25%20do%202019.xlsx" TargetMode="External"/></Relationships>
</file>

<file path=word/charts/_rels/chart18.xml.rels><?xml version="1.0" encoding="UTF-8" standalone="yes"?>
<Relationships xmlns="http://schemas.openxmlformats.org/package/2006/relationships"><Relationship Id="rId1" Type="http://schemas.openxmlformats.org/officeDocument/2006/relationships/oleObject" Target="file:///C:\Users\Justyna\Downloads\Udzia&#322;%20energii%20OZE%20w%20%25%20do%202019.xlsx" TargetMode="External"/></Relationships>
</file>

<file path=word/charts/_rels/chart19.xml.rels><?xml version="1.0" encoding="UTF-8" standalone="yes"?>
<Relationships xmlns="http://schemas.openxmlformats.org/package/2006/relationships"><Relationship Id="rId3" Type="http://schemas.openxmlformats.org/officeDocument/2006/relationships/oleObject" Target="file:///C:\Users\Justyna\Downloads\Wskazniki%20dla%20powiat&#243;w_PO_v21.xlsx" TargetMode="External"/><Relationship Id="rId2" Type="http://schemas.microsoft.com/office/2011/relationships/chartColorStyle" Target="colors15.xml"/><Relationship Id="rId1" Type="http://schemas.microsoft.com/office/2011/relationships/chartStyle" Target="style15.xml"/></Relationships>
</file>

<file path=word/charts/_rels/chart2.xml.rels><?xml version="1.0" encoding="UTF-8" standalone="yes"?>
<Relationships xmlns="http://schemas.openxmlformats.org/package/2006/relationships"><Relationship Id="rId3" Type="http://schemas.openxmlformats.org/officeDocument/2006/relationships/oleObject" Target="file:///C:\Users\agata.jakubowicz\Documents\!%20GOZ\6%20Realizacja\6%20Raport%20korekta\wykres%20gosp%20eko.xlsx" TargetMode="External"/><Relationship Id="rId2" Type="http://schemas.microsoft.com/office/2011/relationships/chartColorStyle" Target="colors2.xml"/><Relationship Id="rId1" Type="http://schemas.microsoft.com/office/2011/relationships/chartStyle" Target="style2.xml"/></Relationships>
</file>

<file path=word/charts/_rels/chart20.xml.rels><?xml version="1.0" encoding="UTF-8" standalone="yes"?>
<Relationships xmlns="http://schemas.openxmlformats.org/package/2006/relationships"><Relationship Id="rId3" Type="http://schemas.openxmlformats.org/officeDocument/2006/relationships/oleObject" Target="file:///C:\Users\Justyna\Downloads\Wskazniki%20dla%20powiat&#243;w_PO_v21.xlsx" TargetMode="External"/><Relationship Id="rId2" Type="http://schemas.microsoft.com/office/2011/relationships/chartColorStyle" Target="colors16.xml"/><Relationship Id="rId1" Type="http://schemas.microsoft.com/office/2011/relationships/chartStyle" Target="style16.xml"/></Relationships>
</file>

<file path=word/charts/_rels/chart21.xml.rels><?xml version="1.0" encoding="UTF-8" standalone="yes"?>
<Relationships xmlns="http://schemas.openxmlformats.org/package/2006/relationships"><Relationship Id="rId3" Type="http://schemas.openxmlformats.org/officeDocument/2006/relationships/oleObject" Target="file:///C:\Users\Justyna\Downloads\Wskazniki%20dla%20powiat&#243;w_PO_v21.xlsx" TargetMode="External"/><Relationship Id="rId2" Type="http://schemas.microsoft.com/office/2011/relationships/chartColorStyle" Target="colors17.xml"/><Relationship Id="rId1" Type="http://schemas.microsoft.com/office/2011/relationships/chartStyle" Target="style17.xml"/></Relationships>
</file>

<file path=word/charts/_rels/chart22.xml.rels><?xml version="1.0" encoding="UTF-8" standalone="yes"?>
<Relationships xmlns="http://schemas.openxmlformats.org/package/2006/relationships"><Relationship Id="rId3" Type="http://schemas.openxmlformats.org/officeDocument/2006/relationships/oleObject" Target="file:///C:\Users\Justyna\Downloads\Wskazniki%20dla%20powiat&#243;w_PO_v21.xlsx" TargetMode="External"/><Relationship Id="rId2" Type="http://schemas.microsoft.com/office/2011/relationships/chartColorStyle" Target="colors18.xml"/><Relationship Id="rId1" Type="http://schemas.microsoft.com/office/2011/relationships/chartStyle" Target="style18.xml"/></Relationships>
</file>

<file path=word/charts/_rels/chart23.xml.rels><?xml version="1.0" encoding="UTF-8" standalone="yes"?>
<Relationships xmlns="http://schemas.openxmlformats.org/package/2006/relationships"><Relationship Id="rId3" Type="http://schemas.openxmlformats.org/officeDocument/2006/relationships/oleObject" Target="file:///C:\Users\Justyna\Downloads\Wskazniki%20dla%20powiat&#243;w_PO_v21.xlsx" TargetMode="External"/><Relationship Id="rId2" Type="http://schemas.microsoft.com/office/2011/relationships/chartColorStyle" Target="colors19.xml"/><Relationship Id="rId1" Type="http://schemas.microsoft.com/office/2011/relationships/chartStyle" Target="style19.xml"/></Relationships>
</file>

<file path=word/charts/_rels/chart24.xml.rels><?xml version="1.0" encoding="UTF-8" standalone="yes"?>
<Relationships xmlns="http://schemas.openxmlformats.org/package/2006/relationships"><Relationship Id="rId3" Type="http://schemas.openxmlformats.org/officeDocument/2006/relationships/oleObject" Target="file:///C:\Users\Justyna\Downloads\Wskazniki%20dla%20powiat&#243;w_PO_v21.xlsx" TargetMode="External"/><Relationship Id="rId2" Type="http://schemas.microsoft.com/office/2011/relationships/chartColorStyle" Target="colors20.xml"/><Relationship Id="rId1" Type="http://schemas.microsoft.com/office/2011/relationships/chartStyle" Target="style20.xml"/></Relationships>
</file>

<file path=word/charts/_rels/chart25.xml.rels><?xml version="1.0" encoding="UTF-8" standalone="yes"?>
<Relationships xmlns="http://schemas.openxmlformats.org/package/2006/relationships"><Relationship Id="rId3" Type="http://schemas.openxmlformats.org/officeDocument/2006/relationships/oleObject" Target="file:///E:\GOZ%20-%20Wielkopolskie\Raport\Wskazniki%20dla%20powiat&#243;w_PO_v21.xlsx" TargetMode="External"/><Relationship Id="rId2" Type="http://schemas.microsoft.com/office/2011/relationships/chartColorStyle" Target="colors21.xml"/><Relationship Id="rId1" Type="http://schemas.microsoft.com/office/2011/relationships/chartStyle" Target="style21.xml"/></Relationships>
</file>

<file path=word/charts/_rels/chart26.xml.rels><?xml version="1.0" encoding="UTF-8" standalone="yes"?>
<Relationships xmlns="http://schemas.openxmlformats.org/package/2006/relationships"><Relationship Id="rId3" Type="http://schemas.openxmlformats.org/officeDocument/2006/relationships/oleObject" Target="file:///C:\Users\Justyna\Downloads\Wskazniki%20dla%20powiat&#243;w_PO_v21.xlsx" TargetMode="External"/><Relationship Id="rId2" Type="http://schemas.microsoft.com/office/2011/relationships/chartColorStyle" Target="colors22.xml"/><Relationship Id="rId1" Type="http://schemas.microsoft.com/office/2011/relationships/chartStyle" Target="style22.xml"/></Relationships>
</file>

<file path=word/charts/_rels/chart27.xml.rels><?xml version="1.0" encoding="UTF-8" standalone="yes"?>
<Relationships xmlns="http://schemas.openxmlformats.org/package/2006/relationships"><Relationship Id="rId3" Type="http://schemas.openxmlformats.org/officeDocument/2006/relationships/oleObject" Target="file:///E:\GOZ%20-%20Wielkopolskie\Raport\Wskazniki%20dla%20powiat&#243;w_PO_v21.xlsx" TargetMode="External"/><Relationship Id="rId2" Type="http://schemas.microsoft.com/office/2011/relationships/chartColorStyle" Target="colors23.xml"/><Relationship Id="rId1" Type="http://schemas.microsoft.com/office/2011/relationships/chartStyle" Target="style23.xml"/></Relationships>
</file>

<file path=word/charts/_rels/chart28.xml.rels><?xml version="1.0" encoding="UTF-8" standalone="yes"?>
<Relationships xmlns="http://schemas.openxmlformats.org/package/2006/relationships"><Relationship Id="rId3" Type="http://schemas.openxmlformats.org/officeDocument/2006/relationships/oleObject" Target="file:///E:\GOZ%20-%20Wielkopolskie\Raport\Wskazniki%20dla%20powiat&#243;w_PO_v21.xlsx" TargetMode="External"/><Relationship Id="rId2" Type="http://schemas.microsoft.com/office/2011/relationships/chartColorStyle" Target="colors24.xml"/><Relationship Id="rId1" Type="http://schemas.microsoft.com/office/2011/relationships/chartStyle" Target="style24.xml"/></Relationships>
</file>

<file path=word/charts/_rels/chart29.xml.rels><?xml version="1.0" encoding="UTF-8" standalone="yes"?>
<Relationships xmlns="http://schemas.openxmlformats.org/package/2006/relationships"><Relationship Id="rId3" Type="http://schemas.openxmlformats.org/officeDocument/2006/relationships/oleObject" Target="file:///E:\GOZ%20-%20Wielkopolskie\Raport\Wskazniki%20dla%20powiat&#243;w_PO_v21.xlsx" TargetMode="External"/><Relationship Id="rId2" Type="http://schemas.microsoft.com/office/2011/relationships/chartColorStyle" Target="colors25.xml"/><Relationship Id="rId1" Type="http://schemas.microsoft.com/office/2011/relationships/chartStyle" Target="style25.xml"/></Relationships>
</file>

<file path=word/charts/_rels/chart3.xml.rels><?xml version="1.0" encoding="UTF-8" standalone="yes"?>
<Relationships xmlns="http://schemas.openxmlformats.org/package/2006/relationships"><Relationship Id="rId3" Type="http://schemas.openxmlformats.org/officeDocument/2006/relationships/oleObject" Target="file:///D:\PRACA\PAN%20Krak&#243;w\Zewn&#281;trzne%20zlecenia\GOZ%20Wielkopolskie\Realizacja\Diagramy%20na%20podstawie%20ankiet\Diagramy.xlsx" TargetMode="External"/><Relationship Id="rId2" Type="http://schemas.microsoft.com/office/2011/relationships/chartColorStyle" Target="colors3.xml"/><Relationship Id="rId1" Type="http://schemas.microsoft.com/office/2011/relationships/chartStyle" Target="style3.xml"/></Relationships>
</file>

<file path=word/charts/_rels/chart30.xml.rels><?xml version="1.0" encoding="UTF-8" standalone="yes"?>
<Relationships xmlns="http://schemas.openxmlformats.org/package/2006/relationships"><Relationship Id="rId3" Type="http://schemas.openxmlformats.org/officeDocument/2006/relationships/oleObject" Target="file:///E:\GOZ%20-%20Wielkopolskie\Raport\Wskazniki%20dla%20powiat&#243;w_PO_v21.xlsx" TargetMode="External"/><Relationship Id="rId2" Type="http://schemas.microsoft.com/office/2011/relationships/chartColorStyle" Target="colors26.xml"/><Relationship Id="rId1" Type="http://schemas.microsoft.com/office/2011/relationships/chartStyle" Target="style26.xml"/></Relationships>
</file>

<file path=word/charts/_rels/chart31.xml.rels><?xml version="1.0" encoding="UTF-8" standalone="yes"?>
<Relationships xmlns="http://schemas.openxmlformats.org/package/2006/relationships"><Relationship Id="rId3" Type="http://schemas.openxmlformats.org/officeDocument/2006/relationships/oleObject" Target="file:///E:\GOZ%20-%20Wielkopolskie\Raport\Wskazniki%20dla%20powiat&#243;w_PO_v21.xlsx" TargetMode="External"/><Relationship Id="rId2" Type="http://schemas.microsoft.com/office/2011/relationships/chartColorStyle" Target="colors27.xml"/><Relationship Id="rId1" Type="http://schemas.microsoft.com/office/2011/relationships/chartStyle" Target="style27.xml"/></Relationships>
</file>

<file path=word/charts/_rels/chart32.xml.rels><?xml version="1.0" encoding="UTF-8" standalone="yes"?>
<Relationships xmlns="http://schemas.openxmlformats.org/package/2006/relationships"><Relationship Id="rId3" Type="http://schemas.openxmlformats.org/officeDocument/2006/relationships/oleObject" Target="file:///C:\Users\Justyna\Downloads\Wskazniki%20dla%20powiat&#243;w_PO_v21.xlsx" TargetMode="External"/><Relationship Id="rId2" Type="http://schemas.microsoft.com/office/2011/relationships/chartColorStyle" Target="colors28.xml"/><Relationship Id="rId1" Type="http://schemas.microsoft.com/office/2011/relationships/chartStyle" Target="style28.xml"/></Relationships>
</file>

<file path=word/charts/_rels/chart33.xml.rels><?xml version="1.0" encoding="UTF-8" standalone="yes"?>
<Relationships xmlns="http://schemas.openxmlformats.org/package/2006/relationships"><Relationship Id="rId3" Type="http://schemas.openxmlformats.org/officeDocument/2006/relationships/oleObject" Target="file:///E:\GOZ%20-%20Wielkopolskie\Raport\Wskazniki%20dla%20powiat&#243;w_PO_v21.xlsx" TargetMode="External"/><Relationship Id="rId2" Type="http://schemas.microsoft.com/office/2011/relationships/chartColorStyle" Target="colors29.xml"/><Relationship Id="rId1" Type="http://schemas.microsoft.com/office/2011/relationships/chartStyle" Target="style29.xml"/></Relationships>
</file>

<file path=word/charts/_rels/chart34.xml.rels><?xml version="1.0" encoding="UTF-8" standalone="yes"?>
<Relationships xmlns="http://schemas.openxmlformats.org/package/2006/relationships"><Relationship Id="rId3" Type="http://schemas.openxmlformats.org/officeDocument/2006/relationships/oleObject" Target="file:///E:\GOZ%20-%20Wielkopolskie\Raport\Wskazniki%20dla%20powiat&#243;w_PO_v21.xlsx" TargetMode="External"/><Relationship Id="rId2" Type="http://schemas.microsoft.com/office/2011/relationships/chartColorStyle" Target="colors30.xml"/><Relationship Id="rId1" Type="http://schemas.microsoft.com/office/2011/relationships/chartStyle" Target="style30.xml"/></Relationships>
</file>

<file path=word/charts/_rels/chart35.xml.rels><?xml version="1.0" encoding="UTF-8" standalone="yes"?>
<Relationships xmlns="http://schemas.openxmlformats.org/package/2006/relationships"><Relationship Id="rId3" Type="http://schemas.openxmlformats.org/officeDocument/2006/relationships/oleObject" Target="file:///C:\Users\Justyna\Downloads\Wskazniki%20dla%20powiat&#243;w_PO_v21.xlsx" TargetMode="External"/><Relationship Id="rId2" Type="http://schemas.microsoft.com/office/2011/relationships/chartColorStyle" Target="colors31.xml"/><Relationship Id="rId1" Type="http://schemas.microsoft.com/office/2011/relationships/chartStyle" Target="style31.xml"/></Relationships>
</file>

<file path=word/charts/_rels/chart36.xml.rels><?xml version="1.0" encoding="UTF-8" standalone="yes"?>
<Relationships xmlns="http://schemas.openxmlformats.org/package/2006/relationships"><Relationship Id="rId3" Type="http://schemas.openxmlformats.org/officeDocument/2006/relationships/oleObject" Target="file:///C:\Users\Justyna\Downloads\Wskazniki%20dla%20powiat&#243;w_PO_v21.xlsx" TargetMode="External"/><Relationship Id="rId2" Type="http://schemas.microsoft.com/office/2011/relationships/chartColorStyle" Target="colors32.xml"/><Relationship Id="rId1" Type="http://schemas.microsoft.com/office/2011/relationships/chartStyle" Target="style32.xml"/></Relationships>
</file>

<file path=word/charts/_rels/chart37.xml.rels><?xml version="1.0" encoding="UTF-8" standalone="yes"?>
<Relationships xmlns="http://schemas.openxmlformats.org/package/2006/relationships"><Relationship Id="rId3" Type="http://schemas.openxmlformats.org/officeDocument/2006/relationships/oleObject" Target="file:///C:\Users\Justyna\Desktop\GOZ\Wskazniki%20fin%20JC.xlsx" TargetMode="External"/><Relationship Id="rId2" Type="http://schemas.microsoft.com/office/2011/relationships/chartColorStyle" Target="colors33.xml"/><Relationship Id="rId1" Type="http://schemas.microsoft.com/office/2011/relationships/chartStyle" Target="style33.xml"/></Relationships>
</file>

<file path=word/charts/_rels/chart38.xml.rels><?xml version="1.0" encoding="UTF-8" standalone="yes"?>
<Relationships xmlns="http://schemas.openxmlformats.org/package/2006/relationships"><Relationship Id="rId3" Type="http://schemas.openxmlformats.org/officeDocument/2006/relationships/oleObject" Target="file:///C:\Users\Justyna\Desktop\GOZ\Wskazniki%20fin%20JC.xlsx" TargetMode="External"/><Relationship Id="rId2" Type="http://schemas.microsoft.com/office/2011/relationships/chartColorStyle" Target="colors34.xml"/><Relationship Id="rId1" Type="http://schemas.microsoft.com/office/2011/relationships/chartStyle" Target="style34.xml"/></Relationships>
</file>

<file path=word/charts/_rels/chart39.xml.rels><?xml version="1.0" encoding="UTF-8" standalone="yes"?>
<Relationships xmlns="http://schemas.openxmlformats.org/package/2006/relationships"><Relationship Id="rId3" Type="http://schemas.openxmlformats.org/officeDocument/2006/relationships/oleObject" Target="file:///E:\GOZ%20-%20Wielkopolskie\Raport\Wskazniki%20dla%20powiat&#243;w_PO_v21.xlsx" TargetMode="External"/><Relationship Id="rId2" Type="http://schemas.microsoft.com/office/2011/relationships/chartColorStyle" Target="colors35.xml"/><Relationship Id="rId1" Type="http://schemas.microsoft.com/office/2011/relationships/chartStyle" Target="style35.xml"/></Relationships>
</file>

<file path=word/charts/_rels/chart4.xml.rels><?xml version="1.0" encoding="UTF-8" standalone="yes"?>
<Relationships xmlns="http://schemas.openxmlformats.org/package/2006/relationships"><Relationship Id="rId3" Type="http://schemas.openxmlformats.org/officeDocument/2006/relationships/oleObject" Target="file:///D:\PRACA\PAN%20Krak&#243;w\Zewn&#281;trzne%20zlecenia\GOZ%20Wielkopolskie\Realizacja\Diagramy%20na%20podstawie%20ankiet\Diagramy.xlsx" TargetMode="External"/><Relationship Id="rId2" Type="http://schemas.microsoft.com/office/2011/relationships/chartColorStyle" Target="colors4.xml"/><Relationship Id="rId1" Type="http://schemas.microsoft.com/office/2011/relationships/chartStyle" Target="style4.xml"/></Relationships>
</file>

<file path=word/charts/_rels/chart40.xml.rels><?xml version="1.0" encoding="UTF-8" standalone="yes"?>
<Relationships xmlns="http://schemas.openxmlformats.org/package/2006/relationships"><Relationship Id="rId3" Type="http://schemas.openxmlformats.org/officeDocument/2006/relationships/oleObject" Target="file:///C:\Users\Justyna\Downloads\Wskazniki%20dla%20powiat&#243;w_PO_v21.xlsx" TargetMode="External"/><Relationship Id="rId2" Type="http://schemas.microsoft.com/office/2011/relationships/chartColorStyle" Target="colors36.xml"/><Relationship Id="rId1" Type="http://schemas.microsoft.com/office/2011/relationships/chartStyle" Target="style36.xml"/></Relationships>
</file>

<file path=word/charts/_rels/chart5.xml.rels><?xml version="1.0" encoding="UTF-8" standalone="yes"?>
<Relationships xmlns="http://schemas.openxmlformats.org/package/2006/relationships"><Relationship Id="rId3" Type="http://schemas.openxmlformats.org/officeDocument/2006/relationships/oleObject" Target="file:///D:\PRACA\PAN%20Krak&#243;w\Zewn&#281;trzne%20zlecenia\GOZ%20Wielkopolskie\Realizacja\Diagramy%20na%20podstawie%20ankiet\Diagramy.xlsx" TargetMode="External"/><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oleObject" Target="file:///D:\PRACA\PAN%20Krak&#243;w\Zewn&#281;trzne%20zlecenia\GOZ%20Wielkopolskie\Realizacja\Diagramy%20na%20podstawie%20ankiet\Diagramy.xlsx" TargetMode="External"/><Relationship Id="rId2" Type="http://schemas.microsoft.com/office/2011/relationships/chartColorStyle" Target="colors6.xml"/><Relationship Id="rId1" Type="http://schemas.microsoft.com/office/2011/relationships/chartStyle" Target="style6.xml"/></Relationships>
</file>

<file path=word/charts/_rels/chart7.xml.rels><?xml version="1.0" encoding="UTF-8" standalone="yes"?>
<Relationships xmlns="http://schemas.openxmlformats.org/package/2006/relationships"><Relationship Id="rId3" Type="http://schemas.openxmlformats.org/officeDocument/2006/relationships/oleObject" Target="file:///D:\PRACA\PAN%20Krak&#243;w\Zewn&#281;trzne%20zlecenia\GOZ%20Wielkopolskie\Realizacja\Diagramy%20na%20podstawie%20ankiet\Diagramy.xlsx" TargetMode="External"/><Relationship Id="rId2" Type="http://schemas.microsoft.com/office/2011/relationships/chartColorStyle" Target="colors7.xml"/><Relationship Id="rId1" Type="http://schemas.microsoft.com/office/2011/relationships/chartStyle" Target="style7.xml"/></Relationships>
</file>

<file path=word/charts/_rels/chart8.xml.rels><?xml version="1.0" encoding="UTF-8" standalone="yes"?>
<Relationships xmlns="http://schemas.openxmlformats.org/package/2006/relationships"><Relationship Id="rId3" Type="http://schemas.openxmlformats.org/officeDocument/2006/relationships/oleObject" Target="file:///D:\PRACA\PAN%20Krak&#243;w\Zewn&#281;trzne%20zlecenia\GOZ%20Wielkopolskie\Realizacja\Diagramy%20na%20podstawie%20ankiet\Diagramy.xlsx" TargetMode="External"/><Relationship Id="rId2" Type="http://schemas.microsoft.com/office/2011/relationships/chartColorStyle" Target="colors8.xml"/><Relationship Id="rId1" Type="http://schemas.microsoft.com/office/2011/relationships/chartStyle" Target="style8.xml"/></Relationships>
</file>

<file path=word/charts/_rels/chart9.xml.rels><?xml version="1.0" encoding="UTF-8" standalone="yes"?>
<Relationships xmlns="http://schemas.openxmlformats.org/package/2006/relationships"><Relationship Id="rId3" Type="http://schemas.openxmlformats.org/officeDocument/2006/relationships/oleObject" Target="file:///D:\PRACA\PAN%20Krak&#243;w\Zewn&#281;trzne%20zlecenia\GOZ%20Wielkopolskie\Realizacja\Diagramy%20na%20podstawie%20ankiet\Diagramy.xlsx" TargetMode="External"/><Relationship Id="rId2" Type="http://schemas.microsoft.com/office/2011/relationships/chartColorStyle" Target="colors9.xml"/><Relationship Id="rId1" Type="http://schemas.microsoft.com/office/2011/relationships/chartStyle" Target="style9.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solidFill>
              <a:schemeClr val="accent1"/>
            </a:solidFill>
            <a:ln w="38100">
              <a:noFill/>
            </a:ln>
            <a:effectLst/>
          </c:spPr>
          <c:invertIfNegative val="0"/>
          <c:dPt>
            <c:idx val="0"/>
            <c:invertIfNegative val="0"/>
            <c:bubble3D val="0"/>
            <c:spPr>
              <a:solidFill>
                <a:srgbClr val="51BBB6"/>
              </a:solidFill>
              <a:ln w="38100">
                <a:noFill/>
              </a:ln>
              <a:effectLst/>
            </c:spPr>
            <c:extLst>
              <c:ext xmlns:c16="http://schemas.microsoft.com/office/drawing/2014/chart" uri="{C3380CC4-5D6E-409C-BE32-E72D297353CC}">
                <c16:uniqueId val="{00000001-1187-4CFB-BFCD-E8850121B7F2}"/>
              </c:ext>
            </c:extLst>
          </c:dPt>
          <c:dPt>
            <c:idx val="2"/>
            <c:invertIfNegative val="0"/>
            <c:bubble3D val="0"/>
            <c:spPr>
              <a:solidFill>
                <a:srgbClr val="51BBB6"/>
              </a:solidFill>
              <a:ln w="38100">
                <a:noFill/>
              </a:ln>
              <a:effectLst/>
            </c:spPr>
            <c:extLst>
              <c:ext xmlns:c16="http://schemas.microsoft.com/office/drawing/2014/chart" uri="{C3380CC4-5D6E-409C-BE32-E72D297353CC}">
                <c16:uniqueId val="{00000003-1187-4CFB-BFCD-E8850121B7F2}"/>
              </c:ext>
            </c:extLst>
          </c:dPt>
          <c:dPt>
            <c:idx val="3"/>
            <c:invertIfNegative val="0"/>
            <c:bubble3D val="0"/>
            <c:spPr>
              <a:solidFill>
                <a:srgbClr val="173457"/>
              </a:solidFill>
              <a:ln w="38100">
                <a:noFill/>
              </a:ln>
              <a:effectLst/>
            </c:spPr>
            <c:extLst>
              <c:ext xmlns:c16="http://schemas.microsoft.com/office/drawing/2014/chart" uri="{C3380CC4-5D6E-409C-BE32-E72D297353CC}">
                <c16:uniqueId val="{00000005-1187-4CFB-BFCD-E8850121B7F2}"/>
              </c:ext>
            </c:extLst>
          </c:dPt>
          <c:dPt>
            <c:idx val="4"/>
            <c:invertIfNegative val="0"/>
            <c:bubble3D val="0"/>
            <c:spPr>
              <a:solidFill>
                <a:srgbClr val="51BBB6"/>
              </a:solidFill>
              <a:ln w="38100">
                <a:noFill/>
              </a:ln>
              <a:effectLst/>
            </c:spPr>
            <c:extLst>
              <c:ext xmlns:c16="http://schemas.microsoft.com/office/drawing/2014/chart" uri="{C3380CC4-5D6E-409C-BE32-E72D297353CC}">
                <c16:uniqueId val="{00000007-1187-4CFB-BFCD-E8850121B7F2}"/>
              </c:ext>
            </c:extLst>
          </c:dPt>
          <c:dPt>
            <c:idx val="5"/>
            <c:invertIfNegative val="0"/>
            <c:bubble3D val="0"/>
            <c:spPr>
              <a:solidFill>
                <a:srgbClr val="173457"/>
              </a:solidFill>
              <a:ln w="38100">
                <a:noFill/>
              </a:ln>
              <a:effectLst/>
            </c:spPr>
            <c:extLst>
              <c:ext xmlns:c16="http://schemas.microsoft.com/office/drawing/2014/chart" uri="{C3380CC4-5D6E-409C-BE32-E72D297353CC}">
                <c16:uniqueId val="{00000009-1187-4CFB-BFCD-E8850121B7F2}"/>
              </c:ext>
            </c:extLst>
          </c:dPt>
          <c:dPt>
            <c:idx val="6"/>
            <c:invertIfNegative val="0"/>
            <c:bubble3D val="0"/>
            <c:spPr>
              <a:solidFill>
                <a:srgbClr val="51BBB6"/>
              </a:solidFill>
              <a:ln w="38100">
                <a:noFill/>
              </a:ln>
              <a:effectLst/>
            </c:spPr>
            <c:extLst>
              <c:ext xmlns:c16="http://schemas.microsoft.com/office/drawing/2014/chart" uri="{C3380CC4-5D6E-409C-BE32-E72D297353CC}">
                <c16:uniqueId val="{0000000B-1187-4CFB-BFCD-E8850121B7F2}"/>
              </c:ext>
            </c:extLst>
          </c:dPt>
          <c:dPt>
            <c:idx val="7"/>
            <c:invertIfNegative val="0"/>
            <c:bubble3D val="0"/>
            <c:spPr>
              <a:solidFill>
                <a:srgbClr val="173457"/>
              </a:solidFill>
              <a:ln w="38100">
                <a:noFill/>
              </a:ln>
              <a:effectLst/>
            </c:spPr>
            <c:extLst>
              <c:ext xmlns:c16="http://schemas.microsoft.com/office/drawing/2014/chart" uri="{C3380CC4-5D6E-409C-BE32-E72D297353CC}">
                <c16:uniqueId val="{0000000D-1187-4CFB-BFCD-E8850121B7F2}"/>
              </c:ext>
            </c:extLst>
          </c:dPt>
          <c:dPt>
            <c:idx val="8"/>
            <c:invertIfNegative val="0"/>
            <c:bubble3D val="0"/>
            <c:spPr>
              <a:solidFill>
                <a:srgbClr val="51BBB6"/>
              </a:solidFill>
              <a:ln w="38100">
                <a:noFill/>
              </a:ln>
              <a:effectLst/>
            </c:spPr>
            <c:extLst>
              <c:ext xmlns:c16="http://schemas.microsoft.com/office/drawing/2014/chart" uri="{C3380CC4-5D6E-409C-BE32-E72D297353CC}">
                <c16:uniqueId val="{0000000F-1187-4CFB-BFCD-E8850121B7F2}"/>
              </c:ext>
            </c:extLst>
          </c:dPt>
          <c:dPt>
            <c:idx val="9"/>
            <c:invertIfNegative val="0"/>
            <c:bubble3D val="0"/>
            <c:spPr>
              <a:solidFill>
                <a:srgbClr val="173457"/>
              </a:solidFill>
              <a:ln w="38100">
                <a:noFill/>
              </a:ln>
              <a:effectLst/>
            </c:spPr>
            <c:extLst>
              <c:ext xmlns:c16="http://schemas.microsoft.com/office/drawing/2014/chart" uri="{C3380CC4-5D6E-409C-BE32-E72D297353CC}">
                <c16:uniqueId val="{00000011-1187-4CFB-BFCD-E8850121B7F2}"/>
              </c:ext>
            </c:extLst>
          </c:dPt>
          <c:dPt>
            <c:idx val="10"/>
            <c:invertIfNegative val="0"/>
            <c:bubble3D val="0"/>
            <c:spPr>
              <a:solidFill>
                <a:srgbClr val="51BBB6"/>
              </a:solidFill>
              <a:ln w="38100">
                <a:noFill/>
              </a:ln>
              <a:effectLst/>
            </c:spPr>
            <c:extLst>
              <c:ext xmlns:c16="http://schemas.microsoft.com/office/drawing/2014/chart" uri="{C3380CC4-5D6E-409C-BE32-E72D297353CC}">
                <c16:uniqueId val="{00000013-1187-4CFB-BFCD-E8850121B7F2}"/>
              </c:ext>
            </c:extLst>
          </c:dPt>
          <c:dPt>
            <c:idx val="11"/>
            <c:invertIfNegative val="0"/>
            <c:bubble3D val="0"/>
            <c:spPr>
              <a:solidFill>
                <a:srgbClr val="173457"/>
              </a:solidFill>
              <a:ln w="38100">
                <a:noFill/>
              </a:ln>
              <a:effectLst/>
            </c:spPr>
            <c:extLst>
              <c:ext xmlns:c16="http://schemas.microsoft.com/office/drawing/2014/chart" uri="{C3380CC4-5D6E-409C-BE32-E72D297353CC}">
                <c16:uniqueId val="{00000015-1187-4CFB-BFCD-E8850121B7F2}"/>
              </c:ext>
            </c:extLst>
          </c:dPt>
          <c:dPt>
            <c:idx val="12"/>
            <c:invertIfNegative val="0"/>
            <c:bubble3D val="0"/>
            <c:spPr>
              <a:solidFill>
                <a:srgbClr val="51BBB6"/>
              </a:solidFill>
              <a:ln w="38100">
                <a:noFill/>
              </a:ln>
              <a:effectLst/>
            </c:spPr>
            <c:extLst>
              <c:ext xmlns:c16="http://schemas.microsoft.com/office/drawing/2014/chart" uri="{C3380CC4-5D6E-409C-BE32-E72D297353CC}">
                <c16:uniqueId val="{00000017-1187-4CFB-BFCD-E8850121B7F2}"/>
              </c:ext>
            </c:extLst>
          </c:dPt>
          <c:dPt>
            <c:idx val="13"/>
            <c:invertIfNegative val="0"/>
            <c:bubble3D val="0"/>
            <c:spPr>
              <a:solidFill>
                <a:srgbClr val="173457"/>
              </a:solidFill>
              <a:ln w="38100">
                <a:noFill/>
              </a:ln>
              <a:effectLst/>
            </c:spPr>
            <c:extLst>
              <c:ext xmlns:c16="http://schemas.microsoft.com/office/drawing/2014/chart" uri="{C3380CC4-5D6E-409C-BE32-E72D297353CC}">
                <c16:uniqueId val="{00000019-1187-4CFB-BFCD-E8850121B7F2}"/>
              </c:ext>
            </c:extLst>
          </c:dPt>
          <c:dPt>
            <c:idx val="14"/>
            <c:invertIfNegative val="0"/>
            <c:bubble3D val="0"/>
            <c:spPr>
              <a:solidFill>
                <a:srgbClr val="51BBB6"/>
              </a:solidFill>
              <a:ln w="38100">
                <a:noFill/>
              </a:ln>
              <a:effectLst/>
            </c:spPr>
            <c:extLst>
              <c:ext xmlns:c16="http://schemas.microsoft.com/office/drawing/2014/chart" uri="{C3380CC4-5D6E-409C-BE32-E72D297353CC}">
                <c16:uniqueId val="{0000001B-1187-4CFB-BFCD-E8850121B7F2}"/>
              </c:ext>
            </c:extLst>
          </c:dPt>
          <c:dPt>
            <c:idx val="15"/>
            <c:invertIfNegative val="0"/>
            <c:bubble3D val="0"/>
            <c:spPr>
              <a:solidFill>
                <a:srgbClr val="173457"/>
              </a:solidFill>
              <a:ln w="38100">
                <a:noFill/>
              </a:ln>
              <a:effectLst/>
            </c:spPr>
            <c:extLst>
              <c:ext xmlns:c16="http://schemas.microsoft.com/office/drawing/2014/chart" uri="{C3380CC4-5D6E-409C-BE32-E72D297353CC}">
                <c16:uniqueId val="{0000001D-1187-4CFB-BFCD-E8850121B7F2}"/>
              </c:ext>
            </c:extLst>
          </c:dPt>
          <c:dPt>
            <c:idx val="16"/>
            <c:invertIfNegative val="0"/>
            <c:bubble3D val="0"/>
            <c:spPr>
              <a:solidFill>
                <a:srgbClr val="51BBB6"/>
              </a:solidFill>
              <a:ln w="38100">
                <a:noFill/>
              </a:ln>
              <a:effectLst/>
            </c:spPr>
            <c:extLst>
              <c:ext xmlns:c16="http://schemas.microsoft.com/office/drawing/2014/chart" uri="{C3380CC4-5D6E-409C-BE32-E72D297353CC}">
                <c16:uniqueId val="{0000001F-1187-4CFB-BFCD-E8850121B7F2}"/>
              </c:ext>
            </c:extLst>
          </c:dPt>
          <c:dPt>
            <c:idx val="17"/>
            <c:invertIfNegative val="0"/>
            <c:bubble3D val="0"/>
            <c:spPr>
              <a:solidFill>
                <a:srgbClr val="173457"/>
              </a:solidFill>
              <a:ln w="38100">
                <a:noFill/>
              </a:ln>
              <a:effectLst/>
            </c:spPr>
            <c:extLst>
              <c:ext xmlns:c16="http://schemas.microsoft.com/office/drawing/2014/chart" uri="{C3380CC4-5D6E-409C-BE32-E72D297353CC}">
                <c16:uniqueId val="{00000021-1187-4CFB-BFCD-E8850121B7F2}"/>
              </c:ext>
            </c:extLst>
          </c:dPt>
          <c:dPt>
            <c:idx val="18"/>
            <c:invertIfNegative val="0"/>
            <c:bubble3D val="0"/>
            <c:spPr>
              <a:solidFill>
                <a:srgbClr val="51BBB6"/>
              </a:solidFill>
              <a:ln w="38100">
                <a:noFill/>
              </a:ln>
              <a:effectLst/>
            </c:spPr>
            <c:extLst>
              <c:ext xmlns:c16="http://schemas.microsoft.com/office/drawing/2014/chart" uri="{C3380CC4-5D6E-409C-BE32-E72D297353CC}">
                <c16:uniqueId val="{00000023-1187-4CFB-BFCD-E8850121B7F2}"/>
              </c:ext>
            </c:extLst>
          </c:dPt>
          <c:dLbls>
            <c:dLbl>
              <c:idx val="6"/>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1187-4CFB-BFCD-E8850121B7F2}"/>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'podmioty sekcje działy'!$D$17:$V$17</c:f>
              <c:strCache>
                <c:ptCount val="19"/>
                <c:pt idx="0">
                  <c:v>Sekcja A</c:v>
                </c:pt>
                <c:pt idx="1">
                  <c:v>Sekcja B</c:v>
                </c:pt>
                <c:pt idx="2">
                  <c:v>Sekcja C</c:v>
                </c:pt>
                <c:pt idx="3">
                  <c:v>Sekcja D</c:v>
                </c:pt>
                <c:pt idx="4">
                  <c:v>Sekcja E</c:v>
                </c:pt>
                <c:pt idx="5">
                  <c:v>Sekcja F</c:v>
                </c:pt>
                <c:pt idx="6">
                  <c:v>Sekcja G</c:v>
                </c:pt>
                <c:pt idx="7">
                  <c:v>Sekcja H</c:v>
                </c:pt>
                <c:pt idx="8">
                  <c:v>Sekcja I</c:v>
                </c:pt>
                <c:pt idx="9">
                  <c:v>Sekcja J</c:v>
                </c:pt>
                <c:pt idx="10">
                  <c:v>Sekcja K</c:v>
                </c:pt>
                <c:pt idx="11">
                  <c:v>Sekcja L</c:v>
                </c:pt>
                <c:pt idx="12">
                  <c:v>Sekcja M</c:v>
                </c:pt>
                <c:pt idx="13">
                  <c:v>Sekcja N</c:v>
                </c:pt>
                <c:pt idx="14">
                  <c:v>Sekcja O</c:v>
                </c:pt>
                <c:pt idx="15">
                  <c:v>Sekcja P</c:v>
                </c:pt>
                <c:pt idx="16">
                  <c:v>Sekcja Q</c:v>
                </c:pt>
                <c:pt idx="17">
                  <c:v>Sekcja R</c:v>
                </c:pt>
                <c:pt idx="18">
                  <c:v>Sekcje S i T</c:v>
                </c:pt>
              </c:strCache>
            </c:strRef>
          </c:cat>
          <c:val>
            <c:numRef>
              <c:f>'podmioty sekcje działy'!$D$18:$V$18</c:f>
              <c:numCache>
                <c:formatCode>#,##0</c:formatCode>
                <c:ptCount val="19"/>
                <c:pt idx="0">
                  <c:v>10523</c:v>
                </c:pt>
                <c:pt idx="1">
                  <c:v>465</c:v>
                </c:pt>
                <c:pt idx="2">
                  <c:v>41080</c:v>
                </c:pt>
                <c:pt idx="3">
                  <c:v>2411</c:v>
                </c:pt>
                <c:pt idx="4">
                  <c:v>1435</c:v>
                </c:pt>
                <c:pt idx="5">
                  <c:v>68650</c:v>
                </c:pt>
                <c:pt idx="6">
                  <c:v>100702</c:v>
                </c:pt>
                <c:pt idx="7">
                  <c:v>26900</c:v>
                </c:pt>
                <c:pt idx="8">
                  <c:v>11266</c:v>
                </c:pt>
                <c:pt idx="9">
                  <c:v>17305</c:v>
                </c:pt>
                <c:pt idx="10">
                  <c:v>11713</c:v>
                </c:pt>
                <c:pt idx="11">
                  <c:v>21224</c:v>
                </c:pt>
                <c:pt idx="12">
                  <c:v>48552</c:v>
                </c:pt>
                <c:pt idx="13">
                  <c:v>15958</c:v>
                </c:pt>
                <c:pt idx="14">
                  <c:v>2690</c:v>
                </c:pt>
                <c:pt idx="15">
                  <c:v>15184</c:v>
                </c:pt>
                <c:pt idx="16">
                  <c:v>26019</c:v>
                </c:pt>
                <c:pt idx="17">
                  <c:v>7922</c:v>
                </c:pt>
                <c:pt idx="18">
                  <c:v>30666</c:v>
                </c:pt>
              </c:numCache>
            </c:numRef>
          </c:val>
          <c:extLst>
            <c:ext xmlns:c16="http://schemas.microsoft.com/office/drawing/2014/chart" uri="{C3380CC4-5D6E-409C-BE32-E72D297353CC}">
              <c16:uniqueId val="{00000024-1187-4CFB-BFCD-E8850121B7F2}"/>
            </c:ext>
          </c:extLst>
        </c:ser>
        <c:dLbls>
          <c:showLegendKey val="0"/>
          <c:showVal val="0"/>
          <c:showCatName val="0"/>
          <c:showSerName val="0"/>
          <c:showPercent val="0"/>
          <c:showBubbleSize val="0"/>
        </c:dLbls>
        <c:gapWidth val="182"/>
        <c:axId val="768884800"/>
        <c:axId val="768876640"/>
      </c:barChart>
      <c:catAx>
        <c:axId val="76888480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rgbClr val="173457"/>
                </a:solidFill>
                <a:latin typeface="Arial" panose="020B0604020202020204" pitchFamily="34" charset="0"/>
                <a:ea typeface="+mn-ea"/>
                <a:cs typeface="Arial" panose="020B0604020202020204" pitchFamily="34" charset="0"/>
              </a:defRPr>
            </a:pPr>
            <a:endParaRPr lang="pl-PL"/>
          </a:p>
        </c:txPr>
        <c:crossAx val="768876640"/>
        <c:crosses val="autoZero"/>
        <c:auto val="1"/>
        <c:lblAlgn val="ctr"/>
        <c:lblOffset val="100"/>
        <c:noMultiLvlLbl val="0"/>
      </c:catAx>
      <c:valAx>
        <c:axId val="768876640"/>
        <c:scaling>
          <c:orientation val="minMax"/>
          <c:max val="100000"/>
        </c:scaling>
        <c:delete val="0"/>
        <c:axPos val="b"/>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rgbClr val="173457"/>
                </a:solidFill>
                <a:latin typeface="Arial" panose="020B0604020202020204" pitchFamily="34" charset="0"/>
                <a:ea typeface="+mn-ea"/>
                <a:cs typeface="Arial" panose="020B0604020202020204" pitchFamily="34" charset="0"/>
              </a:defRPr>
            </a:pPr>
            <a:endParaRPr lang="pl-PL"/>
          </a:p>
        </c:txPr>
        <c:crossAx val="768884800"/>
        <c:crosses val="autoZero"/>
        <c:crossBetween val="between"/>
        <c:majorUnit val="20000"/>
      </c:val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a:pPr>
      <a:endParaRPr lang="pl-PL"/>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solidFill>
              <a:srgbClr val="173457"/>
            </a:solidFill>
            <a:ln>
              <a:solidFill>
                <a:srgbClr val="51BBB6"/>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'B11'!$B$5:$B$11</c:f>
              <c:strCache>
                <c:ptCount val="7"/>
                <c:pt idx="0">
                  <c:v>Pozyskanie korzystynych umów z firmami logistyczymi/magazynowymi/dystrubucyjnymi</c:v>
                </c:pt>
                <c:pt idx="1">
                  <c:v>Usprawnienie sprzedaży </c:v>
                </c:pt>
                <c:pt idx="2">
                  <c:v>Pozyskanie nowych rynków zbytu</c:v>
                </c:pt>
                <c:pt idx="3">
                  <c:v>Wzrost jakości produkcji</c:v>
                </c:pt>
                <c:pt idx="4">
                  <c:v>Wzrost poziomu jakości usług</c:v>
                </c:pt>
                <c:pt idx="5">
                  <c:v>Obniżenie kosztów działalności</c:v>
                </c:pt>
                <c:pt idx="6">
                  <c:v>Napływ nowych technologii</c:v>
                </c:pt>
              </c:strCache>
            </c:strRef>
          </c:cat>
          <c:val>
            <c:numRef>
              <c:f>'B11'!$D$5:$D$11</c:f>
              <c:numCache>
                <c:formatCode>0%</c:formatCode>
                <c:ptCount val="7"/>
                <c:pt idx="0">
                  <c:v>0.04</c:v>
                </c:pt>
                <c:pt idx="1">
                  <c:v>0.12</c:v>
                </c:pt>
                <c:pt idx="2">
                  <c:v>0.14000000000000001</c:v>
                </c:pt>
                <c:pt idx="3">
                  <c:v>0.16</c:v>
                </c:pt>
                <c:pt idx="4">
                  <c:v>0.18</c:v>
                </c:pt>
                <c:pt idx="5">
                  <c:v>0.18</c:v>
                </c:pt>
                <c:pt idx="6">
                  <c:v>0.18</c:v>
                </c:pt>
              </c:numCache>
            </c:numRef>
          </c:val>
          <c:extLst>
            <c:ext xmlns:c16="http://schemas.microsoft.com/office/drawing/2014/chart" uri="{C3380CC4-5D6E-409C-BE32-E72D297353CC}">
              <c16:uniqueId val="{00000000-EF1B-40CC-942F-3E4E5CCB5181}"/>
            </c:ext>
          </c:extLst>
        </c:ser>
        <c:dLbls>
          <c:dLblPos val="outEnd"/>
          <c:showLegendKey val="0"/>
          <c:showVal val="1"/>
          <c:showCatName val="0"/>
          <c:showSerName val="0"/>
          <c:showPercent val="0"/>
          <c:showBubbleSize val="0"/>
        </c:dLbls>
        <c:gapWidth val="182"/>
        <c:axId val="-460577152"/>
        <c:axId val="-460576608"/>
      </c:barChart>
      <c:catAx>
        <c:axId val="-460577152"/>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crossAx val="-460576608"/>
        <c:crosses val="autoZero"/>
        <c:auto val="1"/>
        <c:lblAlgn val="ctr"/>
        <c:lblOffset val="100"/>
        <c:noMultiLvlLbl val="0"/>
      </c:catAx>
      <c:valAx>
        <c:axId val="-460576608"/>
        <c:scaling>
          <c:orientation val="minMax"/>
        </c:scaling>
        <c:delete val="1"/>
        <c:axPos val="b"/>
        <c:majorGridlines>
          <c:spPr>
            <a:ln w="9525" cap="flat" cmpd="sng" algn="ctr">
              <a:noFill/>
              <a:round/>
            </a:ln>
            <a:effectLst/>
          </c:spPr>
        </c:majorGridlines>
        <c:numFmt formatCode="0%" sourceLinked="0"/>
        <c:majorTickMark val="none"/>
        <c:minorTickMark val="none"/>
        <c:tickLblPos val="nextTo"/>
        <c:crossAx val="-460577152"/>
        <c:crosses val="autoZero"/>
        <c:crossBetween val="between"/>
        <c:majorUnit val="0.1"/>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3">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200" b="0" i="0" u="none" strike="noStrike" kern="1200" spc="0" baseline="0">
              <a:solidFill>
                <a:srgbClr val="595959"/>
              </a:solidFill>
              <a:latin typeface="Arial" panose="020B0604020202020204" pitchFamily="34" charset="0"/>
              <a:ea typeface="+mn-ea"/>
              <a:cs typeface="Arial" panose="020B0604020202020204" pitchFamily="34" charset="0"/>
            </a:defRPr>
          </a:pPr>
          <a:endParaRPr lang="pl-PL"/>
        </a:p>
      </c:txPr>
    </c:title>
    <c:autoTitleDeleted val="0"/>
    <c:plotArea>
      <c:layout/>
      <c:lineChart>
        <c:grouping val="standard"/>
        <c:varyColors val="0"/>
        <c:ser>
          <c:idx val="1"/>
          <c:order val="0"/>
          <c:tx>
            <c:strRef>
              <c:f>Arkusz2!$A$8</c:f>
              <c:strCache>
                <c:ptCount val="1"/>
                <c:pt idx="0">
                  <c:v>Polska</c:v>
                </c:pt>
              </c:strCache>
            </c:strRef>
          </c:tx>
          <c:spPr>
            <a:ln w="28575" cap="rnd">
              <a:solidFill>
                <a:schemeClr val="accent2"/>
              </a:solidFill>
              <a:round/>
            </a:ln>
            <a:effectLst/>
          </c:spPr>
          <c:marker>
            <c:symbol val="none"/>
          </c:marker>
          <c:dLbls>
            <c:spPr>
              <a:noFill/>
              <a:ln>
                <a:noFill/>
              </a:ln>
              <a:effectLst/>
            </c:spPr>
            <c:txPr>
              <a:bodyPr rot="0" spcFirstLastPara="1" vertOverflow="ellipsis" vert="horz" wrap="square" anchor="ctr" anchorCtr="1"/>
              <a:lstStyle/>
              <a:p>
                <a:pPr>
                  <a:defRPr sz="900" b="0" i="0" u="none" strike="noStrike" kern="1200" baseline="0">
                    <a:solidFill>
                      <a:srgbClr val="595959"/>
                    </a:solidFill>
                    <a:latin typeface="Arial" panose="020B0604020202020204" pitchFamily="34" charset="0"/>
                    <a:ea typeface="+mn-ea"/>
                    <a:cs typeface="Arial" panose="020B0604020202020204" pitchFamily="34" charset="0"/>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trendline>
            <c:spPr>
              <a:ln w="19050" cap="rnd">
                <a:solidFill>
                  <a:schemeClr val="accent2"/>
                </a:solidFill>
                <a:prstDash val="sysDot"/>
              </a:ln>
              <a:effectLst/>
            </c:spPr>
            <c:trendlineType val="linear"/>
            <c:dispRSqr val="0"/>
            <c:dispEq val="0"/>
          </c:trendline>
          <c:cat>
            <c:numRef>
              <c:f>Arkusz2!$B$6:$K$6</c:f>
              <c:numCache>
                <c:formatCode>General</c:formatCode>
                <c:ptCount val="10"/>
                <c:pt idx="0">
                  <c:v>2010</c:v>
                </c:pt>
                <c:pt idx="1">
                  <c:v>2011</c:v>
                </c:pt>
                <c:pt idx="2">
                  <c:v>2012</c:v>
                </c:pt>
                <c:pt idx="3">
                  <c:v>2013</c:v>
                </c:pt>
                <c:pt idx="4">
                  <c:v>2014</c:v>
                </c:pt>
                <c:pt idx="5">
                  <c:v>2015</c:v>
                </c:pt>
                <c:pt idx="6">
                  <c:v>2016</c:v>
                </c:pt>
                <c:pt idx="7">
                  <c:v>2017</c:v>
                </c:pt>
                <c:pt idx="8">
                  <c:v>2018</c:v>
                </c:pt>
                <c:pt idx="9">
                  <c:v>2019</c:v>
                </c:pt>
              </c:numCache>
            </c:numRef>
          </c:cat>
          <c:val>
            <c:numRef>
              <c:f>Arkusz2!$B$8:$K$8</c:f>
              <c:numCache>
                <c:formatCode>0.00</c:formatCode>
                <c:ptCount val="10"/>
                <c:pt idx="0">
                  <c:v>10.3565</c:v>
                </c:pt>
                <c:pt idx="1">
                  <c:v>10.6791</c:v>
                </c:pt>
                <c:pt idx="2">
                  <c:v>10.349500000000001</c:v>
                </c:pt>
                <c:pt idx="3">
                  <c:v>10.106</c:v>
                </c:pt>
                <c:pt idx="4">
                  <c:v>10.2437</c:v>
                </c:pt>
                <c:pt idx="5">
                  <c:v>10.0587</c:v>
                </c:pt>
                <c:pt idx="6">
                  <c:v>10.1388</c:v>
                </c:pt>
                <c:pt idx="7">
                  <c:v>9.6562999999999999</c:v>
                </c:pt>
                <c:pt idx="8">
                  <c:v>9.4345999999999997</c:v>
                </c:pt>
                <c:pt idx="9">
                  <c:v>8.8160000000000007</c:v>
                </c:pt>
              </c:numCache>
            </c:numRef>
          </c:val>
          <c:smooth val="0"/>
          <c:extLst>
            <c:ext xmlns:c16="http://schemas.microsoft.com/office/drawing/2014/chart" uri="{C3380CC4-5D6E-409C-BE32-E72D297353CC}">
              <c16:uniqueId val="{00000001-5EB2-4819-9CA1-79D3EFA0ADFF}"/>
            </c:ext>
          </c:extLst>
        </c:ser>
        <c:dLbls>
          <c:showLegendKey val="0"/>
          <c:showVal val="0"/>
          <c:showCatName val="0"/>
          <c:showSerName val="0"/>
          <c:showPercent val="0"/>
          <c:showBubbleSize val="0"/>
        </c:dLbls>
        <c:smooth val="0"/>
        <c:axId val="1558725904"/>
        <c:axId val="1558710096"/>
      </c:lineChart>
      <c:catAx>
        <c:axId val="155872590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rgbClr val="595959"/>
                </a:solidFill>
                <a:latin typeface="Arial" panose="020B0604020202020204" pitchFamily="34" charset="0"/>
                <a:ea typeface="+mn-ea"/>
                <a:cs typeface="Arial" panose="020B0604020202020204" pitchFamily="34" charset="0"/>
              </a:defRPr>
            </a:pPr>
            <a:endParaRPr lang="pl-PL"/>
          </a:p>
        </c:txPr>
        <c:crossAx val="1558710096"/>
        <c:crosses val="autoZero"/>
        <c:auto val="1"/>
        <c:lblAlgn val="ctr"/>
        <c:lblOffset val="100"/>
        <c:noMultiLvlLbl val="0"/>
      </c:catAx>
      <c:valAx>
        <c:axId val="1558710096"/>
        <c:scaling>
          <c:orientation val="minMax"/>
          <c:min val="8.6"/>
        </c:scaling>
        <c:delete val="0"/>
        <c:axPos val="l"/>
        <c:majorGridlines>
          <c:spPr>
            <a:ln w="9525" cap="flat" cmpd="sng" algn="ctr">
              <a:solidFill>
                <a:schemeClr val="tx1">
                  <a:lumMod val="15000"/>
                  <a:lumOff val="85000"/>
                </a:schemeClr>
              </a:solidFill>
              <a:round/>
            </a:ln>
            <a:effectLst/>
          </c:spPr>
        </c:majorGridlines>
        <c:numFmt formatCode="0.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rgbClr val="595959"/>
                </a:solidFill>
                <a:latin typeface="Arial" panose="020B0604020202020204" pitchFamily="34" charset="0"/>
                <a:ea typeface="+mn-ea"/>
                <a:cs typeface="Arial" panose="020B0604020202020204" pitchFamily="34" charset="0"/>
              </a:defRPr>
            </a:pPr>
            <a:endParaRPr lang="pl-PL"/>
          </a:p>
        </c:txPr>
        <c:crossAx val="1558725904"/>
        <c:crosses val="autoZero"/>
        <c:crossBetween val="between"/>
        <c:majorUnit val="0.4"/>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rgbClr val="595959"/>
              </a:solidFill>
              <a:latin typeface="Arial" panose="020B0604020202020204" pitchFamily="34" charset="0"/>
              <a:ea typeface="+mn-ea"/>
              <a:cs typeface="Arial" panose="020B0604020202020204" pitchFamily="34" charset="0"/>
            </a:defRPr>
          </a:pPr>
          <a:endParaRPr lang="pl-PL"/>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solidFill>
            <a:srgbClr val="595959"/>
          </a:solidFill>
          <a:latin typeface="Arial" panose="020B0604020202020204" pitchFamily="34" charset="0"/>
          <a:cs typeface="Arial" panose="020B0604020202020204" pitchFamily="34" charset="0"/>
        </a:defRPr>
      </a:pPr>
      <a:endParaRPr lang="pl-PL"/>
    </a:p>
  </c:txPr>
  <c:externalData r:id="rId3">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200" b="0" i="0" u="none" strike="noStrike" kern="1200" spc="0" baseline="0">
              <a:solidFill>
                <a:srgbClr val="595959"/>
              </a:solidFill>
              <a:latin typeface="Arial" panose="020B0604020202020204" pitchFamily="34" charset="0"/>
              <a:ea typeface="+mn-ea"/>
              <a:cs typeface="Arial" panose="020B0604020202020204" pitchFamily="34" charset="0"/>
            </a:defRPr>
          </a:pPr>
          <a:endParaRPr lang="pl-PL"/>
        </a:p>
      </c:txPr>
    </c:title>
    <c:autoTitleDeleted val="0"/>
    <c:plotArea>
      <c:layout/>
      <c:lineChart>
        <c:grouping val="standard"/>
        <c:varyColors val="0"/>
        <c:ser>
          <c:idx val="0"/>
          <c:order val="0"/>
          <c:tx>
            <c:strRef>
              <c:f>Arkusz2!$A$7</c:f>
              <c:strCache>
                <c:ptCount val="1"/>
                <c:pt idx="0">
                  <c:v>Wielkopolska</c:v>
                </c:pt>
              </c:strCache>
            </c:strRef>
          </c:tx>
          <c:spPr>
            <a:ln w="28575" cap="rnd">
              <a:solidFill>
                <a:schemeClr val="accent1"/>
              </a:solidFill>
              <a:round/>
            </a:ln>
            <a:effectLst/>
          </c:spPr>
          <c:marker>
            <c:symbol val="none"/>
          </c:marker>
          <c:dLbls>
            <c:dLbl>
              <c:idx val="2"/>
              <c:layout>
                <c:manualLayout>
                  <c:x val="-8.3333333333333835E-3"/>
                  <c:y val="2.777777777777777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2454-493F-AB88-04CB882CF753}"/>
                </c:ext>
              </c:extLst>
            </c:dLbl>
            <c:spPr>
              <a:noFill/>
              <a:ln>
                <a:noFill/>
              </a:ln>
              <a:effectLst/>
            </c:spPr>
            <c:txPr>
              <a:bodyPr rot="0" spcFirstLastPara="1" vertOverflow="ellipsis" vert="horz" wrap="square" anchor="ctr" anchorCtr="1"/>
              <a:lstStyle/>
              <a:p>
                <a:pPr>
                  <a:defRPr sz="900" b="0" i="0" u="none" strike="noStrike" kern="1200" baseline="0">
                    <a:solidFill>
                      <a:srgbClr val="595959"/>
                    </a:solidFill>
                    <a:latin typeface="Arial" panose="020B0604020202020204" pitchFamily="34" charset="0"/>
                    <a:ea typeface="+mn-ea"/>
                    <a:cs typeface="Arial" panose="020B0604020202020204" pitchFamily="34" charset="0"/>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trendline>
            <c:spPr>
              <a:ln w="19050" cap="rnd">
                <a:solidFill>
                  <a:schemeClr val="accent1"/>
                </a:solidFill>
                <a:prstDash val="sysDot"/>
              </a:ln>
              <a:effectLst/>
            </c:spPr>
            <c:trendlineType val="linear"/>
            <c:dispRSqr val="0"/>
            <c:dispEq val="0"/>
          </c:trendline>
          <c:cat>
            <c:numRef>
              <c:f>Arkusz2!$B$6:$K$6</c:f>
              <c:numCache>
                <c:formatCode>General</c:formatCode>
                <c:ptCount val="10"/>
                <c:pt idx="0">
                  <c:v>2010</c:v>
                </c:pt>
                <c:pt idx="1">
                  <c:v>2011</c:v>
                </c:pt>
                <c:pt idx="2">
                  <c:v>2012</c:v>
                </c:pt>
                <c:pt idx="3">
                  <c:v>2013</c:v>
                </c:pt>
                <c:pt idx="4">
                  <c:v>2014</c:v>
                </c:pt>
                <c:pt idx="5">
                  <c:v>2015</c:v>
                </c:pt>
                <c:pt idx="6">
                  <c:v>2016</c:v>
                </c:pt>
                <c:pt idx="7">
                  <c:v>2017</c:v>
                </c:pt>
                <c:pt idx="8">
                  <c:v>2018</c:v>
                </c:pt>
                <c:pt idx="9">
                  <c:v>2019</c:v>
                </c:pt>
              </c:numCache>
            </c:numRef>
          </c:cat>
          <c:val>
            <c:numRef>
              <c:f>Arkusz2!$B$7:$K$7</c:f>
              <c:numCache>
                <c:formatCode>0.00</c:formatCode>
                <c:ptCount val="10"/>
                <c:pt idx="0">
                  <c:v>1.5392999999999999</c:v>
                </c:pt>
                <c:pt idx="1">
                  <c:v>1.8008</c:v>
                </c:pt>
                <c:pt idx="2">
                  <c:v>1.6982000000000002</c:v>
                </c:pt>
                <c:pt idx="3">
                  <c:v>1.7249000000000001</c:v>
                </c:pt>
                <c:pt idx="4">
                  <c:v>1.6644000000000001</c:v>
                </c:pt>
                <c:pt idx="5">
                  <c:v>1.5057</c:v>
                </c:pt>
                <c:pt idx="6">
                  <c:v>1.6435</c:v>
                </c:pt>
                <c:pt idx="7">
                  <c:v>1.4113</c:v>
                </c:pt>
                <c:pt idx="8">
                  <c:v>1.3614000000000002</c:v>
                </c:pt>
                <c:pt idx="9">
                  <c:v>1.28</c:v>
                </c:pt>
              </c:numCache>
            </c:numRef>
          </c:val>
          <c:smooth val="0"/>
          <c:extLst>
            <c:ext xmlns:c16="http://schemas.microsoft.com/office/drawing/2014/chart" uri="{C3380CC4-5D6E-409C-BE32-E72D297353CC}">
              <c16:uniqueId val="{00000002-2454-493F-AB88-04CB882CF753}"/>
            </c:ext>
          </c:extLst>
        </c:ser>
        <c:dLbls>
          <c:showLegendKey val="0"/>
          <c:showVal val="0"/>
          <c:showCatName val="0"/>
          <c:showSerName val="0"/>
          <c:showPercent val="0"/>
          <c:showBubbleSize val="0"/>
        </c:dLbls>
        <c:smooth val="0"/>
        <c:axId val="1696947344"/>
        <c:axId val="1696946096"/>
      </c:lineChart>
      <c:catAx>
        <c:axId val="169694734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rgbClr val="595959"/>
                </a:solidFill>
                <a:latin typeface="Arial" panose="020B0604020202020204" pitchFamily="34" charset="0"/>
                <a:ea typeface="+mn-ea"/>
                <a:cs typeface="Arial" panose="020B0604020202020204" pitchFamily="34" charset="0"/>
              </a:defRPr>
            </a:pPr>
            <a:endParaRPr lang="pl-PL"/>
          </a:p>
        </c:txPr>
        <c:crossAx val="1696946096"/>
        <c:crosses val="autoZero"/>
        <c:auto val="1"/>
        <c:lblAlgn val="ctr"/>
        <c:lblOffset val="100"/>
        <c:noMultiLvlLbl val="0"/>
      </c:catAx>
      <c:valAx>
        <c:axId val="1696946096"/>
        <c:scaling>
          <c:orientation val="minMax"/>
          <c:min val="1.2"/>
        </c:scaling>
        <c:delete val="0"/>
        <c:axPos val="l"/>
        <c:majorGridlines>
          <c:spPr>
            <a:ln w="9525" cap="flat" cmpd="sng" algn="ctr">
              <a:solidFill>
                <a:schemeClr val="tx1">
                  <a:lumMod val="15000"/>
                  <a:lumOff val="85000"/>
                </a:schemeClr>
              </a:solidFill>
              <a:round/>
            </a:ln>
            <a:effectLst/>
          </c:spPr>
        </c:majorGridlines>
        <c:numFmt formatCode="0.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rgbClr val="595959"/>
                </a:solidFill>
                <a:latin typeface="Arial" panose="020B0604020202020204" pitchFamily="34" charset="0"/>
                <a:ea typeface="+mn-ea"/>
                <a:cs typeface="Arial" panose="020B0604020202020204" pitchFamily="34" charset="0"/>
              </a:defRPr>
            </a:pPr>
            <a:endParaRPr lang="pl-PL"/>
          </a:p>
        </c:txPr>
        <c:crossAx val="1696947344"/>
        <c:crosses val="autoZero"/>
        <c:crossBetween val="between"/>
        <c:majorUnit val="0.1"/>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rgbClr val="595959"/>
              </a:solidFill>
              <a:latin typeface="Arial" panose="020B0604020202020204" pitchFamily="34" charset="0"/>
              <a:ea typeface="+mn-ea"/>
              <a:cs typeface="Arial" panose="020B0604020202020204" pitchFamily="34" charset="0"/>
            </a:defRPr>
          </a:pPr>
          <a:endParaRPr lang="pl-PL"/>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solidFill>
            <a:srgbClr val="595959"/>
          </a:solidFill>
          <a:latin typeface="Arial" panose="020B0604020202020204" pitchFamily="34" charset="0"/>
          <a:cs typeface="Arial" panose="020B0604020202020204" pitchFamily="34" charset="0"/>
        </a:defRPr>
      </a:pPr>
      <a:endParaRPr lang="pl-PL"/>
    </a:p>
  </c:txPr>
  <c:externalData r:id="rId3">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v>Polska</c:v>
          </c:tx>
          <c:spPr>
            <a:ln w="28575" cap="rnd">
              <a:solidFill>
                <a:srgbClr val="51BBB6"/>
              </a:solidFill>
              <a:round/>
            </a:ln>
            <a:effectLst/>
          </c:spPr>
          <c:marker>
            <c:symbol val="diamond"/>
            <c:size val="5"/>
            <c:spPr>
              <a:solidFill>
                <a:srgbClr val="51BBB6"/>
              </a:solidFill>
              <a:ln w="9525">
                <a:solidFill>
                  <a:srgbClr val="51BBB6"/>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lumMod val="75000"/>
                        <a:lumOff val="25000"/>
                      </a:schemeClr>
                    </a:solidFill>
                    <a:latin typeface="+mn-lt"/>
                    <a:ea typeface="+mn-ea"/>
                    <a:cs typeface="+mn-cs"/>
                  </a:defRPr>
                </a:pPr>
                <a:endParaRPr lang="pl-PL"/>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'w2'!$C$17:$M$17</c:f>
              <c:numCache>
                <c:formatCode>0</c:formatCode>
                <c:ptCount val="11"/>
                <c:pt idx="0">
                  <c:v>2010</c:v>
                </c:pt>
                <c:pt idx="1">
                  <c:v>2011</c:v>
                </c:pt>
                <c:pt idx="2">
                  <c:v>2012</c:v>
                </c:pt>
                <c:pt idx="3">
                  <c:v>2013</c:v>
                </c:pt>
                <c:pt idx="4">
                  <c:v>2014</c:v>
                </c:pt>
                <c:pt idx="5">
                  <c:v>2015</c:v>
                </c:pt>
                <c:pt idx="6">
                  <c:v>2016</c:v>
                </c:pt>
                <c:pt idx="7">
                  <c:v>2017</c:v>
                </c:pt>
                <c:pt idx="8">
                  <c:v>2018</c:v>
                </c:pt>
                <c:pt idx="9">
                  <c:v>2019</c:v>
                </c:pt>
                <c:pt idx="10">
                  <c:v>2020</c:v>
                </c:pt>
              </c:numCache>
            </c:numRef>
          </c:cat>
          <c:val>
            <c:numRef>
              <c:f>'w2'!$C$18:$M$18</c:f>
              <c:numCache>
                <c:formatCode>#\ ##0.0</c:formatCode>
                <c:ptCount val="11"/>
                <c:pt idx="0">
                  <c:v>31.1</c:v>
                </c:pt>
                <c:pt idx="1">
                  <c:v>31.2</c:v>
                </c:pt>
                <c:pt idx="2">
                  <c:v>31.2</c:v>
                </c:pt>
                <c:pt idx="3">
                  <c:v>30.9</c:v>
                </c:pt>
                <c:pt idx="4">
                  <c:v>31.1</c:v>
                </c:pt>
                <c:pt idx="5">
                  <c:v>32.200000000000003</c:v>
                </c:pt>
                <c:pt idx="6">
                  <c:v>32.200000000000003</c:v>
                </c:pt>
                <c:pt idx="7">
                  <c:v>31.8</c:v>
                </c:pt>
                <c:pt idx="8">
                  <c:v>33.299999999999997</c:v>
                </c:pt>
                <c:pt idx="9">
                  <c:v>33.700000000000003</c:v>
                </c:pt>
                <c:pt idx="10">
                  <c:v>33.9</c:v>
                </c:pt>
              </c:numCache>
            </c:numRef>
          </c:val>
          <c:smooth val="0"/>
          <c:extLst>
            <c:ext xmlns:c16="http://schemas.microsoft.com/office/drawing/2014/chart" uri="{C3380CC4-5D6E-409C-BE32-E72D297353CC}">
              <c16:uniqueId val="{00000000-941C-43C0-97C4-21FC8CCAF420}"/>
            </c:ext>
          </c:extLst>
        </c:ser>
        <c:ser>
          <c:idx val="1"/>
          <c:order val="1"/>
          <c:tx>
            <c:v>Wielkopolska</c:v>
          </c:tx>
          <c:spPr>
            <a:ln w="28575" cap="rnd">
              <a:solidFill>
                <a:srgbClr val="CCA879"/>
              </a:solidFill>
              <a:round/>
            </a:ln>
            <a:effectLst/>
          </c:spPr>
          <c:marker>
            <c:symbol val="diamond"/>
            <c:size val="5"/>
            <c:spPr>
              <a:solidFill>
                <a:srgbClr val="CCA879"/>
              </a:solidFill>
              <a:ln w="9525">
                <a:noFill/>
              </a:ln>
              <a:effectLst/>
            </c:spPr>
          </c:marker>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lumMod val="75000"/>
                        <a:lumOff val="25000"/>
                      </a:schemeClr>
                    </a:solidFill>
                    <a:latin typeface="+mn-lt"/>
                    <a:ea typeface="+mn-ea"/>
                    <a:cs typeface="+mn-cs"/>
                  </a:defRPr>
                </a:pPr>
                <a:endParaRPr lang="pl-PL"/>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'w2'!$C$17:$M$17</c:f>
              <c:numCache>
                <c:formatCode>0</c:formatCode>
                <c:ptCount val="11"/>
                <c:pt idx="0">
                  <c:v>2010</c:v>
                </c:pt>
                <c:pt idx="1">
                  <c:v>2011</c:v>
                </c:pt>
                <c:pt idx="2">
                  <c:v>2012</c:v>
                </c:pt>
                <c:pt idx="3">
                  <c:v>2013</c:v>
                </c:pt>
                <c:pt idx="4">
                  <c:v>2014</c:v>
                </c:pt>
                <c:pt idx="5">
                  <c:v>2015</c:v>
                </c:pt>
                <c:pt idx="6">
                  <c:v>2016</c:v>
                </c:pt>
                <c:pt idx="7">
                  <c:v>2017</c:v>
                </c:pt>
                <c:pt idx="8">
                  <c:v>2018</c:v>
                </c:pt>
                <c:pt idx="9">
                  <c:v>2019</c:v>
                </c:pt>
                <c:pt idx="10">
                  <c:v>2020</c:v>
                </c:pt>
              </c:numCache>
            </c:numRef>
          </c:cat>
          <c:val>
            <c:numRef>
              <c:f>'w2'!$C$19:$M$19</c:f>
              <c:numCache>
                <c:formatCode>#\ ##0.0</c:formatCode>
                <c:ptCount val="11"/>
                <c:pt idx="0">
                  <c:v>35</c:v>
                </c:pt>
                <c:pt idx="1">
                  <c:v>35.5</c:v>
                </c:pt>
                <c:pt idx="2">
                  <c:v>35.4</c:v>
                </c:pt>
                <c:pt idx="3">
                  <c:v>35.1</c:v>
                </c:pt>
                <c:pt idx="4">
                  <c:v>35.6</c:v>
                </c:pt>
                <c:pt idx="5">
                  <c:v>36.9</c:v>
                </c:pt>
                <c:pt idx="6">
                  <c:v>37.4</c:v>
                </c:pt>
                <c:pt idx="7">
                  <c:v>36.799999999999997</c:v>
                </c:pt>
                <c:pt idx="8">
                  <c:v>39.299999999999997</c:v>
                </c:pt>
                <c:pt idx="9">
                  <c:v>40.299999999999997</c:v>
                </c:pt>
                <c:pt idx="10">
                  <c:v>39.799999999999997</c:v>
                </c:pt>
              </c:numCache>
            </c:numRef>
          </c:val>
          <c:smooth val="0"/>
          <c:extLst>
            <c:ext xmlns:c16="http://schemas.microsoft.com/office/drawing/2014/chart" uri="{C3380CC4-5D6E-409C-BE32-E72D297353CC}">
              <c16:uniqueId val="{00000001-941C-43C0-97C4-21FC8CCAF420}"/>
            </c:ext>
          </c:extLst>
        </c:ser>
        <c:dLbls>
          <c:showLegendKey val="0"/>
          <c:showVal val="0"/>
          <c:showCatName val="0"/>
          <c:showSerName val="0"/>
          <c:showPercent val="0"/>
          <c:showBubbleSize val="0"/>
        </c:dLbls>
        <c:marker val="1"/>
        <c:smooth val="0"/>
        <c:axId val="1288313872"/>
        <c:axId val="1288325520"/>
      </c:lineChart>
      <c:catAx>
        <c:axId val="1288313872"/>
        <c:scaling>
          <c:orientation val="minMax"/>
        </c:scaling>
        <c:delete val="0"/>
        <c:axPos val="b"/>
        <c:numFmt formatCode="0"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pl-PL"/>
          </a:p>
        </c:txPr>
        <c:crossAx val="1288325520"/>
        <c:crosses val="autoZero"/>
        <c:auto val="1"/>
        <c:lblAlgn val="ctr"/>
        <c:lblOffset val="100"/>
        <c:noMultiLvlLbl val="0"/>
      </c:catAx>
      <c:valAx>
        <c:axId val="1288325520"/>
        <c:scaling>
          <c:orientation val="minMax"/>
          <c:min val="25"/>
        </c:scaling>
        <c:delete val="0"/>
        <c:axPos val="l"/>
        <c:majorGridlines>
          <c:spPr>
            <a:ln w="9525" cap="flat" cmpd="sng" algn="ctr">
              <a:solidFill>
                <a:schemeClr val="tx1">
                  <a:lumMod val="15000"/>
                  <a:lumOff val="85000"/>
                </a:schemeClr>
              </a:solidFill>
              <a:round/>
            </a:ln>
            <a:effectLst/>
          </c:spPr>
        </c:majorGridlines>
        <c:numFmt formatCode="#\ ##0.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pl-PL"/>
          </a:p>
        </c:txPr>
        <c:crossAx val="1288313872"/>
        <c:crosses val="autoZero"/>
        <c:crossBetween val="between"/>
        <c:majorUnit val="5"/>
      </c:valAx>
      <c:spPr>
        <a:no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pl-PL"/>
        </a:p>
      </c:txPr>
    </c:legend>
    <c:plotVisOnly val="1"/>
    <c:dispBlanksAs val="gap"/>
    <c:showDLblsOverMax val="0"/>
  </c:chart>
  <c:spPr>
    <a:solidFill>
      <a:schemeClr val="bg1"/>
    </a:solidFill>
    <a:ln w="9525" cap="flat" cmpd="sng" algn="ctr">
      <a:solidFill>
        <a:schemeClr val="bg2"/>
      </a:solidFill>
      <a:round/>
    </a:ln>
    <a:effectLst/>
  </c:spPr>
  <c:txPr>
    <a:bodyPr/>
    <a:lstStyle/>
    <a:p>
      <a:pPr>
        <a:defRPr/>
      </a:pPr>
      <a:endParaRPr lang="pl-PL"/>
    </a:p>
  </c:txPr>
  <c:externalData r:id="rId3">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txPr>
        <a:bodyPr/>
        <a:lstStyle/>
        <a:p>
          <a:pPr>
            <a:defRPr sz="1200" b="0"/>
          </a:pPr>
          <a:endParaRPr lang="pl-PL"/>
        </a:p>
      </c:txPr>
    </c:title>
    <c:autoTitleDeleted val="0"/>
    <c:plotArea>
      <c:layout/>
      <c:lineChart>
        <c:grouping val="standard"/>
        <c:varyColors val="0"/>
        <c:ser>
          <c:idx val="2"/>
          <c:order val="0"/>
          <c:tx>
            <c:v>Polska</c:v>
          </c:tx>
          <c:spPr>
            <a:ln>
              <a:solidFill>
                <a:srgbClr val="CCA879"/>
              </a:solidFill>
            </a:ln>
          </c:spPr>
          <c:marker>
            <c:symbol val="none"/>
          </c:marker>
          <c:dLbls>
            <c:numFmt formatCode="#,##0.00" sourceLinked="0"/>
            <c:spPr>
              <a:noFill/>
              <a:ln>
                <a:noFill/>
              </a:ln>
              <a:effectLst/>
            </c:spPr>
            <c:dLblPos val="t"/>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trendline>
            <c:spPr>
              <a:ln>
                <a:solidFill>
                  <a:srgbClr val="CCA879"/>
                </a:solidFill>
              </a:ln>
            </c:spPr>
            <c:trendlineType val="linear"/>
            <c:dispRSqr val="0"/>
            <c:dispEq val="0"/>
          </c:trendline>
          <c:cat>
            <c:strRef>
              <c:f>'w4'!$D$38:$L$38</c:f>
              <c:strCache>
                <c:ptCount val="9"/>
                <c:pt idx="0">
                  <c:v>2010</c:v>
                </c:pt>
                <c:pt idx="1">
                  <c:v>2011</c:v>
                </c:pt>
                <c:pt idx="2">
                  <c:v>2012</c:v>
                </c:pt>
                <c:pt idx="3">
                  <c:v>2013</c:v>
                </c:pt>
                <c:pt idx="4">
                  <c:v>2014</c:v>
                </c:pt>
                <c:pt idx="5">
                  <c:v>2015</c:v>
                </c:pt>
                <c:pt idx="6">
                  <c:v>2016</c:v>
                </c:pt>
                <c:pt idx="7">
                  <c:v>2017</c:v>
                </c:pt>
                <c:pt idx="8">
                  <c:v>2018</c:v>
                </c:pt>
              </c:strCache>
            </c:strRef>
          </c:cat>
          <c:val>
            <c:numRef>
              <c:f>'w4'!$D$39:$L$39</c:f>
              <c:numCache>
                <c:formatCode>General</c:formatCode>
                <c:ptCount val="9"/>
                <c:pt idx="0">
                  <c:v>7.1580215973525823</c:v>
                </c:pt>
                <c:pt idx="1">
                  <c:v>6.8226230808988459</c:v>
                </c:pt>
                <c:pt idx="2">
                  <c:v>6.3750488776315999</c:v>
                </c:pt>
                <c:pt idx="3">
                  <c:v>6.1370343785600996</c:v>
                </c:pt>
                <c:pt idx="4">
                  <c:v>5.9861382713394464</c:v>
                </c:pt>
                <c:pt idx="5">
                  <c:v>5.5846963431480106</c:v>
                </c:pt>
                <c:pt idx="6">
                  <c:v>5.4407411481808028</c:v>
                </c:pt>
                <c:pt idx="7">
                  <c:v>4.8528357878919612</c:v>
                </c:pt>
                <c:pt idx="8">
                  <c:v>4.4470042492417114</c:v>
                </c:pt>
              </c:numCache>
            </c:numRef>
          </c:val>
          <c:smooth val="0"/>
          <c:extLst>
            <c:ext xmlns:c16="http://schemas.microsoft.com/office/drawing/2014/chart" uri="{C3380CC4-5D6E-409C-BE32-E72D297353CC}">
              <c16:uniqueId val="{00000001-4AE8-4C27-B8FE-B261D08E7DC9}"/>
            </c:ext>
          </c:extLst>
        </c:ser>
        <c:dLbls>
          <c:showLegendKey val="0"/>
          <c:showVal val="0"/>
          <c:showCatName val="0"/>
          <c:showSerName val="0"/>
          <c:showPercent val="0"/>
          <c:showBubbleSize val="0"/>
        </c:dLbls>
        <c:smooth val="0"/>
        <c:axId val="1722217696"/>
        <c:axId val="1722220192"/>
      </c:lineChart>
      <c:catAx>
        <c:axId val="172221769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1722220192"/>
        <c:crosses val="autoZero"/>
        <c:auto val="1"/>
        <c:lblAlgn val="ctr"/>
        <c:lblOffset val="100"/>
        <c:noMultiLvlLbl val="0"/>
      </c:catAx>
      <c:valAx>
        <c:axId val="1722220192"/>
        <c:scaling>
          <c:orientation val="minMax"/>
          <c:min val="3"/>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1722217696"/>
        <c:crosses val="autoZero"/>
        <c:crossBetween val="between"/>
      </c:valAx>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showDLblsOverMax val="0"/>
    <c:extLst/>
  </c:chart>
  <c:spPr>
    <a:ln>
      <a:solidFill>
        <a:schemeClr val="bg2"/>
      </a:solidFill>
    </a:ln>
  </c:spPr>
  <c:txPr>
    <a:bodyPr/>
    <a:lstStyle/>
    <a:p>
      <a:pPr>
        <a:defRPr/>
      </a:pPr>
      <a:endParaRPr lang="pl-PL"/>
    </a:p>
  </c:txPr>
  <c:externalData r:id="rId1">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pl-PL" sz="1200" b="0"/>
              <a:t>Wielkopolska</a:t>
            </a:r>
          </a:p>
        </c:rich>
      </c:tx>
      <c:overlay val="0"/>
    </c:title>
    <c:autoTitleDeleted val="0"/>
    <c:plotArea>
      <c:layout/>
      <c:lineChart>
        <c:grouping val="standard"/>
        <c:varyColors val="0"/>
        <c:ser>
          <c:idx val="3"/>
          <c:order val="0"/>
          <c:tx>
            <c:v>Wielkopolska</c:v>
          </c:tx>
          <c:spPr>
            <a:ln>
              <a:solidFill>
                <a:srgbClr val="51BBB6"/>
              </a:solidFill>
            </a:ln>
          </c:spPr>
          <c:marker>
            <c:symbol val="none"/>
          </c:marker>
          <c:dLbls>
            <c:numFmt formatCode="#,##0.00" sourceLinked="0"/>
            <c:spPr>
              <a:noFill/>
              <a:ln>
                <a:noFill/>
              </a:ln>
              <a:effectLst/>
            </c:spPr>
            <c:txPr>
              <a:bodyPr wrap="square" lIns="38100" tIns="19050" rIns="38100" bIns="19050" anchor="ctr">
                <a:spAutoFit/>
              </a:bodyPr>
              <a:lstStyle/>
              <a:p>
                <a:pPr>
                  <a:defRPr sz="1000"/>
                </a:pPr>
                <a:endParaRPr lang="pl-PL"/>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trendline>
            <c:spPr>
              <a:ln>
                <a:solidFill>
                  <a:srgbClr val="51BBB6"/>
                </a:solidFill>
                <a:prstDash val="sysDot"/>
              </a:ln>
            </c:spPr>
            <c:trendlineType val="linear"/>
            <c:dispRSqr val="0"/>
            <c:dispEq val="0"/>
          </c:trendline>
          <c:cat>
            <c:strRef>
              <c:f>'w4'!$D$38:$L$38</c:f>
              <c:strCache>
                <c:ptCount val="9"/>
                <c:pt idx="0">
                  <c:v>2010</c:v>
                </c:pt>
                <c:pt idx="1">
                  <c:v>2011</c:v>
                </c:pt>
                <c:pt idx="2">
                  <c:v>2012</c:v>
                </c:pt>
                <c:pt idx="3">
                  <c:v>2013</c:v>
                </c:pt>
                <c:pt idx="4">
                  <c:v>2014</c:v>
                </c:pt>
                <c:pt idx="5">
                  <c:v>2015</c:v>
                </c:pt>
                <c:pt idx="6">
                  <c:v>2016</c:v>
                </c:pt>
                <c:pt idx="7">
                  <c:v>2017</c:v>
                </c:pt>
                <c:pt idx="8">
                  <c:v>2018</c:v>
                </c:pt>
              </c:strCache>
            </c:strRef>
          </c:cat>
          <c:val>
            <c:numRef>
              <c:f>'w4'!$D$40:$L$40</c:f>
              <c:numCache>
                <c:formatCode>General</c:formatCode>
                <c:ptCount val="9"/>
                <c:pt idx="0">
                  <c:v>11.343769574861641</c:v>
                </c:pt>
                <c:pt idx="1">
                  <c:v>12.24067359978249</c:v>
                </c:pt>
                <c:pt idx="2">
                  <c:v>11.027322844360175</c:v>
                </c:pt>
                <c:pt idx="3">
                  <c:v>10.871254805571311</c:v>
                </c:pt>
                <c:pt idx="4">
                  <c:v>10.061568734131303</c:v>
                </c:pt>
                <c:pt idx="5">
                  <c:v>8.528326819597849</c:v>
                </c:pt>
                <c:pt idx="6">
                  <c:v>8.9368719549330091</c:v>
                </c:pt>
                <c:pt idx="7">
                  <c:v>7.1675446303867538</c:v>
                </c:pt>
                <c:pt idx="8">
                  <c:v>6.5391920841538971</c:v>
                </c:pt>
              </c:numCache>
            </c:numRef>
          </c:val>
          <c:smooth val="0"/>
          <c:extLst>
            <c:ext xmlns:c16="http://schemas.microsoft.com/office/drawing/2014/chart" uri="{C3380CC4-5D6E-409C-BE32-E72D297353CC}">
              <c16:uniqueId val="{00000001-1F35-49A4-99F5-87F31231CFF3}"/>
            </c:ext>
          </c:extLst>
        </c:ser>
        <c:dLbls>
          <c:showLegendKey val="0"/>
          <c:showVal val="0"/>
          <c:showCatName val="0"/>
          <c:showSerName val="0"/>
          <c:showPercent val="0"/>
          <c:showBubbleSize val="0"/>
        </c:dLbls>
        <c:smooth val="0"/>
        <c:axId val="1722217696"/>
        <c:axId val="1722220192"/>
      </c:lineChart>
      <c:catAx>
        <c:axId val="172221769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pl-PL"/>
          </a:p>
        </c:txPr>
        <c:crossAx val="1722220192"/>
        <c:crosses val="autoZero"/>
        <c:auto val="1"/>
        <c:lblAlgn val="ctr"/>
        <c:lblOffset val="100"/>
        <c:noMultiLvlLbl val="0"/>
      </c:catAx>
      <c:valAx>
        <c:axId val="1722220192"/>
        <c:scaling>
          <c:orientation val="minMax"/>
          <c:min val="6"/>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pl-PL"/>
          </a:p>
        </c:txPr>
        <c:crossAx val="1722217696"/>
        <c:crosses val="autoZero"/>
        <c:crossBetween val="between"/>
      </c:valAx>
    </c:plotArea>
    <c:legend>
      <c:legendPos val="b"/>
      <c:overlay val="0"/>
    </c:legend>
    <c:plotVisOnly val="1"/>
    <c:dispBlanksAs val="gap"/>
    <c:showDLblsOverMax val="0"/>
    <c:extLst/>
  </c:chart>
  <c:spPr>
    <a:ln>
      <a:solidFill>
        <a:schemeClr val="bg2"/>
      </a:solidFill>
    </a:ln>
  </c:spPr>
  <c:txPr>
    <a:bodyPr/>
    <a:lstStyle/>
    <a:p>
      <a:pPr>
        <a:defRPr/>
      </a:pPr>
      <a:endParaRPr lang="pl-PL"/>
    </a:p>
  </c:txPr>
  <c:externalData r:id="rId1">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lineChart>
        <c:grouping val="standard"/>
        <c:varyColors val="0"/>
        <c:ser>
          <c:idx val="0"/>
          <c:order val="0"/>
          <c:tx>
            <c:v>Wielkopolska</c:v>
          </c:tx>
          <c:spPr>
            <a:ln w="28575" cap="rnd">
              <a:solidFill>
                <a:srgbClr val="CCA879"/>
              </a:solidFill>
              <a:round/>
            </a:ln>
            <a:effectLst/>
          </c:spPr>
          <c:marker>
            <c:symbol val="diamond"/>
            <c:size val="5"/>
            <c:spPr>
              <a:solidFill>
                <a:srgbClr val="CCA879"/>
              </a:solidFill>
              <a:ln w="9525">
                <a:solidFill>
                  <a:srgbClr val="CCA879"/>
                </a:solidFill>
              </a:ln>
              <a:effectLst/>
            </c:spPr>
          </c:marker>
          <c:dLbls>
            <c:numFmt formatCode="#,##0.00" sourceLinked="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rgbClr val="AC8300"/>
                    </a:solidFill>
                    <a:latin typeface="+mn-lt"/>
                    <a:ea typeface="+mn-ea"/>
                    <a:cs typeface="+mn-cs"/>
                  </a:defRPr>
                </a:pPr>
                <a:endParaRPr lang="pl-PL"/>
              </a:p>
            </c:txPr>
            <c:dLblPos val="b"/>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trendline>
            <c:spPr>
              <a:ln w="19050" cap="rnd">
                <a:solidFill>
                  <a:srgbClr val="CCA879"/>
                </a:solidFill>
                <a:prstDash val="sysDot"/>
              </a:ln>
              <a:effectLst/>
            </c:spPr>
            <c:trendlineType val="linear"/>
            <c:dispRSqr val="0"/>
            <c:dispEq val="0"/>
          </c:trendline>
          <c:cat>
            <c:numRef>
              <c:f>'w5'!$D$28:$L$28</c:f>
              <c:numCache>
                <c:formatCode>General</c:formatCode>
                <c:ptCount val="9"/>
                <c:pt idx="0">
                  <c:v>2010</c:v>
                </c:pt>
                <c:pt idx="1">
                  <c:v>2011</c:v>
                </c:pt>
                <c:pt idx="2">
                  <c:v>2012</c:v>
                </c:pt>
                <c:pt idx="3">
                  <c:v>2013</c:v>
                </c:pt>
                <c:pt idx="4">
                  <c:v>2014</c:v>
                </c:pt>
                <c:pt idx="5">
                  <c:v>2015</c:v>
                </c:pt>
                <c:pt idx="6">
                  <c:v>2016</c:v>
                </c:pt>
                <c:pt idx="7">
                  <c:v>2017</c:v>
                </c:pt>
                <c:pt idx="8">
                  <c:v>2018</c:v>
                </c:pt>
              </c:numCache>
            </c:numRef>
          </c:cat>
          <c:val>
            <c:numRef>
              <c:f>'w5'!$D$34:$L$34</c:f>
              <c:numCache>
                <c:formatCode>General</c:formatCode>
                <c:ptCount val="9"/>
                <c:pt idx="0">
                  <c:v>3.12475668941891</c:v>
                </c:pt>
                <c:pt idx="1">
                  <c:v>2.9740950253708514</c:v>
                </c:pt>
                <c:pt idx="2">
                  <c:v>2.6766384569966544</c:v>
                </c:pt>
                <c:pt idx="3">
                  <c:v>2.6521026761332607</c:v>
                </c:pt>
                <c:pt idx="4">
                  <c:v>2.6595973964395019</c:v>
                </c:pt>
                <c:pt idx="5">
                  <c:v>2.6866172094387859</c:v>
                </c:pt>
                <c:pt idx="6">
                  <c:v>2.6446953514393243</c:v>
                </c:pt>
                <c:pt idx="7">
                  <c:v>2.4265234330672922</c:v>
                </c:pt>
                <c:pt idx="8">
                  <c:v>2.5322768327145786</c:v>
                </c:pt>
              </c:numCache>
            </c:numRef>
          </c:val>
          <c:smooth val="0"/>
          <c:extLst>
            <c:ext xmlns:c16="http://schemas.microsoft.com/office/drawing/2014/chart" uri="{C3380CC4-5D6E-409C-BE32-E72D297353CC}">
              <c16:uniqueId val="{00000001-0685-44E0-9775-450B021114CB}"/>
            </c:ext>
          </c:extLst>
        </c:ser>
        <c:ser>
          <c:idx val="1"/>
          <c:order val="1"/>
          <c:tx>
            <c:v>Polska</c:v>
          </c:tx>
          <c:spPr>
            <a:ln w="28575" cap="rnd">
              <a:solidFill>
                <a:srgbClr val="51BBB6"/>
              </a:solidFill>
              <a:round/>
            </a:ln>
            <a:effectLst/>
          </c:spPr>
          <c:marker>
            <c:symbol val="diamond"/>
            <c:size val="5"/>
            <c:spPr>
              <a:solidFill>
                <a:srgbClr val="51BBB6"/>
              </a:solidFill>
              <a:ln w="9525">
                <a:solidFill>
                  <a:srgbClr val="51BBB6"/>
                </a:solidFill>
              </a:ln>
              <a:effectLst/>
            </c:spPr>
          </c:marker>
          <c:dLbls>
            <c:numFmt formatCode="#,##0.00" sourceLinked="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rgbClr val="0A9895"/>
                    </a:solidFill>
                    <a:latin typeface="+mn-lt"/>
                    <a:ea typeface="+mn-ea"/>
                    <a:cs typeface="+mn-cs"/>
                  </a:defRPr>
                </a:pPr>
                <a:endParaRPr lang="pl-PL"/>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trendline>
            <c:spPr>
              <a:ln w="19050" cap="rnd">
                <a:solidFill>
                  <a:srgbClr val="51BBB6"/>
                </a:solidFill>
                <a:prstDash val="sysDot"/>
              </a:ln>
              <a:effectLst/>
            </c:spPr>
            <c:trendlineType val="linear"/>
            <c:dispRSqr val="0"/>
            <c:dispEq val="0"/>
          </c:trendline>
          <c:cat>
            <c:numRef>
              <c:f>'w5'!$D$28:$L$28</c:f>
              <c:numCache>
                <c:formatCode>General</c:formatCode>
                <c:ptCount val="9"/>
                <c:pt idx="0">
                  <c:v>2010</c:v>
                </c:pt>
                <c:pt idx="1">
                  <c:v>2011</c:v>
                </c:pt>
                <c:pt idx="2">
                  <c:v>2012</c:v>
                </c:pt>
                <c:pt idx="3">
                  <c:v>2013</c:v>
                </c:pt>
                <c:pt idx="4">
                  <c:v>2014</c:v>
                </c:pt>
                <c:pt idx="5">
                  <c:v>2015</c:v>
                </c:pt>
                <c:pt idx="6">
                  <c:v>2016</c:v>
                </c:pt>
                <c:pt idx="7">
                  <c:v>2017</c:v>
                </c:pt>
                <c:pt idx="8">
                  <c:v>2018</c:v>
                </c:pt>
              </c:numCache>
            </c:numRef>
          </c:cat>
          <c:val>
            <c:numRef>
              <c:f>'w5'!$D$35:$L$35</c:f>
              <c:numCache>
                <c:formatCode>General</c:formatCode>
                <c:ptCount val="9"/>
                <c:pt idx="0">
                  <c:v>3.1360801181195122</c:v>
                </c:pt>
                <c:pt idx="1">
                  <c:v>2.9140091348111943</c:v>
                </c:pt>
                <c:pt idx="2">
                  <c:v>2.7505538716025963</c:v>
                </c:pt>
                <c:pt idx="3">
                  <c:v>2.7383174669587826</c:v>
                </c:pt>
                <c:pt idx="4">
                  <c:v>2.7022948641766664</c:v>
                </c:pt>
                <c:pt idx="5">
                  <c:v>2.6761482305529638</c:v>
                </c:pt>
                <c:pt idx="6">
                  <c:v>2.6210314956962799</c:v>
                </c:pt>
                <c:pt idx="7">
                  <c:v>2.4209871706595121</c:v>
                </c:pt>
                <c:pt idx="8">
                  <c:v>2.4509450643661839</c:v>
                </c:pt>
              </c:numCache>
            </c:numRef>
          </c:val>
          <c:smooth val="0"/>
          <c:extLst>
            <c:ext xmlns:c16="http://schemas.microsoft.com/office/drawing/2014/chart" uri="{C3380CC4-5D6E-409C-BE32-E72D297353CC}">
              <c16:uniqueId val="{00000003-0685-44E0-9775-450B021114CB}"/>
            </c:ext>
          </c:extLst>
        </c:ser>
        <c:dLbls>
          <c:showLegendKey val="0"/>
          <c:showVal val="0"/>
          <c:showCatName val="0"/>
          <c:showSerName val="0"/>
          <c:showPercent val="0"/>
          <c:showBubbleSize val="0"/>
        </c:dLbls>
        <c:marker val="1"/>
        <c:smooth val="0"/>
        <c:axId val="1132474432"/>
        <c:axId val="1132484832"/>
      </c:lineChart>
      <c:catAx>
        <c:axId val="113247443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pl-PL"/>
          </a:p>
        </c:txPr>
        <c:crossAx val="1132484832"/>
        <c:crosses val="autoZero"/>
        <c:auto val="1"/>
        <c:lblAlgn val="ctr"/>
        <c:lblOffset val="100"/>
        <c:noMultiLvlLbl val="0"/>
      </c:catAx>
      <c:valAx>
        <c:axId val="1132484832"/>
        <c:scaling>
          <c:orientation val="minMax"/>
          <c:min val="2"/>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pl-PL"/>
          </a:p>
        </c:txPr>
        <c:crossAx val="113247443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showDLblsOverMax val="0"/>
  </c:chart>
  <c:spPr>
    <a:solidFill>
      <a:schemeClr val="bg1"/>
    </a:solidFill>
    <a:ln w="9525" cap="flat" cmpd="sng" algn="ctr">
      <a:solidFill>
        <a:srgbClr val="E7E6E6"/>
      </a:solidFill>
      <a:round/>
    </a:ln>
    <a:effectLst/>
  </c:spPr>
  <c:txPr>
    <a:bodyPr/>
    <a:lstStyle/>
    <a:p>
      <a:pPr>
        <a:defRPr/>
      </a:pPr>
      <a:endParaRPr lang="pl-PL"/>
    </a:p>
  </c:txPr>
  <c:externalData r:id="rId4">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500">
                <a:solidFill>
                  <a:schemeClr val="bg2">
                    <a:lumMod val="25000"/>
                  </a:schemeClr>
                </a:solidFill>
              </a:defRPr>
            </a:pPr>
            <a:r>
              <a:rPr lang="pl-PL" sz="1500" b="0">
                <a:solidFill>
                  <a:schemeClr val="bg2">
                    <a:lumMod val="25000"/>
                  </a:schemeClr>
                </a:solidFill>
              </a:rPr>
              <a:t>Polska</a:t>
            </a:r>
          </a:p>
        </c:rich>
      </c:tx>
      <c:overlay val="0"/>
    </c:title>
    <c:autoTitleDeleted val="0"/>
    <c:plotArea>
      <c:layout>
        <c:manualLayout>
          <c:layoutTarget val="inner"/>
          <c:xMode val="edge"/>
          <c:yMode val="edge"/>
          <c:x val="9.5948633937536332E-2"/>
          <c:y val="0.10086079696429361"/>
          <c:w val="0.87452116472018182"/>
          <c:h val="0.70910026693385431"/>
        </c:manualLayout>
      </c:layout>
      <c:lineChart>
        <c:grouping val="standard"/>
        <c:varyColors val="0"/>
        <c:ser>
          <c:idx val="3"/>
          <c:order val="0"/>
          <c:tx>
            <c:v>Polska</c:v>
          </c:tx>
          <c:spPr>
            <a:ln>
              <a:solidFill>
                <a:srgbClr val="CCA879"/>
              </a:solidFill>
            </a:ln>
          </c:spPr>
          <c:marker>
            <c:symbol val="none"/>
          </c:marker>
          <c:dLbls>
            <c:numFmt formatCode="#,##0.0" sourceLinked="0"/>
            <c:spPr>
              <a:noFill/>
              <a:ln>
                <a:noFill/>
              </a:ln>
              <a:effectLst/>
            </c:spPr>
            <c:txPr>
              <a:bodyPr wrap="square" lIns="38100" tIns="19050" rIns="38100" bIns="19050" anchor="ctr">
                <a:spAutoFit/>
              </a:bodyPr>
              <a:lstStyle/>
              <a:p>
                <a:pPr>
                  <a:defRPr sz="1000"/>
                </a:pPr>
                <a:endParaRPr lang="pl-PL"/>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trendline>
            <c:spPr>
              <a:ln>
                <a:solidFill>
                  <a:srgbClr val="CCA879"/>
                </a:solidFill>
                <a:prstDash val="sysDot"/>
              </a:ln>
            </c:spPr>
            <c:trendlineType val="linear"/>
            <c:dispRSqr val="0"/>
            <c:dispEq val="0"/>
          </c:trendline>
          <c:cat>
            <c:strRef>
              <c:f>TABLICA!$M$2:$V$2</c:f>
              <c:strCache>
                <c:ptCount val="10"/>
                <c:pt idx="0">
                  <c:v>2010</c:v>
                </c:pt>
                <c:pt idx="1">
                  <c:v>2011</c:v>
                </c:pt>
                <c:pt idx="2">
                  <c:v>2012</c:v>
                </c:pt>
                <c:pt idx="3">
                  <c:v>2013</c:v>
                </c:pt>
                <c:pt idx="4">
                  <c:v>2014</c:v>
                </c:pt>
                <c:pt idx="5">
                  <c:v>2015</c:v>
                </c:pt>
                <c:pt idx="6">
                  <c:v>2016</c:v>
                </c:pt>
                <c:pt idx="7">
                  <c:v>2017</c:v>
                </c:pt>
                <c:pt idx="8">
                  <c:v>2018</c:v>
                </c:pt>
                <c:pt idx="9">
                  <c:v>2019</c:v>
                </c:pt>
              </c:strCache>
            </c:strRef>
          </c:cat>
          <c:val>
            <c:numRef>
              <c:f>TABLICA!$M$4:$V$4</c:f>
              <c:numCache>
                <c:formatCode>#\ ##0.0</c:formatCode>
                <c:ptCount val="10"/>
                <c:pt idx="0">
                  <c:v>6.9</c:v>
                </c:pt>
                <c:pt idx="1">
                  <c:v>8</c:v>
                </c:pt>
                <c:pt idx="2">
                  <c:v>10.4</c:v>
                </c:pt>
                <c:pt idx="3">
                  <c:v>10.4</c:v>
                </c:pt>
                <c:pt idx="4">
                  <c:v>12.5</c:v>
                </c:pt>
                <c:pt idx="5">
                  <c:v>13.8</c:v>
                </c:pt>
                <c:pt idx="6">
                  <c:v>13.7</c:v>
                </c:pt>
                <c:pt idx="7">
                  <c:v>14.2</c:v>
                </c:pt>
                <c:pt idx="8">
                  <c:v>12.7</c:v>
                </c:pt>
                <c:pt idx="9">
                  <c:v>15.5</c:v>
                </c:pt>
              </c:numCache>
            </c:numRef>
          </c:val>
          <c:smooth val="0"/>
          <c:extLst>
            <c:ext xmlns:c16="http://schemas.microsoft.com/office/drawing/2014/chart" uri="{C3380CC4-5D6E-409C-BE32-E72D297353CC}">
              <c16:uniqueId val="{00000000-BF8B-4D10-80A7-DEE0566F7AB5}"/>
            </c:ext>
          </c:extLst>
        </c:ser>
        <c:dLbls>
          <c:showLegendKey val="0"/>
          <c:showVal val="0"/>
          <c:showCatName val="0"/>
          <c:showSerName val="0"/>
          <c:showPercent val="0"/>
          <c:showBubbleSize val="0"/>
        </c:dLbls>
        <c:smooth val="0"/>
        <c:axId val="1722217696"/>
        <c:axId val="1722220192"/>
      </c:lineChart>
      <c:catAx>
        <c:axId val="172221769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pl-PL"/>
          </a:p>
        </c:txPr>
        <c:crossAx val="1722220192"/>
        <c:crosses val="autoZero"/>
        <c:auto val="1"/>
        <c:lblAlgn val="ctr"/>
        <c:lblOffset val="100"/>
        <c:noMultiLvlLbl val="0"/>
      </c:catAx>
      <c:valAx>
        <c:axId val="1722220192"/>
        <c:scaling>
          <c:orientation val="minMax"/>
          <c:max val="20"/>
          <c:min val="5"/>
        </c:scaling>
        <c:delete val="0"/>
        <c:axPos val="l"/>
        <c:majorGridlines>
          <c:spPr>
            <a:ln w="9525" cap="flat" cmpd="sng" algn="ctr">
              <a:solidFill>
                <a:schemeClr val="tx1">
                  <a:lumMod val="15000"/>
                  <a:lumOff val="85000"/>
                </a:schemeClr>
              </a:solidFill>
              <a:round/>
            </a:ln>
            <a:effectLst/>
          </c:spPr>
        </c:majorGridlines>
        <c:numFmt formatCode="#\ ##0.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pl-PL"/>
          </a:p>
        </c:txPr>
        <c:crossAx val="1722217696"/>
        <c:crosses val="autoZero"/>
        <c:crossBetween val="between"/>
      </c:valAx>
      <c:spPr>
        <a:ln w="3175"/>
      </c:spPr>
    </c:plotArea>
    <c:legend>
      <c:legendPos val="b"/>
      <c:overlay val="0"/>
      <c:txPr>
        <a:bodyPr/>
        <a:lstStyle/>
        <a:p>
          <a:pPr>
            <a:defRPr>
              <a:solidFill>
                <a:schemeClr val="bg2">
                  <a:lumMod val="50000"/>
                </a:schemeClr>
              </a:solidFill>
            </a:defRPr>
          </a:pPr>
          <a:endParaRPr lang="pl-PL"/>
        </a:p>
      </c:txPr>
    </c:legend>
    <c:plotVisOnly val="1"/>
    <c:dispBlanksAs val="gap"/>
    <c:showDLblsOverMax val="0"/>
    <c:extLst/>
  </c:chart>
  <c:spPr>
    <a:ln w="3175">
      <a:solidFill>
        <a:schemeClr val="bg2">
          <a:lumMod val="75000"/>
        </a:schemeClr>
      </a:solidFill>
    </a:ln>
  </c:spPr>
  <c:txPr>
    <a:bodyPr/>
    <a:lstStyle/>
    <a:p>
      <a:pPr>
        <a:defRPr/>
      </a:pPr>
      <a:endParaRPr lang="pl-PL"/>
    </a:p>
  </c:txPr>
  <c:externalData r:id="rId1">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500">
                <a:solidFill>
                  <a:schemeClr val="bg2">
                    <a:lumMod val="50000"/>
                  </a:schemeClr>
                </a:solidFill>
              </a:defRPr>
            </a:pPr>
            <a:r>
              <a:rPr lang="pl-PL" sz="1500" b="0">
                <a:solidFill>
                  <a:schemeClr val="bg2">
                    <a:lumMod val="50000"/>
                  </a:schemeClr>
                </a:solidFill>
              </a:rPr>
              <a:t>Wielkopolska</a:t>
            </a:r>
          </a:p>
        </c:rich>
      </c:tx>
      <c:overlay val="0"/>
    </c:title>
    <c:autoTitleDeleted val="0"/>
    <c:plotArea>
      <c:layout/>
      <c:lineChart>
        <c:grouping val="standard"/>
        <c:varyColors val="0"/>
        <c:ser>
          <c:idx val="3"/>
          <c:order val="0"/>
          <c:tx>
            <c:v>Wielkopolska</c:v>
          </c:tx>
          <c:spPr>
            <a:ln>
              <a:solidFill>
                <a:srgbClr val="51BBB6"/>
              </a:solidFill>
            </a:ln>
          </c:spPr>
          <c:marker>
            <c:symbol val="none"/>
          </c:marker>
          <c:dLbls>
            <c:numFmt formatCode="#,##0.0" sourceLinked="0"/>
            <c:spPr>
              <a:noFill/>
              <a:ln>
                <a:noFill/>
              </a:ln>
              <a:effectLst/>
            </c:spPr>
            <c:txPr>
              <a:bodyPr wrap="square" lIns="38100" tIns="19050" rIns="38100" bIns="19050" anchor="ctr">
                <a:spAutoFit/>
              </a:bodyPr>
              <a:lstStyle/>
              <a:p>
                <a:pPr>
                  <a:defRPr sz="1000"/>
                </a:pPr>
                <a:endParaRPr lang="pl-PL"/>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trendline>
            <c:spPr>
              <a:ln>
                <a:solidFill>
                  <a:srgbClr val="51BBB6"/>
                </a:solidFill>
                <a:prstDash val="sysDot"/>
              </a:ln>
            </c:spPr>
            <c:trendlineType val="linear"/>
            <c:dispRSqr val="0"/>
            <c:dispEq val="0"/>
          </c:trendline>
          <c:cat>
            <c:strRef>
              <c:f>TABLICA!$M$2:$V$2</c:f>
              <c:strCache>
                <c:ptCount val="10"/>
                <c:pt idx="0">
                  <c:v>2010</c:v>
                </c:pt>
                <c:pt idx="1">
                  <c:v>2011</c:v>
                </c:pt>
                <c:pt idx="2">
                  <c:v>2012</c:v>
                </c:pt>
                <c:pt idx="3">
                  <c:v>2013</c:v>
                </c:pt>
                <c:pt idx="4">
                  <c:v>2014</c:v>
                </c:pt>
                <c:pt idx="5">
                  <c:v>2015</c:v>
                </c:pt>
                <c:pt idx="6">
                  <c:v>2016</c:v>
                </c:pt>
                <c:pt idx="7">
                  <c:v>2017</c:v>
                </c:pt>
                <c:pt idx="8">
                  <c:v>2018</c:v>
                </c:pt>
                <c:pt idx="9">
                  <c:v>2019</c:v>
                </c:pt>
              </c:strCache>
            </c:strRef>
          </c:cat>
          <c:val>
            <c:numRef>
              <c:f>TABLICA!$M$5:$V$5</c:f>
              <c:numCache>
                <c:formatCode>#\ ##0.0</c:formatCode>
                <c:ptCount val="10"/>
                <c:pt idx="0">
                  <c:v>7.3</c:v>
                </c:pt>
                <c:pt idx="1">
                  <c:v>7.8</c:v>
                </c:pt>
                <c:pt idx="2">
                  <c:v>10.1</c:v>
                </c:pt>
                <c:pt idx="3">
                  <c:v>9.4</c:v>
                </c:pt>
                <c:pt idx="4">
                  <c:v>11.3</c:v>
                </c:pt>
                <c:pt idx="5">
                  <c:v>14.6</c:v>
                </c:pt>
                <c:pt idx="6">
                  <c:v>15.4</c:v>
                </c:pt>
                <c:pt idx="7">
                  <c:v>14.7</c:v>
                </c:pt>
                <c:pt idx="8">
                  <c:v>21.3</c:v>
                </c:pt>
                <c:pt idx="9">
                  <c:v>25.3</c:v>
                </c:pt>
              </c:numCache>
            </c:numRef>
          </c:val>
          <c:smooth val="0"/>
          <c:extLst>
            <c:ext xmlns:c16="http://schemas.microsoft.com/office/drawing/2014/chart" uri="{C3380CC4-5D6E-409C-BE32-E72D297353CC}">
              <c16:uniqueId val="{00000000-618C-40C8-9E5D-E25079B29217}"/>
            </c:ext>
          </c:extLst>
        </c:ser>
        <c:dLbls>
          <c:showLegendKey val="0"/>
          <c:showVal val="0"/>
          <c:showCatName val="0"/>
          <c:showSerName val="0"/>
          <c:showPercent val="0"/>
          <c:showBubbleSize val="0"/>
        </c:dLbls>
        <c:smooth val="0"/>
        <c:axId val="1722217696"/>
        <c:axId val="1722220192"/>
      </c:lineChart>
      <c:catAx>
        <c:axId val="172221769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pl-PL"/>
          </a:p>
        </c:txPr>
        <c:crossAx val="1722220192"/>
        <c:crosses val="autoZero"/>
        <c:auto val="1"/>
        <c:lblAlgn val="ctr"/>
        <c:lblOffset val="100"/>
        <c:noMultiLvlLbl val="0"/>
      </c:catAx>
      <c:valAx>
        <c:axId val="1722220192"/>
        <c:scaling>
          <c:orientation val="minMax"/>
          <c:max val="30"/>
          <c:min val="5"/>
        </c:scaling>
        <c:delete val="0"/>
        <c:axPos val="l"/>
        <c:majorGridlines>
          <c:spPr>
            <a:ln w="9525" cap="flat" cmpd="sng" algn="ctr">
              <a:solidFill>
                <a:schemeClr val="tx1">
                  <a:lumMod val="15000"/>
                  <a:lumOff val="85000"/>
                </a:schemeClr>
              </a:solidFill>
              <a:round/>
            </a:ln>
            <a:effectLst/>
          </c:spPr>
        </c:majorGridlines>
        <c:numFmt formatCode="#\ ##0.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pl-PL"/>
          </a:p>
        </c:txPr>
        <c:crossAx val="1722217696"/>
        <c:crosses val="autoZero"/>
        <c:crossBetween val="between"/>
      </c:valAx>
    </c:plotArea>
    <c:legend>
      <c:legendPos val="b"/>
      <c:overlay val="0"/>
      <c:txPr>
        <a:bodyPr/>
        <a:lstStyle/>
        <a:p>
          <a:pPr>
            <a:defRPr>
              <a:solidFill>
                <a:schemeClr val="bg2">
                  <a:lumMod val="50000"/>
                </a:schemeClr>
              </a:solidFill>
            </a:defRPr>
          </a:pPr>
          <a:endParaRPr lang="pl-PL"/>
        </a:p>
      </c:txPr>
    </c:legend>
    <c:plotVisOnly val="1"/>
    <c:dispBlanksAs val="gap"/>
    <c:showDLblsOverMax val="0"/>
    <c:extLst/>
  </c:chart>
  <c:spPr>
    <a:ln w="3175">
      <a:solidFill>
        <a:schemeClr val="bg2">
          <a:lumMod val="75000"/>
        </a:schemeClr>
      </a:solidFill>
    </a:ln>
  </c:spPr>
  <c:txPr>
    <a:bodyPr/>
    <a:lstStyle/>
    <a:p>
      <a:pPr>
        <a:defRPr/>
      </a:pPr>
      <a:endParaRPr lang="pl-PL"/>
    </a:p>
  </c:txPr>
  <c:externalData r:id="rId1">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2113292172266098"/>
          <c:y val="5.0925925925925923E-2"/>
          <c:w val="0.85796738930420646"/>
          <c:h val="0.668322761738116"/>
        </c:manualLayout>
      </c:layout>
      <c:lineChart>
        <c:grouping val="standard"/>
        <c:varyColors val="0"/>
        <c:ser>
          <c:idx val="0"/>
          <c:order val="0"/>
          <c:tx>
            <c:strRef>
              <c:f>'w1'!$C$6</c:f>
              <c:strCache>
                <c:ptCount val="1"/>
                <c:pt idx="0">
                  <c:v>wartość rzeczywista</c:v>
                </c:pt>
              </c:strCache>
            </c:strRef>
          </c:tx>
          <c:spPr>
            <a:ln w="28575" cap="rnd">
              <a:solidFill>
                <a:srgbClr val="51BBB6"/>
              </a:solidFill>
              <a:round/>
            </a:ln>
            <a:effectLst/>
          </c:spPr>
          <c:marker>
            <c:symbol val="none"/>
          </c:marker>
          <c:dLbls>
            <c:dLbl>
              <c:idx val="0"/>
              <c:layout>
                <c:manualLayout>
                  <c:x val="-2.6969647891072635E-2"/>
                  <c:y val="3.423505872188664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68AF-466A-AC07-F8E3BCC83167}"/>
                </c:ext>
              </c:extLst>
            </c:dLbl>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'w1'!$D$5:$X$5</c:f>
              <c:numCache>
                <c:formatCode>General</c:formatCode>
                <c:ptCount val="21"/>
                <c:pt idx="0">
                  <c:v>2010</c:v>
                </c:pt>
                <c:pt idx="1">
                  <c:v>2011</c:v>
                </c:pt>
                <c:pt idx="2">
                  <c:v>2012</c:v>
                </c:pt>
                <c:pt idx="3">
                  <c:v>2013</c:v>
                </c:pt>
                <c:pt idx="4">
                  <c:v>2014</c:v>
                </c:pt>
                <c:pt idx="5">
                  <c:v>2015</c:v>
                </c:pt>
                <c:pt idx="6">
                  <c:v>2016</c:v>
                </c:pt>
                <c:pt idx="7">
                  <c:v>2017</c:v>
                </c:pt>
                <c:pt idx="8">
                  <c:v>2018</c:v>
                </c:pt>
                <c:pt idx="9">
                  <c:v>2019</c:v>
                </c:pt>
                <c:pt idx="10">
                  <c:v>2020</c:v>
                </c:pt>
                <c:pt idx="11">
                  <c:v>2021</c:v>
                </c:pt>
                <c:pt idx="12">
                  <c:v>2022</c:v>
                </c:pt>
                <c:pt idx="13">
                  <c:v>2023</c:v>
                </c:pt>
                <c:pt idx="14">
                  <c:v>2024</c:v>
                </c:pt>
                <c:pt idx="15">
                  <c:v>2025</c:v>
                </c:pt>
                <c:pt idx="16">
                  <c:v>2026</c:v>
                </c:pt>
                <c:pt idx="17">
                  <c:v>2027</c:v>
                </c:pt>
                <c:pt idx="18">
                  <c:v>2028</c:v>
                </c:pt>
                <c:pt idx="19">
                  <c:v>2029</c:v>
                </c:pt>
                <c:pt idx="20">
                  <c:v>2030</c:v>
                </c:pt>
              </c:numCache>
            </c:numRef>
          </c:cat>
          <c:val>
            <c:numRef>
              <c:f>'w1'!$D$6:$X$6</c:f>
              <c:numCache>
                <c:formatCode>General</c:formatCode>
                <c:ptCount val="21"/>
                <c:pt idx="0">
                  <c:v>1539.3</c:v>
                </c:pt>
                <c:pt idx="1">
                  <c:v>1800.8</c:v>
                </c:pt>
                <c:pt idx="2">
                  <c:v>1698.2</c:v>
                </c:pt>
                <c:pt idx="3">
                  <c:v>1724.9</c:v>
                </c:pt>
                <c:pt idx="4">
                  <c:v>1664.4</c:v>
                </c:pt>
                <c:pt idx="5">
                  <c:v>1505.7</c:v>
                </c:pt>
                <c:pt idx="6">
                  <c:v>1643.5</c:v>
                </c:pt>
                <c:pt idx="7">
                  <c:v>1411.3</c:v>
                </c:pt>
                <c:pt idx="8">
                  <c:v>1361.4</c:v>
                </c:pt>
                <c:pt idx="9">
                  <c:v>1295.5</c:v>
                </c:pt>
              </c:numCache>
            </c:numRef>
          </c:val>
          <c:smooth val="0"/>
          <c:extLst>
            <c:ext xmlns:c16="http://schemas.microsoft.com/office/drawing/2014/chart" uri="{C3380CC4-5D6E-409C-BE32-E72D297353CC}">
              <c16:uniqueId val="{00000001-68AF-466A-AC07-F8E3BCC83167}"/>
            </c:ext>
          </c:extLst>
        </c:ser>
        <c:ser>
          <c:idx val="1"/>
          <c:order val="1"/>
          <c:tx>
            <c:strRef>
              <c:f>'w1'!$C$7</c:f>
              <c:strCache>
                <c:ptCount val="1"/>
                <c:pt idx="0">
                  <c:v>wartość prognozowana</c:v>
                </c:pt>
              </c:strCache>
            </c:strRef>
          </c:tx>
          <c:spPr>
            <a:ln w="28575" cap="rnd">
              <a:solidFill>
                <a:srgbClr val="CCA879"/>
              </a:solidFill>
              <a:prstDash val="sysDot"/>
              <a:round/>
            </a:ln>
            <a:effectLst/>
          </c:spPr>
          <c:marker>
            <c:symbol val="none"/>
          </c:marker>
          <c:dLbls>
            <c:dLbl>
              <c:idx val="20"/>
              <c:layout>
                <c:manualLayout>
                  <c:x val="-1.2585835682500563E-2"/>
                  <c:y val="4.707320574259413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68AF-466A-AC07-F8E3BCC83167}"/>
                </c:ext>
              </c:extLst>
            </c:dLbl>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'w1'!$D$5:$X$5</c:f>
              <c:numCache>
                <c:formatCode>General</c:formatCode>
                <c:ptCount val="21"/>
                <c:pt idx="0">
                  <c:v>2010</c:v>
                </c:pt>
                <c:pt idx="1">
                  <c:v>2011</c:v>
                </c:pt>
                <c:pt idx="2">
                  <c:v>2012</c:v>
                </c:pt>
                <c:pt idx="3">
                  <c:v>2013</c:v>
                </c:pt>
                <c:pt idx="4">
                  <c:v>2014</c:v>
                </c:pt>
                <c:pt idx="5">
                  <c:v>2015</c:v>
                </c:pt>
                <c:pt idx="6">
                  <c:v>2016</c:v>
                </c:pt>
                <c:pt idx="7">
                  <c:v>2017</c:v>
                </c:pt>
                <c:pt idx="8">
                  <c:v>2018</c:v>
                </c:pt>
                <c:pt idx="9">
                  <c:v>2019</c:v>
                </c:pt>
                <c:pt idx="10">
                  <c:v>2020</c:v>
                </c:pt>
                <c:pt idx="11">
                  <c:v>2021</c:v>
                </c:pt>
                <c:pt idx="12">
                  <c:v>2022</c:v>
                </c:pt>
                <c:pt idx="13">
                  <c:v>2023</c:v>
                </c:pt>
                <c:pt idx="14">
                  <c:v>2024</c:v>
                </c:pt>
                <c:pt idx="15">
                  <c:v>2025</c:v>
                </c:pt>
                <c:pt idx="16">
                  <c:v>2026</c:v>
                </c:pt>
                <c:pt idx="17">
                  <c:v>2027</c:v>
                </c:pt>
                <c:pt idx="18">
                  <c:v>2028</c:v>
                </c:pt>
                <c:pt idx="19">
                  <c:v>2029</c:v>
                </c:pt>
                <c:pt idx="20">
                  <c:v>2030</c:v>
                </c:pt>
              </c:numCache>
            </c:numRef>
          </c:cat>
          <c:val>
            <c:numRef>
              <c:f>'w1'!$D$7:$X$7</c:f>
              <c:numCache>
                <c:formatCode>General</c:formatCode>
                <c:ptCount val="21"/>
                <c:pt idx="9">
                  <c:v>1295.5</c:v>
                </c:pt>
                <c:pt idx="10">
                  <c:v>1373.4680000000001</c:v>
                </c:pt>
                <c:pt idx="11">
                  <c:v>1336.6560000000002</c:v>
                </c:pt>
                <c:pt idx="12">
                  <c:v>1299.8440000000001</c:v>
                </c:pt>
                <c:pt idx="13">
                  <c:v>1263.0320000000002</c:v>
                </c:pt>
                <c:pt idx="14">
                  <c:v>1226.2200000000003</c:v>
                </c:pt>
                <c:pt idx="15">
                  <c:v>1189.4080000000001</c:v>
                </c:pt>
                <c:pt idx="16">
                  <c:v>1152.596</c:v>
                </c:pt>
                <c:pt idx="17">
                  <c:v>1115.7840000000001</c:v>
                </c:pt>
                <c:pt idx="18">
                  <c:v>1078.9720000000002</c:v>
                </c:pt>
                <c:pt idx="19">
                  <c:v>1042.1600000000001</c:v>
                </c:pt>
                <c:pt idx="20" formatCode="0.0">
                  <c:v>1005.3480000000002</c:v>
                </c:pt>
              </c:numCache>
            </c:numRef>
          </c:val>
          <c:smooth val="0"/>
          <c:extLst>
            <c:ext xmlns:c16="http://schemas.microsoft.com/office/drawing/2014/chart" uri="{C3380CC4-5D6E-409C-BE32-E72D297353CC}">
              <c16:uniqueId val="{00000003-68AF-466A-AC07-F8E3BCC83167}"/>
            </c:ext>
          </c:extLst>
        </c:ser>
        <c:dLbls>
          <c:showLegendKey val="0"/>
          <c:showVal val="0"/>
          <c:showCatName val="0"/>
          <c:showSerName val="0"/>
          <c:showPercent val="0"/>
          <c:showBubbleSize val="0"/>
        </c:dLbls>
        <c:smooth val="0"/>
        <c:axId val="783745344"/>
        <c:axId val="783743048"/>
      </c:lineChart>
      <c:catAx>
        <c:axId val="783745344"/>
        <c:scaling>
          <c:orientation val="minMax"/>
        </c:scaling>
        <c:delete val="0"/>
        <c:axPos val="b"/>
        <c:title>
          <c:tx>
            <c:rich>
              <a:bodyPr rot="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pl-PL"/>
                  <a:t>rok</a:t>
                </a:r>
              </a:p>
            </c:rich>
          </c:tx>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title>
        <c:numFmt formatCode="General" sourceLinked="1"/>
        <c:majorTickMark val="none"/>
        <c:minorTickMark val="none"/>
        <c:tickLblPos val="nextTo"/>
        <c:spPr>
          <a:noFill/>
          <a:ln w="12700" cap="flat" cmpd="sng" algn="ctr">
            <a:solidFill>
              <a:schemeClr val="tx1"/>
            </a:solidFill>
            <a:round/>
          </a:ln>
          <a:effectLst/>
        </c:spPr>
        <c:txPr>
          <a:bodyPr rot="-2700000" spcFirstLastPara="1" vertOverflow="ellipsis"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crossAx val="783743048"/>
        <c:crosses val="autoZero"/>
        <c:auto val="1"/>
        <c:lblAlgn val="ctr"/>
        <c:lblOffset val="100"/>
        <c:noMultiLvlLbl val="0"/>
      </c:catAx>
      <c:valAx>
        <c:axId val="783743048"/>
        <c:scaling>
          <c:orientation val="minMax"/>
          <c:min val="800"/>
        </c:scaling>
        <c:delete val="0"/>
        <c:axPos val="l"/>
        <c:majorGridlines>
          <c:spPr>
            <a:ln w="9525" cap="flat" cmpd="sng" algn="ctr">
              <a:solidFill>
                <a:schemeClr val="tx1">
                  <a:lumMod val="15000"/>
                  <a:lumOff val="85000"/>
                </a:schemeClr>
              </a:solidFill>
              <a:round/>
            </a:ln>
            <a:effectLst/>
          </c:spPr>
        </c:majorGridlines>
        <c:title>
          <c:tx>
            <c:strRef>
              <c:f>'w1'!$B$4</c:f>
              <c:strCache>
                <c:ptCount val="1"/>
                <c:pt idx="0">
                  <c:v>Zużycie wody ogółem, hm³</c:v>
                </c:pt>
              </c:strCache>
            </c:strRef>
          </c:tx>
          <c:overlay val="0"/>
          <c:spPr>
            <a:noFill/>
            <a:ln>
              <a:noFill/>
            </a:ln>
            <a:effectLst/>
          </c:spPr>
          <c:txPr>
            <a:bodyPr rot="-54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title>
        <c:numFmt formatCode="General" sourceLinked="1"/>
        <c:majorTickMark val="none"/>
        <c:minorTickMark val="none"/>
        <c:tickLblPos val="nextTo"/>
        <c:spPr>
          <a:noFill/>
          <a:ln w="12700">
            <a:solidFill>
              <a:schemeClr val="tx1"/>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crossAx val="78374534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sz="900">
          <a:solidFill>
            <a:sysClr val="windowText" lastClr="000000"/>
          </a:solidFill>
          <a:latin typeface="Arial" panose="020B0604020202020204" pitchFamily="34" charset="0"/>
          <a:cs typeface="Arial" panose="020B0604020202020204" pitchFamily="34" charset="0"/>
        </a:defRPr>
      </a:pPr>
      <a:endParaRPr lang="pl-PL"/>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stacked"/>
        <c:varyColors val="0"/>
        <c:ser>
          <c:idx val="0"/>
          <c:order val="0"/>
          <c:tx>
            <c:strRef>
              <c:f>TABLICA!$C$7</c:f>
              <c:strCache>
                <c:ptCount val="1"/>
                <c:pt idx="0">
                  <c:v>Gospodarstwa z certyfikatem</c:v>
                </c:pt>
              </c:strCache>
            </c:strRef>
          </c:tx>
          <c:spPr>
            <a:solidFill>
              <a:srgbClr val="002060"/>
            </a:solidFill>
            <a:ln>
              <a:noFill/>
            </a:ln>
            <a:effectLst/>
          </c:spPr>
          <c:invertIfNegative val="0"/>
          <c:dLbls>
            <c:spPr>
              <a:noFill/>
              <a:ln>
                <a:noFill/>
              </a:ln>
              <a:effectLst/>
            </c:spPr>
            <c:txPr>
              <a:bodyPr rot="0" spcFirstLastPara="1" vertOverflow="ellipsis" vert="horz" wrap="square" anchor="ctr" anchorCtr="1"/>
              <a:lstStyle/>
              <a:p>
                <a:pPr>
                  <a:defRPr sz="700" b="1" i="0" u="none" strike="noStrike" kern="1200" baseline="0">
                    <a:solidFill>
                      <a:schemeClr val="bg1"/>
                    </a:solidFill>
                    <a:latin typeface="Arial" panose="020B0604020202020204" pitchFamily="34" charset="0"/>
                    <a:ea typeface="+mn-ea"/>
                    <a:cs typeface="Arial" panose="020B0604020202020204" pitchFamily="34" charset="0"/>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TABLICA!$C$15:$L$15</c:f>
              <c:strCache>
                <c:ptCount val="10"/>
                <c:pt idx="0">
                  <c:v>2010</c:v>
                </c:pt>
                <c:pt idx="1">
                  <c:v>2011</c:v>
                </c:pt>
                <c:pt idx="2">
                  <c:v>2012</c:v>
                </c:pt>
                <c:pt idx="3">
                  <c:v>2013</c:v>
                </c:pt>
                <c:pt idx="4">
                  <c:v>2014</c:v>
                </c:pt>
                <c:pt idx="5">
                  <c:v>2015</c:v>
                </c:pt>
                <c:pt idx="6">
                  <c:v>2016</c:v>
                </c:pt>
                <c:pt idx="7">
                  <c:v>2017</c:v>
                </c:pt>
                <c:pt idx="8">
                  <c:v>2018</c:v>
                </c:pt>
                <c:pt idx="9">
                  <c:v>2019</c:v>
                </c:pt>
              </c:strCache>
            </c:strRef>
          </c:cat>
          <c:val>
            <c:numRef>
              <c:f>TABLICA!$C$11:$L$11</c:f>
              <c:numCache>
                <c:formatCode>#,##0</c:formatCode>
                <c:ptCount val="10"/>
                <c:pt idx="0">
                  <c:v>456</c:v>
                </c:pt>
                <c:pt idx="1">
                  <c:v>534</c:v>
                </c:pt>
                <c:pt idx="2">
                  <c:v>651</c:v>
                </c:pt>
                <c:pt idx="3">
                  <c:v>762</c:v>
                </c:pt>
                <c:pt idx="4">
                  <c:v>859</c:v>
                </c:pt>
                <c:pt idx="5">
                  <c:v>725</c:v>
                </c:pt>
                <c:pt idx="6">
                  <c:v>592</c:v>
                </c:pt>
                <c:pt idx="7">
                  <c:v>483</c:v>
                </c:pt>
                <c:pt idx="8">
                  <c:v>511</c:v>
                </c:pt>
                <c:pt idx="9">
                  <c:v>581</c:v>
                </c:pt>
              </c:numCache>
            </c:numRef>
          </c:val>
          <c:extLst>
            <c:ext xmlns:c16="http://schemas.microsoft.com/office/drawing/2014/chart" uri="{C3380CC4-5D6E-409C-BE32-E72D297353CC}">
              <c16:uniqueId val="{00000000-53F1-471B-815D-0982BFE2E04C}"/>
            </c:ext>
          </c:extLst>
        </c:ser>
        <c:ser>
          <c:idx val="1"/>
          <c:order val="1"/>
          <c:tx>
            <c:strRef>
              <c:f>TABLICA!$C$13</c:f>
              <c:strCache>
                <c:ptCount val="1"/>
                <c:pt idx="0">
                  <c:v>Gospodarstwa w okresie przestawiania</c:v>
                </c:pt>
              </c:strCache>
            </c:strRef>
          </c:tx>
          <c:spPr>
            <a:solidFill>
              <a:srgbClr val="C2AF8C"/>
            </a:solidFill>
            <a:ln>
              <a:noFill/>
            </a:ln>
            <a:effectLst/>
          </c:spPr>
          <c:invertIfNegative val="0"/>
          <c:dLbls>
            <c:spPr>
              <a:noFill/>
              <a:ln>
                <a:noFill/>
              </a:ln>
              <a:effectLst/>
            </c:spPr>
            <c:txPr>
              <a:bodyPr rot="0" spcFirstLastPara="1" vertOverflow="ellipsis" vert="horz" wrap="square" anchor="ctr" anchorCtr="1"/>
              <a:lstStyle/>
              <a:p>
                <a:pPr>
                  <a:defRPr sz="700" b="1"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TABLICA!$C$15:$L$15</c:f>
              <c:strCache>
                <c:ptCount val="10"/>
                <c:pt idx="0">
                  <c:v>2010</c:v>
                </c:pt>
                <c:pt idx="1">
                  <c:v>2011</c:v>
                </c:pt>
                <c:pt idx="2">
                  <c:v>2012</c:v>
                </c:pt>
                <c:pt idx="3">
                  <c:v>2013</c:v>
                </c:pt>
                <c:pt idx="4">
                  <c:v>2014</c:v>
                </c:pt>
                <c:pt idx="5">
                  <c:v>2015</c:v>
                </c:pt>
                <c:pt idx="6">
                  <c:v>2016</c:v>
                </c:pt>
                <c:pt idx="7">
                  <c:v>2017</c:v>
                </c:pt>
                <c:pt idx="8">
                  <c:v>2018</c:v>
                </c:pt>
                <c:pt idx="9">
                  <c:v>2019</c:v>
                </c:pt>
              </c:strCache>
            </c:strRef>
          </c:cat>
          <c:val>
            <c:numRef>
              <c:f>TABLICA!$C$17:$L$17</c:f>
              <c:numCache>
                <c:formatCode>#,##0</c:formatCode>
                <c:ptCount val="10"/>
                <c:pt idx="0">
                  <c:v>292</c:v>
                </c:pt>
                <c:pt idx="1">
                  <c:v>354</c:v>
                </c:pt>
                <c:pt idx="2">
                  <c:v>323</c:v>
                </c:pt>
                <c:pt idx="3">
                  <c:v>244</c:v>
                </c:pt>
                <c:pt idx="4">
                  <c:v>107</c:v>
                </c:pt>
                <c:pt idx="5">
                  <c:v>84</c:v>
                </c:pt>
                <c:pt idx="6">
                  <c:v>251</c:v>
                </c:pt>
                <c:pt idx="7">
                  <c:v>253</c:v>
                </c:pt>
                <c:pt idx="8">
                  <c:v>216</c:v>
                </c:pt>
                <c:pt idx="9">
                  <c:v>146</c:v>
                </c:pt>
              </c:numCache>
            </c:numRef>
          </c:val>
          <c:extLst>
            <c:ext xmlns:c16="http://schemas.microsoft.com/office/drawing/2014/chart" uri="{C3380CC4-5D6E-409C-BE32-E72D297353CC}">
              <c16:uniqueId val="{00000001-53F1-471B-815D-0982BFE2E04C}"/>
            </c:ext>
          </c:extLst>
        </c:ser>
        <c:dLbls>
          <c:showLegendKey val="0"/>
          <c:showVal val="0"/>
          <c:showCatName val="0"/>
          <c:showSerName val="0"/>
          <c:showPercent val="0"/>
          <c:showBubbleSize val="0"/>
        </c:dLbls>
        <c:gapWidth val="80"/>
        <c:overlap val="100"/>
        <c:axId val="1313536735"/>
        <c:axId val="1313540063"/>
      </c:barChart>
      <c:lineChart>
        <c:grouping val="standard"/>
        <c:varyColors val="0"/>
        <c:ser>
          <c:idx val="2"/>
          <c:order val="2"/>
          <c:tx>
            <c:strRef>
              <c:f>TABLICA!$M$2</c:f>
              <c:strCache>
                <c:ptCount val="1"/>
                <c:pt idx="0">
                  <c:v>Powierzchnia użytków rolnych</c:v>
                </c:pt>
              </c:strCache>
            </c:strRef>
          </c:tx>
          <c:spPr>
            <a:ln w="28575" cap="rnd">
              <a:solidFill>
                <a:srgbClr val="00CCC2"/>
              </a:solidFill>
              <a:round/>
            </a:ln>
            <a:effectLst/>
          </c:spPr>
          <c:marker>
            <c:symbol val="none"/>
          </c:marker>
          <c:dLbls>
            <c:spPr>
              <a:noFill/>
              <a:ln>
                <a:noFill/>
              </a:ln>
              <a:effectLst/>
            </c:spPr>
            <c:txPr>
              <a:bodyPr rot="0" spcFirstLastPara="1" vertOverflow="ellipsis" vert="horz" wrap="square" anchor="ctr" anchorCtr="1"/>
              <a:lstStyle/>
              <a:p>
                <a:pPr>
                  <a:defRPr sz="700" b="1"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TABLICA!$M$5:$V$5</c:f>
              <c:numCache>
                <c:formatCode>#,##0</c:formatCode>
                <c:ptCount val="10"/>
                <c:pt idx="0">
                  <c:v>32512.799999999999</c:v>
                </c:pt>
                <c:pt idx="1">
                  <c:v>38434.300000000003</c:v>
                </c:pt>
                <c:pt idx="2">
                  <c:v>41479</c:v>
                </c:pt>
                <c:pt idx="3">
                  <c:v>41617</c:v>
                </c:pt>
                <c:pt idx="4">
                  <c:v>42071</c:v>
                </c:pt>
                <c:pt idx="5">
                  <c:v>34523</c:v>
                </c:pt>
                <c:pt idx="6">
                  <c:v>29171</c:v>
                </c:pt>
                <c:pt idx="7">
                  <c:v>25389</c:v>
                </c:pt>
                <c:pt idx="8">
                  <c:v>25994</c:v>
                </c:pt>
                <c:pt idx="9">
                  <c:v>27734</c:v>
                </c:pt>
              </c:numCache>
            </c:numRef>
          </c:val>
          <c:smooth val="0"/>
          <c:extLst>
            <c:ext xmlns:c16="http://schemas.microsoft.com/office/drawing/2014/chart" uri="{C3380CC4-5D6E-409C-BE32-E72D297353CC}">
              <c16:uniqueId val="{00000002-53F1-471B-815D-0982BFE2E04C}"/>
            </c:ext>
          </c:extLst>
        </c:ser>
        <c:dLbls>
          <c:showLegendKey val="0"/>
          <c:showVal val="1"/>
          <c:showCatName val="0"/>
          <c:showSerName val="0"/>
          <c:showPercent val="0"/>
          <c:showBubbleSize val="0"/>
        </c:dLbls>
        <c:marker val="1"/>
        <c:smooth val="0"/>
        <c:axId val="1340220415"/>
        <c:axId val="1340219999"/>
      </c:lineChart>
      <c:catAx>
        <c:axId val="1313536735"/>
        <c:scaling>
          <c:orientation val="minMax"/>
        </c:scaling>
        <c:delete val="0"/>
        <c:axPos val="b"/>
        <c:numFmt formatCode="General" sourceLinked="1"/>
        <c:majorTickMark val="out"/>
        <c:minorTickMark val="none"/>
        <c:tickLblPos val="nextTo"/>
        <c:spPr>
          <a:noFill/>
          <a:ln w="9525" cap="flat" cmpd="sng" algn="ctr">
            <a:solidFill>
              <a:sysClr val="windowText" lastClr="000000"/>
            </a:solidFill>
            <a:round/>
          </a:ln>
          <a:effectLst/>
        </c:spPr>
        <c:txPr>
          <a:bodyPr rot="-60000000" spcFirstLastPara="1" vertOverflow="ellipsis" vert="horz" wrap="square" anchor="ctr" anchorCtr="1"/>
          <a:lstStyle/>
          <a:p>
            <a:pPr>
              <a:defRPr sz="700" b="1"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crossAx val="1313540063"/>
        <c:crosses val="autoZero"/>
        <c:auto val="1"/>
        <c:lblAlgn val="ctr"/>
        <c:lblOffset val="100"/>
        <c:noMultiLvlLbl val="0"/>
      </c:catAx>
      <c:valAx>
        <c:axId val="1313540063"/>
        <c:scaling>
          <c:orientation val="minMax"/>
          <c:max val="200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700" b="1"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pl-PL"/>
                  <a:t>liczba gospodarstw rolnych</a:t>
                </a:r>
              </a:p>
            </c:rich>
          </c:tx>
          <c:overlay val="0"/>
          <c:spPr>
            <a:noFill/>
            <a:ln>
              <a:noFill/>
            </a:ln>
            <a:effectLst/>
          </c:spPr>
          <c:txPr>
            <a:bodyPr rot="-5400000" spcFirstLastPara="1" vertOverflow="ellipsis" vert="horz" wrap="square" anchor="ctr" anchorCtr="1"/>
            <a:lstStyle/>
            <a:p>
              <a:pPr>
                <a:defRPr sz="700" b="1"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title>
        <c:numFmt formatCode="#,##0" sourceLinked="1"/>
        <c:majorTickMark val="out"/>
        <c:minorTickMark val="none"/>
        <c:tickLblPos val="nextTo"/>
        <c:spPr>
          <a:noFill/>
          <a:ln>
            <a:solidFill>
              <a:schemeClr val="tx1"/>
            </a:solidFill>
          </a:ln>
          <a:effectLst/>
        </c:spPr>
        <c:txPr>
          <a:bodyPr rot="-60000000" spcFirstLastPara="1" vertOverflow="ellipsis" vert="horz" wrap="square" anchor="ctr" anchorCtr="1"/>
          <a:lstStyle/>
          <a:p>
            <a:pPr>
              <a:defRPr sz="700" b="1"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crossAx val="1313536735"/>
        <c:crosses val="autoZero"/>
        <c:crossBetween val="between"/>
        <c:majorUnit val="500"/>
      </c:valAx>
      <c:valAx>
        <c:axId val="1340219999"/>
        <c:scaling>
          <c:orientation val="minMax"/>
          <c:max val="50000"/>
        </c:scaling>
        <c:delete val="0"/>
        <c:axPos val="r"/>
        <c:title>
          <c:tx>
            <c:rich>
              <a:bodyPr rot="-5400000" spcFirstLastPara="1" vertOverflow="ellipsis" vert="horz" wrap="square" anchor="ctr" anchorCtr="1"/>
              <a:lstStyle/>
              <a:p>
                <a:pPr>
                  <a:defRPr sz="700" b="1"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pl-PL"/>
                  <a:t>powierzchnia użytków rolnych [ha]</a:t>
                </a:r>
              </a:p>
            </c:rich>
          </c:tx>
          <c:overlay val="0"/>
          <c:spPr>
            <a:noFill/>
            <a:ln>
              <a:noFill/>
            </a:ln>
            <a:effectLst/>
          </c:spPr>
          <c:txPr>
            <a:bodyPr rot="-5400000" spcFirstLastPara="1" vertOverflow="ellipsis" vert="horz" wrap="square" anchor="ctr" anchorCtr="1"/>
            <a:lstStyle/>
            <a:p>
              <a:pPr>
                <a:defRPr sz="700" b="1"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title>
        <c:numFmt formatCode="#,##0" sourceLinked="1"/>
        <c:majorTickMark val="out"/>
        <c:minorTickMark val="none"/>
        <c:tickLblPos val="nextTo"/>
        <c:spPr>
          <a:noFill/>
          <a:ln>
            <a:solidFill>
              <a:sysClr val="windowText" lastClr="000000"/>
            </a:solidFill>
          </a:ln>
          <a:effectLst/>
        </c:spPr>
        <c:txPr>
          <a:bodyPr rot="-60000000" spcFirstLastPara="1" vertOverflow="ellipsis" vert="horz" wrap="square" anchor="ctr" anchorCtr="1"/>
          <a:lstStyle/>
          <a:p>
            <a:pPr>
              <a:defRPr sz="700" b="1"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crossAx val="1340220415"/>
        <c:crosses val="max"/>
        <c:crossBetween val="between"/>
        <c:majorUnit val="10000"/>
      </c:valAx>
      <c:catAx>
        <c:axId val="1340220415"/>
        <c:scaling>
          <c:orientation val="minMax"/>
        </c:scaling>
        <c:delete val="1"/>
        <c:axPos val="b"/>
        <c:majorTickMark val="out"/>
        <c:minorTickMark val="none"/>
        <c:tickLblPos val="nextTo"/>
        <c:crossAx val="1340219999"/>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700" b="1"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700" b="1">
          <a:solidFill>
            <a:sysClr val="windowText" lastClr="000000"/>
          </a:solidFill>
          <a:latin typeface="Arial" panose="020B0604020202020204" pitchFamily="34" charset="0"/>
          <a:cs typeface="Arial" panose="020B0604020202020204" pitchFamily="34" charset="0"/>
        </a:defRPr>
      </a:pPr>
      <a:endParaRPr lang="pl-PL"/>
    </a:p>
  </c:txPr>
  <c:externalData r:id="rId3">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5014757738476531"/>
          <c:y val="6.2570803103760508E-2"/>
          <c:w val="0.82895275854160677"/>
          <c:h val="0.668322761738116"/>
        </c:manualLayout>
      </c:layout>
      <c:lineChart>
        <c:grouping val="standard"/>
        <c:varyColors val="0"/>
        <c:ser>
          <c:idx val="0"/>
          <c:order val="0"/>
          <c:tx>
            <c:strRef>
              <c:f>'w2'!$C$6</c:f>
              <c:strCache>
                <c:ptCount val="1"/>
                <c:pt idx="0">
                  <c:v>wartość rzeczywista</c:v>
                </c:pt>
              </c:strCache>
            </c:strRef>
          </c:tx>
          <c:spPr>
            <a:ln w="28575" cap="rnd">
              <a:solidFill>
                <a:schemeClr val="accent1"/>
              </a:solidFill>
              <a:round/>
            </a:ln>
            <a:effectLst/>
          </c:spPr>
          <c:marker>
            <c:symbol val="none"/>
          </c:marker>
          <c:dLbls>
            <c:dLbl>
              <c:idx val="0"/>
              <c:layout>
                <c:manualLayout>
                  <c:x val="-2.4699632422793095E-2"/>
                  <c:y val="-5.194805194805197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AB13-4CD1-A5E0-08B258FFB423}"/>
                </c:ext>
              </c:extLst>
            </c:dLbl>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'w2'!$D$5:$X$5</c:f>
              <c:numCache>
                <c:formatCode>General</c:formatCode>
                <c:ptCount val="21"/>
                <c:pt idx="0">
                  <c:v>2010</c:v>
                </c:pt>
                <c:pt idx="1">
                  <c:v>2011</c:v>
                </c:pt>
                <c:pt idx="2">
                  <c:v>2012</c:v>
                </c:pt>
                <c:pt idx="3">
                  <c:v>2013</c:v>
                </c:pt>
                <c:pt idx="4">
                  <c:v>2014</c:v>
                </c:pt>
                <c:pt idx="5">
                  <c:v>2015</c:v>
                </c:pt>
                <c:pt idx="6">
                  <c:v>2016</c:v>
                </c:pt>
                <c:pt idx="7">
                  <c:v>2017</c:v>
                </c:pt>
                <c:pt idx="8">
                  <c:v>2018</c:v>
                </c:pt>
                <c:pt idx="9">
                  <c:v>2019</c:v>
                </c:pt>
                <c:pt idx="10">
                  <c:v>2020</c:v>
                </c:pt>
                <c:pt idx="11">
                  <c:v>2021</c:v>
                </c:pt>
                <c:pt idx="12">
                  <c:v>2022</c:v>
                </c:pt>
                <c:pt idx="13">
                  <c:v>2023</c:v>
                </c:pt>
                <c:pt idx="14">
                  <c:v>2024</c:v>
                </c:pt>
                <c:pt idx="15">
                  <c:v>2025</c:v>
                </c:pt>
                <c:pt idx="16">
                  <c:v>2026</c:v>
                </c:pt>
                <c:pt idx="17">
                  <c:v>2027</c:v>
                </c:pt>
                <c:pt idx="18">
                  <c:v>2028</c:v>
                </c:pt>
                <c:pt idx="19">
                  <c:v>2029</c:v>
                </c:pt>
                <c:pt idx="20">
                  <c:v>2030</c:v>
                </c:pt>
              </c:numCache>
            </c:numRef>
          </c:cat>
          <c:val>
            <c:numRef>
              <c:f>'w2'!$D$6:$X$6</c:f>
              <c:numCache>
                <c:formatCode>General</c:formatCode>
                <c:ptCount val="21"/>
                <c:pt idx="0" formatCode="0.0">
                  <c:v>35</c:v>
                </c:pt>
                <c:pt idx="1">
                  <c:v>35.5</c:v>
                </c:pt>
                <c:pt idx="2">
                  <c:v>35.4</c:v>
                </c:pt>
                <c:pt idx="3">
                  <c:v>35.1</c:v>
                </c:pt>
                <c:pt idx="4">
                  <c:v>35.6</c:v>
                </c:pt>
                <c:pt idx="5">
                  <c:v>36.9</c:v>
                </c:pt>
                <c:pt idx="6">
                  <c:v>37.4</c:v>
                </c:pt>
                <c:pt idx="7">
                  <c:v>36.799999999999997</c:v>
                </c:pt>
                <c:pt idx="8">
                  <c:v>39.299999999999997</c:v>
                </c:pt>
                <c:pt idx="9">
                  <c:v>40.299999999999997</c:v>
                </c:pt>
                <c:pt idx="10">
                  <c:v>39.799999999999997</c:v>
                </c:pt>
              </c:numCache>
            </c:numRef>
          </c:val>
          <c:smooth val="0"/>
          <c:extLst>
            <c:ext xmlns:c16="http://schemas.microsoft.com/office/drawing/2014/chart" uri="{C3380CC4-5D6E-409C-BE32-E72D297353CC}">
              <c16:uniqueId val="{00000001-AB13-4CD1-A5E0-08B258FFB423}"/>
            </c:ext>
          </c:extLst>
        </c:ser>
        <c:ser>
          <c:idx val="1"/>
          <c:order val="1"/>
          <c:tx>
            <c:strRef>
              <c:f>'w2'!$C$7</c:f>
              <c:strCache>
                <c:ptCount val="1"/>
                <c:pt idx="0">
                  <c:v>wartość prognozowana</c:v>
                </c:pt>
              </c:strCache>
            </c:strRef>
          </c:tx>
          <c:spPr>
            <a:ln w="28575" cap="rnd">
              <a:solidFill>
                <a:schemeClr val="accent2"/>
              </a:solidFill>
              <a:prstDash val="sysDot"/>
              <a:round/>
            </a:ln>
            <a:effectLst/>
          </c:spPr>
          <c:marker>
            <c:symbol val="none"/>
          </c:marker>
          <c:dLbls>
            <c:dLbl>
              <c:idx val="20"/>
              <c:layout>
                <c:manualLayout>
                  <c:x val="-1.709974552347213E-2"/>
                  <c:y val="-3.778040141676504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AB13-4CD1-A5E0-08B258FFB423}"/>
                </c:ext>
              </c:extLst>
            </c:dLbl>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'w2'!$D$5:$X$5</c:f>
              <c:numCache>
                <c:formatCode>General</c:formatCode>
                <c:ptCount val="21"/>
                <c:pt idx="0">
                  <c:v>2010</c:v>
                </c:pt>
                <c:pt idx="1">
                  <c:v>2011</c:v>
                </c:pt>
                <c:pt idx="2">
                  <c:v>2012</c:v>
                </c:pt>
                <c:pt idx="3">
                  <c:v>2013</c:v>
                </c:pt>
                <c:pt idx="4">
                  <c:v>2014</c:v>
                </c:pt>
                <c:pt idx="5">
                  <c:v>2015</c:v>
                </c:pt>
                <c:pt idx="6">
                  <c:v>2016</c:v>
                </c:pt>
                <c:pt idx="7">
                  <c:v>2017</c:v>
                </c:pt>
                <c:pt idx="8">
                  <c:v>2018</c:v>
                </c:pt>
                <c:pt idx="9">
                  <c:v>2019</c:v>
                </c:pt>
                <c:pt idx="10">
                  <c:v>2020</c:v>
                </c:pt>
                <c:pt idx="11">
                  <c:v>2021</c:v>
                </c:pt>
                <c:pt idx="12">
                  <c:v>2022</c:v>
                </c:pt>
                <c:pt idx="13">
                  <c:v>2023</c:v>
                </c:pt>
                <c:pt idx="14">
                  <c:v>2024</c:v>
                </c:pt>
                <c:pt idx="15">
                  <c:v>2025</c:v>
                </c:pt>
                <c:pt idx="16">
                  <c:v>2026</c:v>
                </c:pt>
                <c:pt idx="17">
                  <c:v>2027</c:v>
                </c:pt>
                <c:pt idx="18">
                  <c:v>2028</c:v>
                </c:pt>
                <c:pt idx="19">
                  <c:v>2029</c:v>
                </c:pt>
                <c:pt idx="20">
                  <c:v>2030</c:v>
                </c:pt>
              </c:numCache>
            </c:numRef>
          </c:cat>
          <c:val>
            <c:numRef>
              <c:f>'w2'!$D$7:$X$7</c:f>
              <c:numCache>
                <c:formatCode>General</c:formatCode>
                <c:ptCount val="21"/>
                <c:pt idx="10">
                  <c:v>39.799999999999997</c:v>
                </c:pt>
                <c:pt idx="11">
                  <c:v>40.283000000000001</c:v>
                </c:pt>
                <c:pt idx="12">
                  <c:v>40.829000000000001</c:v>
                </c:pt>
                <c:pt idx="13">
                  <c:v>41.375</c:v>
                </c:pt>
                <c:pt idx="14">
                  <c:v>41.921000000000006</c:v>
                </c:pt>
                <c:pt idx="15">
                  <c:v>42.466999999999999</c:v>
                </c:pt>
                <c:pt idx="16">
                  <c:v>43.013000000000005</c:v>
                </c:pt>
                <c:pt idx="17">
                  <c:v>43.559000000000005</c:v>
                </c:pt>
                <c:pt idx="18">
                  <c:v>44.105000000000004</c:v>
                </c:pt>
                <c:pt idx="19">
                  <c:v>44.651000000000003</c:v>
                </c:pt>
                <c:pt idx="20" formatCode="0.0">
                  <c:v>45.197000000000003</c:v>
                </c:pt>
              </c:numCache>
            </c:numRef>
          </c:val>
          <c:smooth val="0"/>
          <c:extLst>
            <c:ext xmlns:c16="http://schemas.microsoft.com/office/drawing/2014/chart" uri="{C3380CC4-5D6E-409C-BE32-E72D297353CC}">
              <c16:uniqueId val="{00000003-AB13-4CD1-A5E0-08B258FFB423}"/>
            </c:ext>
          </c:extLst>
        </c:ser>
        <c:dLbls>
          <c:showLegendKey val="0"/>
          <c:showVal val="0"/>
          <c:showCatName val="0"/>
          <c:showSerName val="0"/>
          <c:showPercent val="0"/>
          <c:showBubbleSize val="0"/>
        </c:dLbls>
        <c:smooth val="0"/>
        <c:axId val="783745344"/>
        <c:axId val="783743048"/>
      </c:lineChart>
      <c:catAx>
        <c:axId val="783745344"/>
        <c:scaling>
          <c:orientation val="minMax"/>
        </c:scaling>
        <c:delete val="0"/>
        <c:axPos val="b"/>
        <c:title>
          <c:tx>
            <c:rich>
              <a:bodyPr rot="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pl-PL"/>
                  <a:t>rok</a:t>
                </a:r>
              </a:p>
            </c:rich>
          </c:tx>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title>
        <c:numFmt formatCode="General" sourceLinked="1"/>
        <c:majorTickMark val="none"/>
        <c:minorTickMark val="none"/>
        <c:tickLblPos val="nextTo"/>
        <c:spPr>
          <a:noFill/>
          <a:ln w="12700" cap="flat" cmpd="sng" algn="ctr">
            <a:solidFill>
              <a:schemeClr val="tx1"/>
            </a:solidFill>
            <a:round/>
          </a:ln>
          <a:effectLst/>
        </c:spPr>
        <c:txPr>
          <a:bodyPr rot="-2700000" spcFirstLastPara="1" vertOverflow="ellipsis"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crossAx val="783743048"/>
        <c:crosses val="autoZero"/>
        <c:auto val="1"/>
        <c:lblAlgn val="ctr"/>
        <c:lblOffset val="100"/>
        <c:noMultiLvlLbl val="0"/>
      </c:catAx>
      <c:valAx>
        <c:axId val="783743048"/>
        <c:scaling>
          <c:orientation val="minMax"/>
          <c:min val="20"/>
        </c:scaling>
        <c:delete val="0"/>
        <c:axPos val="l"/>
        <c:majorGridlines>
          <c:spPr>
            <a:ln w="9525" cap="flat" cmpd="sng" algn="ctr">
              <a:solidFill>
                <a:schemeClr val="tx1">
                  <a:lumMod val="15000"/>
                  <a:lumOff val="85000"/>
                </a:schemeClr>
              </a:solidFill>
              <a:round/>
            </a:ln>
            <a:effectLst/>
          </c:spPr>
        </c:majorGridlines>
        <c:title>
          <c:tx>
            <c:strRef>
              <c:f>'w2'!$B$4</c:f>
              <c:strCache>
                <c:ptCount val="1"/>
                <c:pt idx="0">
                  <c:v>Zużycie wody  z wodociągów w gospodarstwach domowyc na 1 mieszkańca, m³</c:v>
                </c:pt>
              </c:strCache>
            </c:strRef>
          </c:tx>
          <c:overlay val="0"/>
          <c:spPr>
            <a:noFill/>
            <a:ln>
              <a:noFill/>
            </a:ln>
            <a:effectLst/>
          </c:spPr>
          <c:txPr>
            <a:bodyPr rot="-54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title>
        <c:numFmt formatCode="0.0" sourceLinked="1"/>
        <c:majorTickMark val="none"/>
        <c:minorTickMark val="none"/>
        <c:tickLblPos val="nextTo"/>
        <c:spPr>
          <a:noFill/>
          <a:ln w="12700">
            <a:solidFill>
              <a:schemeClr val="tx1"/>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crossAx val="78374534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sz="900">
          <a:solidFill>
            <a:sysClr val="windowText" lastClr="000000"/>
          </a:solidFill>
          <a:latin typeface="Arial" panose="020B0604020202020204" pitchFamily="34" charset="0"/>
          <a:cs typeface="Arial" panose="020B0604020202020204" pitchFamily="34" charset="0"/>
        </a:defRPr>
      </a:pPr>
      <a:endParaRPr lang="pl-PL"/>
    </a:p>
  </c:txPr>
  <c:externalData r:id="rId3">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4287994718311534"/>
          <c:y val="5.0925925925925923E-2"/>
          <c:w val="0.83622047244094488"/>
          <c:h val="0.668322761738116"/>
        </c:manualLayout>
      </c:layout>
      <c:lineChart>
        <c:grouping val="standard"/>
        <c:varyColors val="0"/>
        <c:ser>
          <c:idx val="0"/>
          <c:order val="0"/>
          <c:tx>
            <c:strRef>
              <c:f>'w3'!$C$6</c:f>
              <c:strCache>
                <c:ptCount val="1"/>
                <c:pt idx="0">
                  <c:v>wartość rzeczywista</c:v>
                </c:pt>
              </c:strCache>
            </c:strRef>
          </c:tx>
          <c:spPr>
            <a:ln w="28575" cap="rnd">
              <a:solidFill>
                <a:srgbClr val="51BBB6"/>
              </a:solidFill>
              <a:round/>
            </a:ln>
            <a:effectLst/>
          </c:spPr>
          <c:marker>
            <c:symbol val="none"/>
          </c:marker>
          <c:dLbls>
            <c:dLbl>
              <c:idx val="0"/>
              <c:layout>
                <c:manualLayout>
                  <c:x val="-2.4773597677073829E-2"/>
                  <c:y val="5.13525880828299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447E-4750-8C9A-ABC8B6372B13}"/>
                </c:ext>
              </c:extLst>
            </c:dLbl>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'w3'!$D$5:$X$5</c:f>
              <c:numCache>
                <c:formatCode>General</c:formatCode>
                <c:ptCount val="21"/>
                <c:pt idx="0">
                  <c:v>2010</c:v>
                </c:pt>
                <c:pt idx="1">
                  <c:v>2011</c:v>
                </c:pt>
                <c:pt idx="2">
                  <c:v>2012</c:v>
                </c:pt>
                <c:pt idx="3">
                  <c:v>2013</c:v>
                </c:pt>
                <c:pt idx="4">
                  <c:v>2014</c:v>
                </c:pt>
                <c:pt idx="5">
                  <c:v>2015</c:v>
                </c:pt>
                <c:pt idx="6">
                  <c:v>2016</c:v>
                </c:pt>
                <c:pt idx="7">
                  <c:v>2017</c:v>
                </c:pt>
                <c:pt idx="8">
                  <c:v>2018</c:v>
                </c:pt>
                <c:pt idx="9">
                  <c:v>2019</c:v>
                </c:pt>
                <c:pt idx="10">
                  <c:v>2020</c:v>
                </c:pt>
                <c:pt idx="11">
                  <c:v>2021</c:v>
                </c:pt>
                <c:pt idx="12">
                  <c:v>2022</c:v>
                </c:pt>
                <c:pt idx="13">
                  <c:v>2023</c:v>
                </c:pt>
                <c:pt idx="14">
                  <c:v>2024</c:v>
                </c:pt>
                <c:pt idx="15">
                  <c:v>2025</c:v>
                </c:pt>
                <c:pt idx="16">
                  <c:v>2026</c:v>
                </c:pt>
                <c:pt idx="17">
                  <c:v>2027</c:v>
                </c:pt>
                <c:pt idx="18">
                  <c:v>2028</c:v>
                </c:pt>
                <c:pt idx="19">
                  <c:v>2029</c:v>
                </c:pt>
                <c:pt idx="20">
                  <c:v>2030</c:v>
                </c:pt>
              </c:numCache>
            </c:numRef>
          </c:cat>
          <c:val>
            <c:numRef>
              <c:f>'w3'!$D$6:$X$6</c:f>
              <c:numCache>
                <c:formatCode>General</c:formatCode>
                <c:ptCount val="21"/>
                <c:pt idx="0" formatCode="0.00">
                  <c:v>12.206887117098717</c:v>
                </c:pt>
                <c:pt idx="1">
                  <c:v>12.706831839325998</c:v>
                </c:pt>
                <c:pt idx="2">
                  <c:v>11.341303371361253</c:v>
                </c:pt>
                <c:pt idx="3">
                  <c:v>10.867566016159515</c:v>
                </c:pt>
                <c:pt idx="4">
                  <c:v>9.8194613229541119</c:v>
                </c:pt>
                <c:pt idx="5">
                  <c:v>8.3645726596071768</c:v>
                </c:pt>
                <c:pt idx="6">
                  <c:v>8.5137561613519761</c:v>
                </c:pt>
                <c:pt idx="7">
                  <c:v>6.4540080655353469</c:v>
                </c:pt>
                <c:pt idx="8">
                  <c:v>5.9413993776778042</c:v>
                </c:pt>
                <c:pt idx="9">
                  <c:v>5.1377106718986205</c:v>
                </c:pt>
              </c:numCache>
            </c:numRef>
          </c:val>
          <c:smooth val="0"/>
          <c:extLst>
            <c:ext xmlns:c16="http://schemas.microsoft.com/office/drawing/2014/chart" uri="{C3380CC4-5D6E-409C-BE32-E72D297353CC}">
              <c16:uniqueId val="{00000001-447E-4750-8C9A-ABC8B6372B13}"/>
            </c:ext>
          </c:extLst>
        </c:ser>
        <c:ser>
          <c:idx val="1"/>
          <c:order val="1"/>
          <c:tx>
            <c:strRef>
              <c:f>'w3'!$C$7</c:f>
              <c:strCache>
                <c:ptCount val="1"/>
                <c:pt idx="0">
                  <c:v>wartość prognozowana</c:v>
                </c:pt>
              </c:strCache>
            </c:strRef>
          </c:tx>
          <c:spPr>
            <a:ln w="28575" cap="rnd">
              <a:solidFill>
                <a:srgbClr val="CCA879"/>
              </a:solidFill>
              <a:prstDash val="sysDot"/>
              <a:round/>
            </a:ln>
            <a:effectLst/>
          </c:spPr>
          <c:marker>
            <c:symbol val="none"/>
          </c:marker>
          <c:dLbls>
            <c:dLbl>
              <c:idx val="20"/>
              <c:layout>
                <c:manualLayout>
                  <c:x val="-1.8921566729733556E-2"/>
                  <c:y val="-6.0649630456802162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447E-4750-8C9A-ABC8B6372B13}"/>
                </c:ext>
              </c:extLst>
            </c:dLbl>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'w3'!$D$5:$X$5</c:f>
              <c:numCache>
                <c:formatCode>General</c:formatCode>
                <c:ptCount val="21"/>
                <c:pt idx="0">
                  <c:v>2010</c:v>
                </c:pt>
                <c:pt idx="1">
                  <c:v>2011</c:v>
                </c:pt>
                <c:pt idx="2">
                  <c:v>2012</c:v>
                </c:pt>
                <c:pt idx="3">
                  <c:v>2013</c:v>
                </c:pt>
                <c:pt idx="4">
                  <c:v>2014</c:v>
                </c:pt>
                <c:pt idx="5">
                  <c:v>2015</c:v>
                </c:pt>
                <c:pt idx="6">
                  <c:v>2016</c:v>
                </c:pt>
                <c:pt idx="7">
                  <c:v>2017</c:v>
                </c:pt>
                <c:pt idx="8">
                  <c:v>2018</c:v>
                </c:pt>
                <c:pt idx="9">
                  <c:v>2019</c:v>
                </c:pt>
                <c:pt idx="10">
                  <c:v>2020</c:v>
                </c:pt>
                <c:pt idx="11">
                  <c:v>2021</c:v>
                </c:pt>
                <c:pt idx="12">
                  <c:v>2022</c:v>
                </c:pt>
                <c:pt idx="13">
                  <c:v>2023</c:v>
                </c:pt>
                <c:pt idx="14">
                  <c:v>2024</c:v>
                </c:pt>
                <c:pt idx="15">
                  <c:v>2025</c:v>
                </c:pt>
                <c:pt idx="16">
                  <c:v>2026</c:v>
                </c:pt>
                <c:pt idx="17">
                  <c:v>2027</c:v>
                </c:pt>
                <c:pt idx="18">
                  <c:v>2028</c:v>
                </c:pt>
                <c:pt idx="19">
                  <c:v>2029</c:v>
                </c:pt>
                <c:pt idx="20">
                  <c:v>2030</c:v>
                </c:pt>
              </c:numCache>
            </c:numRef>
          </c:cat>
          <c:val>
            <c:numRef>
              <c:f>'w3'!$D$7:$X$7</c:f>
              <c:numCache>
                <c:formatCode>General</c:formatCode>
                <c:ptCount val="21"/>
                <c:pt idx="9">
                  <c:v>5.1377106718986205</c:v>
                </c:pt>
                <c:pt idx="10">
                  <c:v>4.9922011380278892</c:v>
                </c:pt>
                <c:pt idx="11">
                  <c:v>4.5081051555141807</c:v>
                </c:pt>
                <c:pt idx="12">
                  <c:v>4.0709521774601232</c:v>
                </c:pt>
                <c:pt idx="13">
                  <c:v>3.6761901196772526</c:v>
                </c:pt>
                <c:pt idx="14">
                  <c:v>3.3197083156217047</c:v>
                </c:pt>
                <c:pt idx="15">
                  <c:v>2.9977947119273103</c:v>
                </c:pt>
                <c:pt idx="16">
                  <c:v>2.7070972147070487</c:v>
                </c:pt>
                <c:pt idx="17">
                  <c:v>2.4445887841209712</c:v>
                </c:pt>
                <c:pt idx="18">
                  <c:v>2.207535913739525</c:v>
                </c:pt>
                <c:pt idx="19">
                  <c:v>1.9934701664771475</c:v>
                </c:pt>
                <c:pt idx="20" formatCode="0.00">
                  <c:v>1.8001624706991399</c:v>
                </c:pt>
              </c:numCache>
            </c:numRef>
          </c:val>
          <c:smooth val="0"/>
          <c:extLst>
            <c:ext xmlns:c16="http://schemas.microsoft.com/office/drawing/2014/chart" uri="{C3380CC4-5D6E-409C-BE32-E72D297353CC}">
              <c16:uniqueId val="{00000003-447E-4750-8C9A-ABC8B6372B13}"/>
            </c:ext>
          </c:extLst>
        </c:ser>
        <c:dLbls>
          <c:showLegendKey val="0"/>
          <c:showVal val="0"/>
          <c:showCatName val="0"/>
          <c:showSerName val="0"/>
          <c:showPercent val="0"/>
          <c:showBubbleSize val="0"/>
        </c:dLbls>
        <c:smooth val="0"/>
        <c:axId val="783745344"/>
        <c:axId val="783743048"/>
      </c:lineChart>
      <c:catAx>
        <c:axId val="783745344"/>
        <c:scaling>
          <c:orientation val="minMax"/>
        </c:scaling>
        <c:delete val="0"/>
        <c:axPos val="b"/>
        <c:title>
          <c:tx>
            <c:rich>
              <a:bodyPr rot="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pl-PL"/>
                  <a:t>rok</a:t>
                </a:r>
              </a:p>
            </c:rich>
          </c:tx>
          <c:layout>
            <c:manualLayout>
              <c:xMode val="edge"/>
              <c:yMode val="edge"/>
              <c:x val="0.52679305808049814"/>
              <c:y val="0.83424258339005486"/>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title>
        <c:numFmt formatCode="General" sourceLinked="1"/>
        <c:majorTickMark val="none"/>
        <c:minorTickMark val="none"/>
        <c:tickLblPos val="nextTo"/>
        <c:spPr>
          <a:noFill/>
          <a:ln w="12700" cap="flat" cmpd="sng" algn="ctr">
            <a:solidFill>
              <a:schemeClr val="tx1"/>
            </a:solidFill>
            <a:round/>
          </a:ln>
          <a:effectLst/>
        </c:spPr>
        <c:txPr>
          <a:bodyPr rot="-2700000" spcFirstLastPara="1" vertOverflow="ellipsis"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crossAx val="783743048"/>
        <c:crosses val="autoZero"/>
        <c:auto val="1"/>
        <c:lblAlgn val="ctr"/>
        <c:lblOffset val="100"/>
        <c:noMultiLvlLbl val="0"/>
      </c:catAx>
      <c:valAx>
        <c:axId val="783743048"/>
        <c:scaling>
          <c:orientation val="minMax"/>
        </c:scaling>
        <c:delete val="0"/>
        <c:axPos val="l"/>
        <c:majorGridlines>
          <c:spPr>
            <a:ln w="9525" cap="flat" cmpd="sng" algn="ctr">
              <a:solidFill>
                <a:schemeClr val="tx1">
                  <a:lumMod val="15000"/>
                  <a:lumOff val="85000"/>
                </a:schemeClr>
              </a:solidFill>
              <a:round/>
            </a:ln>
            <a:effectLst/>
          </c:spPr>
        </c:majorGridlines>
        <c:title>
          <c:tx>
            <c:strRef>
              <c:f>'w3'!$B$4</c:f>
              <c:strCache>
                <c:ptCount val="1"/>
                <c:pt idx="0">
                  <c:v>Wodochłonność przemysłu, dam³/mln zł</c:v>
                </c:pt>
              </c:strCache>
            </c:strRef>
          </c:tx>
          <c:overlay val="0"/>
          <c:spPr>
            <a:noFill/>
            <a:ln>
              <a:noFill/>
            </a:ln>
            <a:effectLst/>
          </c:spPr>
          <c:txPr>
            <a:bodyPr rot="-54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title>
        <c:numFmt formatCode="0.00" sourceLinked="1"/>
        <c:majorTickMark val="none"/>
        <c:minorTickMark val="none"/>
        <c:tickLblPos val="nextTo"/>
        <c:spPr>
          <a:noFill/>
          <a:ln w="12700">
            <a:solidFill>
              <a:schemeClr val="tx1"/>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crossAx val="783745344"/>
        <c:crosses val="autoZero"/>
        <c:crossBetween val="between"/>
      </c:valAx>
      <c:spPr>
        <a:noFill/>
        <a:ln>
          <a:noFill/>
        </a:ln>
        <a:effectLst/>
      </c:spPr>
    </c:plotArea>
    <c:legend>
      <c:legendPos val="b"/>
      <c:layout>
        <c:manualLayout>
          <c:xMode val="edge"/>
          <c:yMode val="edge"/>
          <c:x val="0.17904904873480162"/>
          <c:y val="0.88983810204557567"/>
          <c:w val="0.64190171226784398"/>
          <c:h val="8.1267123092878493E-2"/>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sz="900">
          <a:solidFill>
            <a:sysClr val="windowText" lastClr="000000"/>
          </a:solidFill>
          <a:latin typeface="Arial" panose="020B0604020202020204" pitchFamily="34" charset="0"/>
          <a:cs typeface="Arial" panose="020B0604020202020204" pitchFamily="34" charset="0"/>
        </a:defRPr>
      </a:pPr>
      <a:endParaRPr lang="pl-PL"/>
    </a:p>
  </c:txPr>
  <c:externalData r:id="rId3">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2113292172266098"/>
          <c:y val="5.0925925925925923E-2"/>
          <c:w val="0.85796738930420646"/>
          <c:h val="0.668322761738116"/>
        </c:manualLayout>
      </c:layout>
      <c:lineChart>
        <c:grouping val="standard"/>
        <c:varyColors val="0"/>
        <c:ser>
          <c:idx val="0"/>
          <c:order val="0"/>
          <c:tx>
            <c:strRef>
              <c:f>'w4'!$C$6</c:f>
              <c:strCache>
                <c:ptCount val="1"/>
                <c:pt idx="0">
                  <c:v>wartość rzeczywista</c:v>
                </c:pt>
              </c:strCache>
            </c:strRef>
          </c:tx>
          <c:spPr>
            <a:ln w="28575" cap="rnd">
              <a:solidFill>
                <a:schemeClr val="accent1"/>
              </a:solidFill>
              <a:round/>
            </a:ln>
            <a:effectLst/>
          </c:spPr>
          <c:marker>
            <c:symbol val="none"/>
          </c:marker>
          <c:dLbls>
            <c:dLbl>
              <c:idx val="0"/>
              <c:layout>
                <c:manualLayout>
                  <c:x val="-2.1525040656056153E-2"/>
                  <c:y val="5.280528052805280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28A1-43A4-89A8-3E01DE7F2EBF}"/>
                </c:ext>
              </c:extLst>
            </c:dLbl>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'w4'!$D$5:$X$5</c:f>
              <c:numCache>
                <c:formatCode>General</c:formatCode>
                <c:ptCount val="21"/>
                <c:pt idx="0">
                  <c:v>2010</c:v>
                </c:pt>
                <c:pt idx="1">
                  <c:v>2011</c:v>
                </c:pt>
                <c:pt idx="2">
                  <c:v>2012</c:v>
                </c:pt>
                <c:pt idx="3">
                  <c:v>2013</c:v>
                </c:pt>
                <c:pt idx="4">
                  <c:v>2014</c:v>
                </c:pt>
                <c:pt idx="5">
                  <c:v>2015</c:v>
                </c:pt>
                <c:pt idx="6">
                  <c:v>2016</c:v>
                </c:pt>
                <c:pt idx="7">
                  <c:v>2017</c:v>
                </c:pt>
                <c:pt idx="8">
                  <c:v>2018</c:v>
                </c:pt>
                <c:pt idx="9">
                  <c:v>2019</c:v>
                </c:pt>
                <c:pt idx="10">
                  <c:v>2020</c:v>
                </c:pt>
                <c:pt idx="11">
                  <c:v>2021</c:v>
                </c:pt>
                <c:pt idx="12">
                  <c:v>2022</c:v>
                </c:pt>
                <c:pt idx="13">
                  <c:v>2023</c:v>
                </c:pt>
                <c:pt idx="14">
                  <c:v>2024</c:v>
                </c:pt>
                <c:pt idx="15">
                  <c:v>2025</c:v>
                </c:pt>
                <c:pt idx="16">
                  <c:v>2026</c:v>
                </c:pt>
                <c:pt idx="17">
                  <c:v>2027</c:v>
                </c:pt>
                <c:pt idx="18">
                  <c:v>2028</c:v>
                </c:pt>
                <c:pt idx="19">
                  <c:v>2029</c:v>
                </c:pt>
                <c:pt idx="20">
                  <c:v>2030</c:v>
                </c:pt>
              </c:numCache>
            </c:numRef>
          </c:cat>
          <c:val>
            <c:numRef>
              <c:f>'w4'!$D$6:$X$6</c:f>
              <c:numCache>
                <c:formatCode>General</c:formatCode>
                <c:ptCount val="21"/>
                <c:pt idx="0" formatCode="0.00">
                  <c:v>11.343769574861641</c:v>
                </c:pt>
                <c:pt idx="1">
                  <c:v>12.24067359978249</c:v>
                </c:pt>
                <c:pt idx="2">
                  <c:v>11.027322844360175</c:v>
                </c:pt>
                <c:pt idx="3">
                  <c:v>10.871254805571311</c:v>
                </c:pt>
                <c:pt idx="4">
                  <c:v>10.061568734131303</c:v>
                </c:pt>
                <c:pt idx="5">
                  <c:v>8.528326819597849</c:v>
                </c:pt>
                <c:pt idx="6">
                  <c:v>8.9368719549330091</c:v>
                </c:pt>
                <c:pt idx="7">
                  <c:v>7.1675446303867538</c:v>
                </c:pt>
                <c:pt idx="8">
                  <c:v>6.5391920841538971</c:v>
                </c:pt>
              </c:numCache>
            </c:numRef>
          </c:val>
          <c:smooth val="0"/>
          <c:extLst>
            <c:ext xmlns:c16="http://schemas.microsoft.com/office/drawing/2014/chart" uri="{C3380CC4-5D6E-409C-BE32-E72D297353CC}">
              <c16:uniqueId val="{00000001-28A1-43A4-89A8-3E01DE7F2EBF}"/>
            </c:ext>
          </c:extLst>
        </c:ser>
        <c:ser>
          <c:idx val="1"/>
          <c:order val="1"/>
          <c:tx>
            <c:strRef>
              <c:f>'w4'!$C$7</c:f>
              <c:strCache>
                <c:ptCount val="1"/>
                <c:pt idx="0">
                  <c:v>wartość prognozowana</c:v>
                </c:pt>
              </c:strCache>
            </c:strRef>
          </c:tx>
          <c:spPr>
            <a:ln w="28575" cap="rnd">
              <a:solidFill>
                <a:schemeClr val="accent2"/>
              </a:solidFill>
              <a:prstDash val="sysDot"/>
              <a:round/>
            </a:ln>
            <a:effectLst/>
          </c:spPr>
          <c:marker>
            <c:symbol val="none"/>
          </c:marker>
          <c:dLbls>
            <c:dLbl>
              <c:idx val="20"/>
              <c:layout>
                <c:manualLayout>
                  <c:x val="-1.7937533880046767E-2"/>
                  <c:y val="6.160616061606160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28A1-43A4-89A8-3E01DE7F2EBF}"/>
                </c:ext>
              </c:extLst>
            </c:dLbl>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'w4'!$D$5:$X$5</c:f>
              <c:numCache>
                <c:formatCode>General</c:formatCode>
                <c:ptCount val="21"/>
                <c:pt idx="0">
                  <c:v>2010</c:v>
                </c:pt>
                <c:pt idx="1">
                  <c:v>2011</c:v>
                </c:pt>
                <c:pt idx="2">
                  <c:v>2012</c:v>
                </c:pt>
                <c:pt idx="3">
                  <c:v>2013</c:v>
                </c:pt>
                <c:pt idx="4">
                  <c:v>2014</c:v>
                </c:pt>
                <c:pt idx="5">
                  <c:v>2015</c:v>
                </c:pt>
                <c:pt idx="6">
                  <c:v>2016</c:v>
                </c:pt>
                <c:pt idx="7">
                  <c:v>2017</c:v>
                </c:pt>
                <c:pt idx="8">
                  <c:v>2018</c:v>
                </c:pt>
                <c:pt idx="9">
                  <c:v>2019</c:v>
                </c:pt>
                <c:pt idx="10">
                  <c:v>2020</c:v>
                </c:pt>
                <c:pt idx="11">
                  <c:v>2021</c:v>
                </c:pt>
                <c:pt idx="12">
                  <c:v>2022</c:v>
                </c:pt>
                <c:pt idx="13">
                  <c:v>2023</c:v>
                </c:pt>
                <c:pt idx="14">
                  <c:v>2024</c:v>
                </c:pt>
                <c:pt idx="15">
                  <c:v>2025</c:v>
                </c:pt>
                <c:pt idx="16">
                  <c:v>2026</c:v>
                </c:pt>
                <c:pt idx="17">
                  <c:v>2027</c:v>
                </c:pt>
                <c:pt idx="18">
                  <c:v>2028</c:v>
                </c:pt>
                <c:pt idx="19">
                  <c:v>2029</c:v>
                </c:pt>
                <c:pt idx="20">
                  <c:v>2030</c:v>
                </c:pt>
              </c:numCache>
            </c:numRef>
          </c:cat>
          <c:val>
            <c:numRef>
              <c:f>'w4'!$D$7:$X$7</c:f>
              <c:numCache>
                <c:formatCode>General</c:formatCode>
                <c:ptCount val="21"/>
                <c:pt idx="8">
                  <c:v>6.5391920841538971</c:v>
                </c:pt>
                <c:pt idx="9">
                  <c:v>6.217630049474038</c:v>
                </c:pt>
                <c:pt idx="10">
                  <c:v>7.3868513961997548</c:v>
                </c:pt>
                <c:pt idx="11">
                  <c:v>7.1862901722386585</c:v>
                </c:pt>
                <c:pt idx="12">
                  <c:v>7.0017917310511573</c:v>
                </c:pt>
                <c:pt idx="13">
                  <c:v>6.830972855236829</c:v>
                </c:pt>
                <c:pt idx="14">
                  <c:v>6.6719442864594054</c:v>
                </c:pt>
                <c:pt idx="15">
                  <c:v>6.5231829952373035</c:v>
                </c:pt>
                <c:pt idx="16">
                  <c:v>6.3834432419504212</c:v>
                </c:pt>
                <c:pt idx="17">
                  <c:v>6.2516930980493397</c:v>
                </c:pt>
                <c:pt idx="18">
                  <c:v>6.1270681530213542</c:v>
                </c:pt>
                <c:pt idx="19">
                  <c:v>6.0088371094580504</c:v>
                </c:pt>
                <c:pt idx="20" formatCode="0.00">
                  <c:v>5.8963757810475093</c:v>
                </c:pt>
              </c:numCache>
            </c:numRef>
          </c:val>
          <c:smooth val="0"/>
          <c:extLst>
            <c:ext xmlns:c16="http://schemas.microsoft.com/office/drawing/2014/chart" uri="{C3380CC4-5D6E-409C-BE32-E72D297353CC}">
              <c16:uniqueId val="{00000003-28A1-43A4-89A8-3E01DE7F2EBF}"/>
            </c:ext>
          </c:extLst>
        </c:ser>
        <c:dLbls>
          <c:showLegendKey val="0"/>
          <c:showVal val="0"/>
          <c:showCatName val="0"/>
          <c:showSerName val="0"/>
          <c:showPercent val="0"/>
          <c:showBubbleSize val="0"/>
        </c:dLbls>
        <c:smooth val="0"/>
        <c:axId val="783745344"/>
        <c:axId val="783743048"/>
      </c:lineChart>
      <c:catAx>
        <c:axId val="783745344"/>
        <c:scaling>
          <c:orientation val="minMax"/>
        </c:scaling>
        <c:delete val="0"/>
        <c:axPos val="b"/>
        <c:title>
          <c:tx>
            <c:rich>
              <a:bodyPr rot="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pl-PL"/>
                  <a:t>rok</a:t>
                </a:r>
              </a:p>
            </c:rich>
          </c:tx>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title>
        <c:numFmt formatCode="General" sourceLinked="1"/>
        <c:majorTickMark val="none"/>
        <c:minorTickMark val="none"/>
        <c:tickLblPos val="nextTo"/>
        <c:spPr>
          <a:noFill/>
          <a:ln w="12700" cap="flat" cmpd="sng" algn="ctr">
            <a:solidFill>
              <a:schemeClr val="tx1"/>
            </a:solidFill>
            <a:round/>
          </a:ln>
          <a:effectLst/>
        </c:spPr>
        <c:txPr>
          <a:bodyPr rot="-2700000" spcFirstLastPara="1" vertOverflow="ellipsis"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crossAx val="783743048"/>
        <c:crosses val="autoZero"/>
        <c:auto val="1"/>
        <c:lblAlgn val="ctr"/>
        <c:lblOffset val="100"/>
        <c:noMultiLvlLbl val="0"/>
      </c:catAx>
      <c:valAx>
        <c:axId val="783743048"/>
        <c:scaling>
          <c:orientation val="minMax"/>
        </c:scaling>
        <c:delete val="0"/>
        <c:axPos val="l"/>
        <c:majorGridlines>
          <c:spPr>
            <a:ln w="9525" cap="flat" cmpd="sng" algn="ctr">
              <a:solidFill>
                <a:schemeClr val="tx1">
                  <a:lumMod val="15000"/>
                  <a:lumOff val="85000"/>
                </a:schemeClr>
              </a:solidFill>
              <a:round/>
            </a:ln>
            <a:effectLst/>
          </c:spPr>
        </c:majorGridlines>
        <c:title>
          <c:tx>
            <c:strRef>
              <c:f>'w4'!$B$4</c:f>
              <c:strCache>
                <c:ptCount val="1"/>
                <c:pt idx="0">
                  <c:v>Wodochłonność gospodarki, dam³/mln zł</c:v>
                </c:pt>
              </c:strCache>
            </c:strRef>
          </c:tx>
          <c:overlay val="0"/>
          <c:spPr>
            <a:noFill/>
            <a:ln>
              <a:noFill/>
            </a:ln>
            <a:effectLst/>
          </c:spPr>
          <c:txPr>
            <a:bodyPr rot="-54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title>
        <c:numFmt formatCode="0.00" sourceLinked="1"/>
        <c:majorTickMark val="none"/>
        <c:minorTickMark val="none"/>
        <c:tickLblPos val="nextTo"/>
        <c:spPr>
          <a:noFill/>
          <a:ln w="12700">
            <a:solidFill>
              <a:schemeClr val="tx1"/>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crossAx val="78374534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sz="900">
          <a:solidFill>
            <a:sysClr val="windowText" lastClr="000000"/>
          </a:solidFill>
          <a:latin typeface="Arial" panose="020B0604020202020204" pitchFamily="34" charset="0"/>
          <a:cs typeface="Arial" panose="020B0604020202020204" pitchFamily="34" charset="0"/>
        </a:defRPr>
      </a:pPr>
      <a:endParaRPr lang="pl-PL"/>
    </a:p>
  </c:txPr>
  <c:externalData r:id="rId3">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2113292172266098"/>
          <c:y val="5.0925925925925923E-2"/>
          <c:w val="0.85796738930420646"/>
          <c:h val="0.668322761738116"/>
        </c:manualLayout>
      </c:layout>
      <c:lineChart>
        <c:grouping val="standard"/>
        <c:varyColors val="0"/>
        <c:ser>
          <c:idx val="0"/>
          <c:order val="0"/>
          <c:tx>
            <c:strRef>
              <c:f>'w5'!$C$6</c:f>
              <c:strCache>
                <c:ptCount val="1"/>
                <c:pt idx="0">
                  <c:v>wartość rzeczywista</c:v>
                </c:pt>
              </c:strCache>
            </c:strRef>
          </c:tx>
          <c:spPr>
            <a:ln w="28575" cap="rnd">
              <a:solidFill>
                <a:srgbClr val="51BBB6"/>
              </a:solidFill>
              <a:round/>
            </a:ln>
            <a:effectLst/>
          </c:spPr>
          <c:marker>
            <c:symbol val="none"/>
          </c:marker>
          <c:dLbls>
            <c:dLbl>
              <c:idx val="0"/>
              <c:layout>
                <c:manualLayout>
                  <c:x val="-2.157572136739672E-2"/>
                  <c:y val="9.414644320870213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1291-4794-B571-764531034267}"/>
                </c:ext>
              </c:extLst>
            </c:dLbl>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'w5'!$D$5:$X$5</c:f>
              <c:numCache>
                <c:formatCode>General</c:formatCode>
                <c:ptCount val="21"/>
                <c:pt idx="0">
                  <c:v>2010</c:v>
                </c:pt>
                <c:pt idx="1">
                  <c:v>2011</c:v>
                </c:pt>
                <c:pt idx="2">
                  <c:v>2012</c:v>
                </c:pt>
                <c:pt idx="3">
                  <c:v>2013</c:v>
                </c:pt>
                <c:pt idx="4">
                  <c:v>2014</c:v>
                </c:pt>
                <c:pt idx="5">
                  <c:v>2015</c:v>
                </c:pt>
                <c:pt idx="6">
                  <c:v>2016</c:v>
                </c:pt>
                <c:pt idx="7">
                  <c:v>2017</c:v>
                </c:pt>
                <c:pt idx="8">
                  <c:v>2018</c:v>
                </c:pt>
                <c:pt idx="9">
                  <c:v>2019</c:v>
                </c:pt>
                <c:pt idx="10">
                  <c:v>2020</c:v>
                </c:pt>
                <c:pt idx="11">
                  <c:v>2021</c:v>
                </c:pt>
                <c:pt idx="12">
                  <c:v>2022</c:v>
                </c:pt>
                <c:pt idx="13">
                  <c:v>2023</c:v>
                </c:pt>
                <c:pt idx="14">
                  <c:v>2024</c:v>
                </c:pt>
                <c:pt idx="15">
                  <c:v>2025</c:v>
                </c:pt>
                <c:pt idx="16">
                  <c:v>2026</c:v>
                </c:pt>
                <c:pt idx="17">
                  <c:v>2027</c:v>
                </c:pt>
                <c:pt idx="18">
                  <c:v>2028</c:v>
                </c:pt>
                <c:pt idx="19">
                  <c:v>2029</c:v>
                </c:pt>
                <c:pt idx="20">
                  <c:v>2030</c:v>
                </c:pt>
              </c:numCache>
            </c:numRef>
          </c:cat>
          <c:val>
            <c:numRef>
              <c:f>'w5'!$D$6:$X$6</c:f>
              <c:numCache>
                <c:formatCode>General</c:formatCode>
                <c:ptCount val="21"/>
                <c:pt idx="0" formatCode="0.00">
                  <c:v>3.12475668941891</c:v>
                </c:pt>
                <c:pt idx="1">
                  <c:v>2.9740950253708514</c:v>
                </c:pt>
                <c:pt idx="2">
                  <c:v>2.6766384569966544</c:v>
                </c:pt>
                <c:pt idx="3">
                  <c:v>2.6521026761332607</c:v>
                </c:pt>
                <c:pt idx="4">
                  <c:v>2.6595973964395019</c:v>
                </c:pt>
                <c:pt idx="5">
                  <c:v>2.6866172094387859</c:v>
                </c:pt>
                <c:pt idx="6">
                  <c:v>2.6446953514393243</c:v>
                </c:pt>
                <c:pt idx="7">
                  <c:v>2.4265234330672922</c:v>
                </c:pt>
                <c:pt idx="8">
                  <c:v>2.5322768327145786</c:v>
                </c:pt>
                <c:pt idx="9">
                  <c:v>2.3714</c:v>
                </c:pt>
                <c:pt idx="10">
                  <c:v>2.3039999999999998</c:v>
                </c:pt>
              </c:numCache>
            </c:numRef>
          </c:val>
          <c:smooth val="0"/>
          <c:extLst>
            <c:ext xmlns:c16="http://schemas.microsoft.com/office/drawing/2014/chart" uri="{C3380CC4-5D6E-409C-BE32-E72D297353CC}">
              <c16:uniqueId val="{00000001-1291-4794-B571-764531034267}"/>
            </c:ext>
          </c:extLst>
        </c:ser>
        <c:ser>
          <c:idx val="1"/>
          <c:order val="1"/>
          <c:tx>
            <c:strRef>
              <c:f>'w5'!$C$7</c:f>
              <c:strCache>
                <c:ptCount val="1"/>
                <c:pt idx="0">
                  <c:v>wartość prognozowana</c:v>
                </c:pt>
              </c:strCache>
            </c:strRef>
          </c:tx>
          <c:spPr>
            <a:ln w="28575" cap="rnd">
              <a:solidFill>
                <a:srgbClr val="CCA879"/>
              </a:solidFill>
              <a:prstDash val="sysDot"/>
              <a:round/>
            </a:ln>
            <a:effectLst/>
          </c:spPr>
          <c:marker>
            <c:symbol val="none"/>
          </c:marker>
          <c:dLbls>
            <c:dLbl>
              <c:idx val="20"/>
              <c:layout>
                <c:manualLayout>
                  <c:x val="-2.337369814801326E-2"/>
                  <c:y val="5.991137295099221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1291-4794-B571-764531034267}"/>
                </c:ext>
              </c:extLst>
            </c:dLbl>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'w5'!$D$5:$X$5</c:f>
              <c:numCache>
                <c:formatCode>General</c:formatCode>
                <c:ptCount val="21"/>
                <c:pt idx="0">
                  <c:v>2010</c:v>
                </c:pt>
                <c:pt idx="1">
                  <c:v>2011</c:v>
                </c:pt>
                <c:pt idx="2">
                  <c:v>2012</c:v>
                </c:pt>
                <c:pt idx="3">
                  <c:v>2013</c:v>
                </c:pt>
                <c:pt idx="4">
                  <c:v>2014</c:v>
                </c:pt>
                <c:pt idx="5">
                  <c:v>2015</c:v>
                </c:pt>
                <c:pt idx="6">
                  <c:v>2016</c:v>
                </c:pt>
                <c:pt idx="7">
                  <c:v>2017</c:v>
                </c:pt>
                <c:pt idx="8">
                  <c:v>2018</c:v>
                </c:pt>
                <c:pt idx="9">
                  <c:v>2019</c:v>
                </c:pt>
                <c:pt idx="10">
                  <c:v>2020</c:v>
                </c:pt>
                <c:pt idx="11">
                  <c:v>2021</c:v>
                </c:pt>
                <c:pt idx="12">
                  <c:v>2022</c:v>
                </c:pt>
                <c:pt idx="13">
                  <c:v>2023</c:v>
                </c:pt>
                <c:pt idx="14">
                  <c:v>2024</c:v>
                </c:pt>
                <c:pt idx="15">
                  <c:v>2025</c:v>
                </c:pt>
                <c:pt idx="16">
                  <c:v>2026</c:v>
                </c:pt>
                <c:pt idx="17">
                  <c:v>2027</c:v>
                </c:pt>
                <c:pt idx="18">
                  <c:v>2028</c:v>
                </c:pt>
                <c:pt idx="19">
                  <c:v>2029</c:v>
                </c:pt>
                <c:pt idx="20">
                  <c:v>2030</c:v>
                </c:pt>
              </c:numCache>
            </c:numRef>
          </c:cat>
          <c:val>
            <c:numRef>
              <c:f>'w5'!$D$7:$X$7</c:f>
              <c:numCache>
                <c:formatCode>General</c:formatCode>
                <c:ptCount val="21"/>
                <c:pt idx="10">
                  <c:v>2.3039999999999998</c:v>
                </c:pt>
                <c:pt idx="11">
                  <c:v>2.2366000000000001</c:v>
                </c:pt>
                <c:pt idx="12">
                  <c:v>2.1692</c:v>
                </c:pt>
                <c:pt idx="13">
                  <c:v>2.1017999999999999</c:v>
                </c:pt>
                <c:pt idx="14">
                  <c:v>2.0343999999999998</c:v>
                </c:pt>
                <c:pt idx="15">
                  <c:v>1.9669999999999999</c:v>
                </c:pt>
                <c:pt idx="16">
                  <c:v>1.8996</c:v>
                </c:pt>
                <c:pt idx="17">
                  <c:v>1.8321999999999998</c:v>
                </c:pt>
                <c:pt idx="18">
                  <c:v>1.7647999999999999</c:v>
                </c:pt>
                <c:pt idx="19">
                  <c:v>1.6973999999999998</c:v>
                </c:pt>
                <c:pt idx="20">
                  <c:v>1.63</c:v>
                </c:pt>
              </c:numCache>
            </c:numRef>
          </c:val>
          <c:smooth val="0"/>
          <c:extLst>
            <c:ext xmlns:c16="http://schemas.microsoft.com/office/drawing/2014/chart" uri="{C3380CC4-5D6E-409C-BE32-E72D297353CC}">
              <c16:uniqueId val="{00000003-1291-4794-B571-764531034267}"/>
            </c:ext>
          </c:extLst>
        </c:ser>
        <c:dLbls>
          <c:showLegendKey val="0"/>
          <c:showVal val="0"/>
          <c:showCatName val="0"/>
          <c:showSerName val="0"/>
          <c:showPercent val="0"/>
          <c:showBubbleSize val="0"/>
        </c:dLbls>
        <c:smooth val="0"/>
        <c:axId val="783745344"/>
        <c:axId val="783743048"/>
      </c:lineChart>
      <c:catAx>
        <c:axId val="783745344"/>
        <c:scaling>
          <c:orientation val="minMax"/>
        </c:scaling>
        <c:delete val="0"/>
        <c:axPos val="b"/>
        <c:title>
          <c:tx>
            <c:rich>
              <a:bodyPr rot="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pl-PL"/>
                  <a:t>rok</a:t>
                </a:r>
              </a:p>
            </c:rich>
          </c:tx>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title>
        <c:numFmt formatCode="General" sourceLinked="1"/>
        <c:majorTickMark val="none"/>
        <c:minorTickMark val="none"/>
        <c:tickLblPos val="nextTo"/>
        <c:spPr>
          <a:noFill/>
          <a:ln w="12700" cap="flat" cmpd="sng" algn="ctr">
            <a:solidFill>
              <a:schemeClr val="tx1"/>
            </a:solidFill>
            <a:round/>
          </a:ln>
          <a:effectLst/>
        </c:spPr>
        <c:txPr>
          <a:bodyPr rot="-2700000" spcFirstLastPara="1" vertOverflow="ellipsis"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crossAx val="783743048"/>
        <c:crosses val="autoZero"/>
        <c:auto val="1"/>
        <c:lblAlgn val="ctr"/>
        <c:lblOffset val="100"/>
        <c:noMultiLvlLbl val="0"/>
      </c:catAx>
      <c:valAx>
        <c:axId val="783743048"/>
        <c:scaling>
          <c:orientation val="minMax"/>
        </c:scaling>
        <c:delete val="0"/>
        <c:axPos val="l"/>
        <c:majorGridlines>
          <c:spPr>
            <a:ln w="9525" cap="flat" cmpd="sng" algn="ctr">
              <a:solidFill>
                <a:schemeClr val="tx1">
                  <a:lumMod val="15000"/>
                  <a:lumOff val="85000"/>
                </a:schemeClr>
              </a:solidFill>
              <a:round/>
            </a:ln>
            <a:effectLst/>
          </c:spPr>
        </c:majorGridlines>
        <c:title>
          <c:tx>
            <c:strRef>
              <c:f>'w5'!$B$4</c:f>
              <c:strCache>
                <c:ptCount val="1"/>
                <c:pt idx="0">
                  <c:v>Wodochłonność gospodarstw domowych, dam³/mln zł</c:v>
                </c:pt>
              </c:strCache>
            </c:strRef>
          </c:tx>
          <c:overlay val="0"/>
          <c:spPr>
            <a:noFill/>
            <a:ln>
              <a:noFill/>
            </a:ln>
            <a:effectLst/>
          </c:spPr>
          <c:txPr>
            <a:bodyPr rot="-54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title>
        <c:numFmt formatCode="0.00" sourceLinked="1"/>
        <c:majorTickMark val="none"/>
        <c:minorTickMark val="none"/>
        <c:tickLblPos val="nextTo"/>
        <c:spPr>
          <a:noFill/>
          <a:ln w="12700">
            <a:solidFill>
              <a:schemeClr val="tx1"/>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crossAx val="78374534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sz="900">
          <a:solidFill>
            <a:sysClr val="windowText" lastClr="000000"/>
          </a:solidFill>
          <a:latin typeface="Arial" panose="020B0604020202020204" pitchFamily="34" charset="0"/>
          <a:cs typeface="Arial" panose="020B0604020202020204" pitchFamily="34" charset="0"/>
        </a:defRPr>
      </a:pPr>
      <a:endParaRPr lang="pl-PL"/>
    </a:p>
  </c:txPr>
  <c:externalData r:id="rId3">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4583255414545407"/>
          <c:y val="5.0925925925925923E-2"/>
          <c:w val="0.83326775688141319"/>
          <c:h val="0.668322761738116"/>
        </c:manualLayout>
      </c:layout>
      <c:lineChart>
        <c:grouping val="standard"/>
        <c:varyColors val="0"/>
        <c:ser>
          <c:idx val="0"/>
          <c:order val="0"/>
          <c:tx>
            <c:strRef>
              <c:f>'w6'!$C$6</c:f>
              <c:strCache>
                <c:ptCount val="1"/>
                <c:pt idx="0">
                  <c:v>wartość rzeczywista</c:v>
                </c:pt>
              </c:strCache>
            </c:strRef>
          </c:tx>
          <c:spPr>
            <a:ln w="28575" cap="rnd">
              <a:solidFill>
                <a:schemeClr val="accent1"/>
              </a:solidFill>
              <a:round/>
            </a:ln>
            <a:effectLst/>
          </c:spPr>
          <c:marker>
            <c:symbol val="none"/>
          </c:marker>
          <c:dLbls>
            <c:dLbl>
              <c:idx val="0"/>
              <c:layout>
                <c:manualLayout>
                  <c:x val="-2.4191774796569188E-2"/>
                  <c:y val="4.69728601252609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BE93-46F7-AA1D-33727BAC962E}"/>
                </c:ext>
              </c:extLst>
            </c:dLbl>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'w6'!$D$5:$X$5</c:f>
              <c:numCache>
                <c:formatCode>General</c:formatCode>
                <c:ptCount val="21"/>
                <c:pt idx="0">
                  <c:v>2010</c:v>
                </c:pt>
                <c:pt idx="1">
                  <c:v>2011</c:v>
                </c:pt>
                <c:pt idx="2">
                  <c:v>2012</c:v>
                </c:pt>
                <c:pt idx="3">
                  <c:v>2013</c:v>
                </c:pt>
                <c:pt idx="4">
                  <c:v>2014</c:v>
                </c:pt>
                <c:pt idx="5">
                  <c:v>2015</c:v>
                </c:pt>
                <c:pt idx="6">
                  <c:v>2016</c:v>
                </c:pt>
                <c:pt idx="7">
                  <c:v>2017</c:v>
                </c:pt>
                <c:pt idx="8">
                  <c:v>2018</c:v>
                </c:pt>
                <c:pt idx="9">
                  <c:v>2019</c:v>
                </c:pt>
                <c:pt idx="10">
                  <c:v>2020</c:v>
                </c:pt>
                <c:pt idx="11">
                  <c:v>2021</c:v>
                </c:pt>
                <c:pt idx="12">
                  <c:v>2022</c:v>
                </c:pt>
                <c:pt idx="13">
                  <c:v>2023</c:v>
                </c:pt>
                <c:pt idx="14">
                  <c:v>2024</c:v>
                </c:pt>
                <c:pt idx="15">
                  <c:v>2025</c:v>
                </c:pt>
                <c:pt idx="16">
                  <c:v>2026</c:v>
                </c:pt>
                <c:pt idx="17">
                  <c:v>2027</c:v>
                </c:pt>
                <c:pt idx="18">
                  <c:v>2028</c:v>
                </c:pt>
                <c:pt idx="19">
                  <c:v>2029</c:v>
                </c:pt>
                <c:pt idx="20">
                  <c:v>2030</c:v>
                </c:pt>
              </c:numCache>
            </c:numRef>
          </c:cat>
          <c:val>
            <c:numRef>
              <c:f>'w6'!$D$6:$X$6</c:f>
              <c:numCache>
                <c:formatCode>General</c:formatCode>
                <c:ptCount val="21"/>
                <c:pt idx="0" formatCode="0.00">
                  <c:v>1.3341160000000001</c:v>
                </c:pt>
                <c:pt idx="1">
                  <c:v>1.616228</c:v>
                </c:pt>
                <c:pt idx="2">
                  <c:v>1.5220899999999999</c:v>
                </c:pt>
                <c:pt idx="3">
                  <c:v>1.5251999999999999</c:v>
                </c:pt>
                <c:pt idx="4">
                  <c:v>1.4645619999999999</c:v>
                </c:pt>
                <c:pt idx="5">
                  <c:v>1.327701</c:v>
                </c:pt>
                <c:pt idx="6">
                  <c:v>1.4545999999999999</c:v>
                </c:pt>
                <c:pt idx="7">
                  <c:v>1.2044809999999999</c:v>
                </c:pt>
                <c:pt idx="8">
                  <c:v>1.146496</c:v>
                </c:pt>
                <c:pt idx="9">
                  <c:v>1.0748869999999999</c:v>
                </c:pt>
                <c:pt idx="10">
                  <c:v>1.0685180000000001</c:v>
                </c:pt>
              </c:numCache>
            </c:numRef>
          </c:val>
          <c:smooth val="0"/>
          <c:extLst>
            <c:ext xmlns:c16="http://schemas.microsoft.com/office/drawing/2014/chart" uri="{C3380CC4-5D6E-409C-BE32-E72D297353CC}">
              <c16:uniqueId val="{00000001-BE93-46F7-AA1D-33727BAC962E}"/>
            </c:ext>
          </c:extLst>
        </c:ser>
        <c:ser>
          <c:idx val="1"/>
          <c:order val="1"/>
          <c:tx>
            <c:strRef>
              <c:f>'w6'!$C$7</c:f>
              <c:strCache>
                <c:ptCount val="1"/>
                <c:pt idx="0">
                  <c:v>wartość prognozowana</c:v>
                </c:pt>
              </c:strCache>
            </c:strRef>
          </c:tx>
          <c:spPr>
            <a:ln w="28575" cap="rnd">
              <a:solidFill>
                <a:schemeClr val="accent2"/>
              </a:solidFill>
              <a:prstDash val="sysDot"/>
              <a:round/>
            </a:ln>
            <a:effectLst/>
          </c:spPr>
          <c:marker>
            <c:symbol val="none"/>
          </c:marker>
          <c:dLbls>
            <c:dLbl>
              <c:idx val="20"/>
              <c:layout>
                <c:manualLayout>
                  <c:x val="-1.9777744586780471E-2"/>
                  <c:y val="-6.419073510353746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BE93-46F7-AA1D-33727BAC962E}"/>
                </c:ext>
              </c:extLst>
            </c:dLbl>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'w6'!$D$5:$X$5</c:f>
              <c:numCache>
                <c:formatCode>General</c:formatCode>
                <c:ptCount val="21"/>
                <c:pt idx="0">
                  <c:v>2010</c:v>
                </c:pt>
                <c:pt idx="1">
                  <c:v>2011</c:v>
                </c:pt>
                <c:pt idx="2">
                  <c:v>2012</c:v>
                </c:pt>
                <c:pt idx="3">
                  <c:v>2013</c:v>
                </c:pt>
                <c:pt idx="4">
                  <c:v>2014</c:v>
                </c:pt>
                <c:pt idx="5">
                  <c:v>2015</c:v>
                </c:pt>
                <c:pt idx="6">
                  <c:v>2016</c:v>
                </c:pt>
                <c:pt idx="7">
                  <c:v>2017</c:v>
                </c:pt>
                <c:pt idx="8">
                  <c:v>2018</c:v>
                </c:pt>
                <c:pt idx="9">
                  <c:v>2019</c:v>
                </c:pt>
                <c:pt idx="10">
                  <c:v>2020</c:v>
                </c:pt>
                <c:pt idx="11">
                  <c:v>2021</c:v>
                </c:pt>
                <c:pt idx="12">
                  <c:v>2022</c:v>
                </c:pt>
                <c:pt idx="13">
                  <c:v>2023</c:v>
                </c:pt>
                <c:pt idx="14">
                  <c:v>2024</c:v>
                </c:pt>
                <c:pt idx="15">
                  <c:v>2025</c:v>
                </c:pt>
                <c:pt idx="16">
                  <c:v>2026</c:v>
                </c:pt>
                <c:pt idx="17">
                  <c:v>2027</c:v>
                </c:pt>
                <c:pt idx="18">
                  <c:v>2028</c:v>
                </c:pt>
                <c:pt idx="19">
                  <c:v>2029</c:v>
                </c:pt>
                <c:pt idx="20">
                  <c:v>2030</c:v>
                </c:pt>
              </c:numCache>
            </c:numRef>
          </c:cat>
          <c:val>
            <c:numRef>
              <c:f>'w6'!$D$7:$X$7</c:f>
              <c:numCache>
                <c:formatCode>General</c:formatCode>
                <c:ptCount val="21"/>
                <c:pt idx="10">
                  <c:v>1.0685180000000001</c:v>
                </c:pt>
                <c:pt idx="11">
                  <c:v>1.0526</c:v>
                </c:pt>
                <c:pt idx="12">
                  <c:v>1.0046999999999999</c:v>
                </c:pt>
                <c:pt idx="13">
                  <c:v>0.95679999999999998</c:v>
                </c:pt>
                <c:pt idx="14">
                  <c:v>0.90890000000000004</c:v>
                </c:pt>
                <c:pt idx="15">
                  <c:v>0.86099999999999999</c:v>
                </c:pt>
                <c:pt idx="16">
                  <c:v>0.81309999999999993</c:v>
                </c:pt>
                <c:pt idx="17">
                  <c:v>0.76519999999999999</c:v>
                </c:pt>
                <c:pt idx="18">
                  <c:v>0.71730000000000005</c:v>
                </c:pt>
                <c:pt idx="19">
                  <c:v>0.6694</c:v>
                </c:pt>
                <c:pt idx="20" formatCode="0.00">
                  <c:v>0.62149999999999994</c:v>
                </c:pt>
              </c:numCache>
            </c:numRef>
          </c:val>
          <c:smooth val="0"/>
          <c:extLst>
            <c:ext xmlns:c16="http://schemas.microsoft.com/office/drawing/2014/chart" uri="{C3380CC4-5D6E-409C-BE32-E72D297353CC}">
              <c16:uniqueId val="{00000003-BE93-46F7-AA1D-33727BAC962E}"/>
            </c:ext>
          </c:extLst>
        </c:ser>
        <c:dLbls>
          <c:showLegendKey val="0"/>
          <c:showVal val="0"/>
          <c:showCatName val="0"/>
          <c:showSerName val="0"/>
          <c:showPercent val="0"/>
          <c:showBubbleSize val="0"/>
        </c:dLbls>
        <c:smooth val="0"/>
        <c:axId val="783745344"/>
        <c:axId val="783743048"/>
      </c:lineChart>
      <c:catAx>
        <c:axId val="783745344"/>
        <c:scaling>
          <c:orientation val="minMax"/>
        </c:scaling>
        <c:delete val="0"/>
        <c:axPos val="b"/>
        <c:title>
          <c:tx>
            <c:rich>
              <a:bodyPr rot="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pl-PL"/>
                  <a:t>rok</a:t>
                </a:r>
              </a:p>
            </c:rich>
          </c:tx>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title>
        <c:numFmt formatCode="General" sourceLinked="1"/>
        <c:majorTickMark val="none"/>
        <c:minorTickMark val="none"/>
        <c:tickLblPos val="nextTo"/>
        <c:spPr>
          <a:noFill/>
          <a:ln w="12700" cap="flat" cmpd="sng" algn="ctr">
            <a:solidFill>
              <a:schemeClr val="tx1"/>
            </a:solidFill>
            <a:round/>
          </a:ln>
          <a:effectLst/>
        </c:spPr>
        <c:txPr>
          <a:bodyPr rot="-2700000" spcFirstLastPara="1" vertOverflow="ellipsis"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crossAx val="783743048"/>
        <c:crosses val="autoZero"/>
        <c:auto val="1"/>
        <c:lblAlgn val="ctr"/>
        <c:lblOffset val="100"/>
        <c:noMultiLvlLbl val="0"/>
      </c:catAx>
      <c:valAx>
        <c:axId val="783743048"/>
        <c:scaling>
          <c:orientation val="minMax"/>
          <c:max val="2"/>
          <c:min val="0.4"/>
        </c:scaling>
        <c:delete val="0"/>
        <c:axPos val="l"/>
        <c:majorGridlines>
          <c:spPr>
            <a:ln w="9525" cap="flat" cmpd="sng" algn="ctr">
              <a:solidFill>
                <a:schemeClr val="tx1">
                  <a:lumMod val="15000"/>
                  <a:lumOff val="85000"/>
                </a:schemeClr>
              </a:solidFill>
              <a:round/>
            </a:ln>
            <a:effectLst/>
          </c:spPr>
        </c:majorGridlines>
        <c:title>
          <c:tx>
            <c:strRef>
              <c:f>'w6'!$B$4</c:f>
              <c:strCache>
                <c:ptCount val="1"/>
                <c:pt idx="0">
                  <c:v>Ścieki przemysłowe odprowadzone w ciągu roku do sieci kanalizacyjnej, 
mln dam³</c:v>
                </c:pt>
              </c:strCache>
            </c:strRef>
          </c:tx>
          <c:overlay val="0"/>
          <c:spPr>
            <a:noFill/>
            <a:ln>
              <a:noFill/>
            </a:ln>
            <a:effectLst/>
          </c:spPr>
          <c:txPr>
            <a:bodyPr rot="-54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title>
        <c:numFmt formatCode="#,##0.00" sourceLinked="0"/>
        <c:majorTickMark val="none"/>
        <c:minorTickMark val="none"/>
        <c:tickLblPos val="nextTo"/>
        <c:spPr>
          <a:noFill/>
          <a:ln w="12700">
            <a:solidFill>
              <a:schemeClr val="tx1"/>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crossAx val="78374534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sz="900">
          <a:solidFill>
            <a:sysClr val="windowText" lastClr="000000"/>
          </a:solidFill>
          <a:latin typeface="Arial" panose="020B0604020202020204" pitchFamily="34" charset="0"/>
          <a:cs typeface="Arial" panose="020B0604020202020204" pitchFamily="34" charset="0"/>
        </a:defRPr>
      </a:pPr>
      <a:endParaRPr lang="pl-PL"/>
    </a:p>
  </c:txPr>
  <c:externalData r:id="rId3">
    <c:autoUpdate val="0"/>
  </c:externalData>
</c:chartSpace>
</file>

<file path=word/charts/chart2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4773252587028429"/>
          <c:y val="5.0925925925925923E-2"/>
          <c:w val="0.83136778515658305"/>
          <c:h val="0.668322761738116"/>
        </c:manualLayout>
      </c:layout>
      <c:lineChart>
        <c:grouping val="standard"/>
        <c:varyColors val="0"/>
        <c:ser>
          <c:idx val="0"/>
          <c:order val="0"/>
          <c:tx>
            <c:strRef>
              <c:f>'w22'!$C$6</c:f>
              <c:strCache>
                <c:ptCount val="1"/>
                <c:pt idx="0">
                  <c:v>wartość rzeczywista</c:v>
                </c:pt>
              </c:strCache>
            </c:strRef>
          </c:tx>
          <c:spPr>
            <a:ln w="28575" cap="rnd">
              <a:solidFill>
                <a:schemeClr val="accent1"/>
              </a:solidFill>
              <a:round/>
            </a:ln>
            <a:effectLst/>
          </c:spPr>
          <c:marker>
            <c:symbol val="none"/>
          </c:marker>
          <c:dLbls>
            <c:dLbl>
              <c:idx val="0"/>
              <c:layout>
                <c:manualLayout>
                  <c:x val="-1.7636684303350969E-2"/>
                  <c:y val="4.463178775105380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4C7D-4C4E-90B3-587DB4CEA408}"/>
                </c:ext>
              </c:extLst>
            </c:dLbl>
            <c:numFmt formatCode="#,##0.00" sourceLinked="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'w22'!$D$5:$X$5</c:f>
              <c:numCache>
                <c:formatCode>General</c:formatCode>
                <c:ptCount val="21"/>
                <c:pt idx="0">
                  <c:v>2010</c:v>
                </c:pt>
                <c:pt idx="1">
                  <c:v>2011</c:v>
                </c:pt>
                <c:pt idx="2">
                  <c:v>2012</c:v>
                </c:pt>
                <c:pt idx="3">
                  <c:v>2013</c:v>
                </c:pt>
                <c:pt idx="4">
                  <c:v>2014</c:v>
                </c:pt>
                <c:pt idx="5">
                  <c:v>2015</c:v>
                </c:pt>
                <c:pt idx="6">
                  <c:v>2016</c:v>
                </c:pt>
                <c:pt idx="7">
                  <c:v>2017</c:v>
                </c:pt>
                <c:pt idx="8">
                  <c:v>2018</c:v>
                </c:pt>
                <c:pt idx="9">
                  <c:v>2019</c:v>
                </c:pt>
                <c:pt idx="10">
                  <c:v>2020</c:v>
                </c:pt>
                <c:pt idx="11">
                  <c:v>2021</c:v>
                </c:pt>
                <c:pt idx="12">
                  <c:v>2022</c:v>
                </c:pt>
                <c:pt idx="13">
                  <c:v>2023</c:v>
                </c:pt>
                <c:pt idx="14">
                  <c:v>2024</c:v>
                </c:pt>
                <c:pt idx="15">
                  <c:v>2025</c:v>
                </c:pt>
                <c:pt idx="16">
                  <c:v>2026</c:v>
                </c:pt>
                <c:pt idx="17">
                  <c:v>2027</c:v>
                </c:pt>
                <c:pt idx="18">
                  <c:v>2028</c:v>
                </c:pt>
                <c:pt idx="19">
                  <c:v>2029</c:v>
                </c:pt>
                <c:pt idx="20">
                  <c:v>2030</c:v>
                </c:pt>
              </c:numCache>
            </c:numRef>
          </c:cat>
          <c:val>
            <c:numRef>
              <c:f>'w22'!$D$6:$X$6</c:f>
              <c:numCache>
                <c:formatCode>General</c:formatCode>
                <c:ptCount val="21"/>
                <c:pt idx="0">
                  <c:v>9.2870000000000008</c:v>
                </c:pt>
                <c:pt idx="1">
                  <c:v>9.375</c:v>
                </c:pt>
                <c:pt idx="2">
                  <c:v>8.9529999999999994</c:v>
                </c:pt>
                <c:pt idx="3">
                  <c:v>8.984</c:v>
                </c:pt>
                <c:pt idx="4">
                  <c:v>8.9329999999999998</c:v>
                </c:pt>
                <c:pt idx="5">
                  <c:v>9.1940000000000008</c:v>
                </c:pt>
                <c:pt idx="6">
                  <c:v>9.5329999999999995</c:v>
                </c:pt>
                <c:pt idx="7">
                  <c:v>8.9469999999999992</c:v>
                </c:pt>
                <c:pt idx="8">
                  <c:v>9.0350000000000001</c:v>
                </c:pt>
                <c:pt idx="9">
                  <c:v>9.0607000000000006</c:v>
                </c:pt>
                <c:pt idx="10">
                  <c:v>9.045300000000001</c:v>
                </c:pt>
              </c:numCache>
            </c:numRef>
          </c:val>
          <c:smooth val="0"/>
          <c:extLst>
            <c:ext xmlns:c16="http://schemas.microsoft.com/office/drawing/2014/chart" uri="{C3380CC4-5D6E-409C-BE32-E72D297353CC}">
              <c16:uniqueId val="{00000001-4C7D-4C4E-90B3-587DB4CEA408}"/>
            </c:ext>
          </c:extLst>
        </c:ser>
        <c:ser>
          <c:idx val="1"/>
          <c:order val="1"/>
          <c:tx>
            <c:strRef>
              <c:f>'w22'!$C$7</c:f>
              <c:strCache>
                <c:ptCount val="1"/>
                <c:pt idx="0">
                  <c:v>wartość prognozowana</c:v>
                </c:pt>
              </c:strCache>
            </c:strRef>
          </c:tx>
          <c:spPr>
            <a:ln w="28575" cap="rnd">
              <a:solidFill>
                <a:schemeClr val="accent2"/>
              </a:solidFill>
              <a:prstDash val="sysDot"/>
              <a:round/>
            </a:ln>
            <a:effectLst/>
          </c:spPr>
          <c:marker>
            <c:symbol val="none"/>
          </c:marker>
          <c:dLbls>
            <c:dLbl>
              <c:idx val="20"/>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4C7D-4C4E-90B3-587DB4CEA408}"/>
                </c:ext>
              </c:extLst>
            </c:dLbl>
            <c:numFmt formatCode="#,##0.00" sourceLinked="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'w22'!$D$5:$X$5</c:f>
              <c:numCache>
                <c:formatCode>General</c:formatCode>
                <c:ptCount val="21"/>
                <c:pt idx="0">
                  <c:v>2010</c:v>
                </c:pt>
                <c:pt idx="1">
                  <c:v>2011</c:v>
                </c:pt>
                <c:pt idx="2">
                  <c:v>2012</c:v>
                </c:pt>
                <c:pt idx="3">
                  <c:v>2013</c:v>
                </c:pt>
                <c:pt idx="4">
                  <c:v>2014</c:v>
                </c:pt>
                <c:pt idx="5">
                  <c:v>2015</c:v>
                </c:pt>
                <c:pt idx="6">
                  <c:v>2016</c:v>
                </c:pt>
                <c:pt idx="7">
                  <c:v>2017</c:v>
                </c:pt>
                <c:pt idx="8">
                  <c:v>2018</c:v>
                </c:pt>
                <c:pt idx="9">
                  <c:v>2019</c:v>
                </c:pt>
                <c:pt idx="10">
                  <c:v>2020</c:v>
                </c:pt>
                <c:pt idx="11">
                  <c:v>2021</c:v>
                </c:pt>
                <c:pt idx="12">
                  <c:v>2022</c:v>
                </c:pt>
                <c:pt idx="13">
                  <c:v>2023</c:v>
                </c:pt>
                <c:pt idx="14">
                  <c:v>2024</c:v>
                </c:pt>
                <c:pt idx="15">
                  <c:v>2025</c:v>
                </c:pt>
                <c:pt idx="16">
                  <c:v>2026</c:v>
                </c:pt>
                <c:pt idx="17">
                  <c:v>2027</c:v>
                </c:pt>
                <c:pt idx="18">
                  <c:v>2028</c:v>
                </c:pt>
                <c:pt idx="19">
                  <c:v>2029</c:v>
                </c:pt>
                <c:pt idx="20">
                  <c:v>2030</c:v>
                </c:pt>
              </c:numCache>
            </c:numRef>
          </c:cat>
          <c:val>
            <c:numRef>
              <c:f>'w22'!$D$7:$X$7</c:f>
              <c:numCache>
                <c:formatCode>General</c:formatCode>
                <c:ptCount val="21"/>
                <c:pt idx="10">
                  <c:v>9.045300000000001</c:v>
                </c:pt>
                <c:pt idx="11">
                  <c:v>9.0299000000000014</c:v>
                </c:pt>
                <c:pt idx="12">
                  <c:v>9.0145</c:v>
                </c:pt>
                <c:pt idx="13">
                  <c:v>8.9991000000000003</c:v>
                </c:pt>
                <c:pt idx="14">
                  <c:v>8.9837000000000007</c:v>
                </c:pt>
                <c:pt idx="15">
                  <c:v>8.968300000000001</c:v>
                </c:pt>
                <c:pt idx="16">
                  <c:v>8.9534000000000002</c:v>
                </c:pt>
                <c:pt idx="17">
                  <c:v>8.9384999999999994</c:v>
                </c:pt>
                <c:pt idx="18">
                  <c:v>8.9236000000000004</c:v>
                </c:pt>
                <c:pt idx="19">
                  <c:v>8.9089000000000009</c:v>
                </c:pt>
                <c:pt idx="20">
                  <c:v>8.8945000000000007</c:v>
                </c:pt>
              </c:numCache>
            </c:numRef>
          </c:val>
          <c:smooth val="0"/>
          <c:extLst>
            <c:ext xmlns:c16="http://schemas.microsoft.com/office/drawing/2014/chart" uri="{C3380CC4-5D6E-409C-BE32-E72D297353CC}">
              <c16:uniqueId val="{00000003-4C7D-4C4E-90B3-587DB4CEA408}"/>
            </c:ext>
          </c:extLst>
        </c:ser>
        <c:dLbls>
          <c:showLegendKey val="0"/>
          <c:showVal val="0"/>
          <c:showCatName val="0"/>
          <c:showSerName val="0"/>
          <c:showPercent val="0"/>
          <c:showBubbleSize val="0"/>
        </c:dLbls>
        <c:smooth val="0"/>
        <c:axId val="783745344"/>
        <c:axId val="783743048"/>
      </c:lineChart>
      <c:catAx>
        <c:axId val="783745344"/>
        <c:scaling>
          <c:orientation val="minMax"/>
        </c:scaling>
        <c:delete val="0"/>
        <c:axPos val="b"/>
        <c:title>
          <c:tx>
            <c:rich>
              <a:bodyPr rot="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pl-PL"/>
                  <a:t>rok</a:t>
                </a:r>
              </a:p>
            </c:rich>
          </c:tx>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title>
        <c:numFmt formatCode="General" sourceLinked="1"/>
        <c:majorTickMark val="none"/>
        <c:minorTickMark val="none"/>
        <c:tickLblPos val="nextTo"/>
        <c:spPr>
          <a:noFill/>
          <a:ln w="12700" cap="flat" cmpd="sng" algn="ctr">
            <a:solidFill>
              <a:schemeClr val="tx1"/>
            </a:solidFill>
            <a:round/>
          </a:ln>
          <a:effectLst/>
        </c:spPr>
        <c:txPr>
          <a:bodyPr rot="-2700000" spcFirstLastPara="1" vertOverflow="ellipsis"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crossAx val="783743048"/>
        <c:crosses val="autoZero"/>
        <c:auto val="1"/>
        <c:lblAlgn val="ctr"/>
        <c:lblOffset val="100"/>
        <c:noMultiLvlLbl val="0"/>
      </c:catAx>
      <c:valAx>
        <c:axId val="78374304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pl-PL"/>
                  <a:t>Ścieki przemysłowe odprowadzone w ciągu roku do sieci kanalizacyjnej </a:t>
                </a:r>
              </a:p>
              <a:p>
                <a:pPr>
                  <a:defRPr/>
                </a:pPr>
                <a:r>
                  <a:rPr lang="pl-PL"/>
                  <a:t>tys. dam³</a:t>
                </a:r>
              </a:p>
            </c:rich>
          </c:tx>
          <c:overlay val="0"/>
          <c:spPr>
            <a:noFill/>
            <a:ln>
              <a:noFill/>
            </a:ln>
            <a:effectLst/>
          </c:spPr>
          <c:txPr>
            <a:bodyPr rot="-54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title>
        <c:numFmt formatCode="#,##0.0" sourceLinked="0"/>
        <c:majorTickMark val="none"/>
        <c:minorTickMark val="none"/>
        <c:tickLblPos val="nextTo"/>
        <c:spPr>
          <a:noFill/>
          <a:ln w="12700">
            <a:solidFill>
              <a:schemeClr val="tx1"/>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crossAx val="78374534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sz="900">
          <a:solidFill>
            <a:sysClr val="windowText" lastClr="000000"/>
          </a:solidFill>
          <a:latin typeface="Arial" panose="020B0604020202020204" pitchFamily="34" charset="0"/>
          <a:cs typeface="Arial" panose="020B0604020202020204" pitchFamily="34" charset="0"/>
        </a:defRPr>
      </a:pPr>
      <a:endParaRPr lang="pl-PL"/>
    </a:p>
  </c:txPr>
  <c:externalData r:id="rId3">
    <c:autoUpdate val="0"/>
  </c:externalData>
</c:chartSpace>
</file>

<file path=word/charts/chart2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8573196036688902"/>
          <c:y val="5.0925925925925923E-2"/>
          <c:w val="0.79336835065997835"/>
          <c:h val="0.668322761738116"/>
        </c:manualLayout>
      </c:layout>
      <c:lineChart>
        <c:grouping val="standard"/>
        <c:varyColors val="0"/>
        <c:ser>
          <c:idx val="0"/>
          <c:order val="0"/>
          <c:tx>
            <c:strRef>
              <c:f>'w23'!$C$6</c:f>
              <c:strCache>
                <c:ptCount val="1"/>
                <c:pt idx="0">
                  <c:v>wartość rzeczywista</c:v>
                </c:pt>
              </c:strCache>
            </c:strRef>
          </c:tx>
          <c:spPr>
            <a:ln w="28575" cap="rnd">
              <a:solidFill>
                <a:srgbClr val="51BBB6"/>
              </a:solidFill>
              <a:round/>
            </a:ln>
            <a:effectLst/>
          </c:spPr>
          <c:marker>
            <c:symbol val="none"/>
          </c:marker>
          <c:dLbls>
            <c:dLbl>
              <c:idx val="0"/>
              <c:layout>
                <c:manualLayout>
                  <c:x val="-2.3318790750504931E-2"/>
                  <c:y val="7.014980712255296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CC6A-492B-BB37-996F9A9B232C}"/>
                </c:ext>
              </c:extLst>
            </c:dLbl>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'w23'!$D$5:$X$5</c:f>
              <c:numCache>
                <c:formatCode>General</c:formatCode>
                <c:ptCount val="21"/>
                <c:pt idx="0">
                  <c:v>2010</c:v>
                </c:pt>
                <c:pt idx="1">
                  <c:v>2011</c:v>
                </c:pt>
                <c:pt idx="2">
                  <c:v>2012</c:v>
                </c:pt>
                <c:pt idx="3">
                  <c:v>2013</c:v>
                </c:pt>
                <c:pt idx="4">
                  <c:v>2014</c:v>
                </c:pt>
                <c:pt idx="5">
                  <c:v>2015</c:v>
                </c:pt>
                <c:pt idx="6">
                  <c:v>2016</c:v>
                </c:pt>
                <c:pt idx="7">
                  <c:v>2017</c:v>
                </c:pt>
                <c:pt idx="8">
                  <c:v>2018</c:v>
                </c:pt>
                <c:pt idx="9">
                  <c:v>2019</c:v>
                </c:pt>
                <c:pt idx="10">
                  <c:v>2020</c:v>
                </c:pt>
                <c:pt idx="11">
                  <c:v>2021</c:v>
                </c:pt>
                <c:pt idx="12">
                  <c:v>2022</c:v>
                </c:pt>
                <c:pt idx="13">
                  <c:v>2023</c:v>
                </c:pt>
                <c:pt idx="14">
                  <c:v>2024</c:v>
                </c:pt>
                <c:pt idx="15">
                  <c:v>2025</c:v>
                </c:pt>
                <c:pt idx="16">
                  <c:v>2026</c:v>
                </c:pt>
                <c:pt idx="17">
                  <c:v>2027</c:v>
                </c:pt>
                <c:pt idx="18">
                  <c:v>2028</c:v>
                </c:pt>
                <c:pt idx="19">
                  <c:v>2029</c:v>
                </c:pt>
                <c:pt idx="20">
                  <c:v>2030</c:v>
                </c:pt>
              </c:numCache>
            </c:numRef>
          </c:cat>
          <c:val>
            <c:numRef>
              <c:f>'w23'!$D$6:$X$6</c:f>
              <c:numCache>
                <c:formatCode>General</c:formatCode>
                <c:ptCount val="21"/>
                <c:pt idx="0">
                  <c:v>58.2</c:v>
                </c:pt>
                <c:pt idx="1">
                  <c:v>64.900000000000006</c:v>
                </c:pt>
                <c:pt idx="2">
                  <c:v>68.8</c:v>
                </c:pt>
                <c:pt idx="3">
                  <c:v>61.3</c:v>
                </c:pt>
                <c:pt idx="4">
                  <c:v>62</c:v>
                </c:pt>
                <c:pt idx="5">
                  <c:v>64.099999999999994</c:v>
                </c:pt>
                <c:pt idx="6">
                  <c:v>70.099999999999994</c:v>
                </c:pt>
                <c:pt idx="7">
                  <c:v>64.7</c:v>
                </c:pt>
                <c:pt idx="8">
                  <c:v>61.1</c:v>
                </c:pt>
                <c:pt idx="9">
                  <c:v>55.5</c:v>
                </c:pt>
                <c:pt idx="10">
                  <c:v>61.64</c:v>
                </c:pt>
              </c:numCache>
            </c:numRef>
          </c:val>
          <c:smooth val="0"/>
          <c:extLst>
            <c:ext xmlns:c16="http://schemas.microsoft.com/office/drawing/2014/chart" uri="{C3380CC4-5D6E-409C-BE32-E72D297353CC}">
              <c16:uniqueId val="{00000001-CC6A-492B-BB37-996F9A9B232C}"/>
            </c:ext>
          </c:extLst>
        </c:ser>
        <c:ser>
          <c:idx val="1"/>
          <c:order val="1"/>
          <c:tx>
            <c:strRef>
              <c:f>'w23'!$C$7</c:f>
              <c:strCache>
                <c:ptCount val="1"/>
                <c:pt idx="0">
                  <c:v>wartość prognozowana</c:v>
                </c:pt>
              </c:strCache>
            </c:strRef>
          </c:tx>
          <c:spPr>
            <a:ln w="28575" cap="rnd">
              <a:solidFill>
                <a:srgbClr val="CCA879"/>
              </a:solidFill>
              <a:prstDash val="sysDot"/>
              <a:round/>
            </a:ln>
            <a:effectLst/>
          </c:spPr>
          <c:marker>
            <c:symbol val="none"/>
          </c:marker>
          <c:dLbls>
            <c:dLbl>
              <c:idx val="20"/>
              <c:layout>
                <c:manualLayout>
                  <c:x val="-2.33187907505049E-2"/>
                  <c:y val="5.699671828707427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CC6A-492B-BB37-996F9A9B232C}"/>
                </c:ext>
              </c:extLst>
            </c:dLbl>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'w23'!$D$5:$X$5</c:f>
              <c:numCache>
                <c:formatCode>General</c:formatCode>
                <c:ptCount val="21"/>
                <c:pt idx="0">
                  <c:v>2010</c:v>
                </c:pt>
                <c:pt idx="1">
                  <c:v>2011</c:v>
                </c:pt>
                <c:pt idx="2">
                  <c:v>2012</c:v>
                </c:pt>
                <c:pt idx="3">
                  <c:v>2013</c:v>
                </c:pt>
                <c:pt idx="4">
                  <c:v>2014</c:v>
                </c:pt>
                <c:pt idx="5">
                  <c:v>2015</c:v>
                </c:pt>
                <c:pt idx="6">
                  <c:v>2016</c:v>
                </c:pt>
                <c:pt idx="7">
                  <c:v>2017</c:v>
                </c:pt>
                <c:pt idx="8">
                  <c:v>2018</c:v>
                </c:pt>
                <c:pt idx="9">
                  <c:v>2019</c:v>
                </c:pt>
                <c:pt idx="10">
                  <c:v>2020</c:v>
                </c:pt>
                <c:pt idx="11">
                  <c:v>2021</c:v>
                </c:pt>
                <c:pt idx="12">
                  <c:v>2022</c:v>
                </c:pt>
                <c:pt idx="13">
                  <c:v>2023</c:v>
                </c:pt>
                <c:pt idx="14">
                  <c:v>2024</c:v>
                </c:pt>
                <c:pt idx="15">
                  <c:v>2025</c:v>
                </c:pt>
                <c:pt idx="16">
                  <c:v>2026</c:v>
                </c:pt>
                <c:pt idx="17">
                  <c:v>2027</c:v>
                </c:pt>
                <c:pt idx="18">
                  <c:v>2028</c:v>
                </c:pt>
                <c:pt idx="19">
                  <c:v>2029</c:v>
                </c:pt>
                <c:pt idx="20">
                  <c:v>2030</c:v>
                </c:pt>
              </c:numCache>
            </c:numRef>
          </c:cat>
          <c:val>
            <c:numRef>
              <c:f>'w23'!$D$7:$X$7</c:f>
              <c:numCache>
                <c:formatCode>General</c:formatCode>
                <c:ptCount val="21"/>
                <c:pt idx="10">
                  <c:v>61.64</c:v>
                </c:pt>
                <c:pt idx="11">
                  <c:v>61.38</c:v>
                </c:pt>
                <c:pt idx="12">
                  <c:v>61.12</c:v>
                </c:pt>
                <c:pt idx="13">
                  <c:v>60.86</c:v>
                </c:pt>
                <c:pt idx="14">
                  <c:v>60.6</c:v>
                </c:pt>
                <c:pt idx="15">
                  <c:v>60.34</c:v>
                </c:pt>
                <c:pt idx="16">
                  <c:v>60.080500000000001</c:v>
                </c:pt>
                <c:pt idx="17">
                  <c:v>59.820999999999998</c:v>
                </c:pt>
                <c:pt idx="18">
                  <c:v>59.561500000000002</c:v>
                </c:pt>
                <c:pt idx="19">
                  <c:v>59.302199999999999</c:v>
                </c:pt>
                <c:pt idx="20" formatCode="0.00">
                  <c:v>59.043199999999999</c:v>
                </c:pt>
              </c:numCache>
            </c:numRef>
          </c:val>
          <c:smooth val="0"/>
          <c:extLst>
            <c:ext xmlns:c16="http://schemas.microsoft.com/office/drawing/2014/chart" uri="{C3380CC4-5D6E-409C-BE32-E72D297353CC}">
              <c16:uniqueId val="{00000003-CC6A-492B-BB37-996F9A9B232C}"/>
            </c:ext>
          </c:extLst>
        </c:ser>
        <c:dLbls>
          <c:showLegendKey val="0"/>
          <c:showVal val="0"/>
          <c:showCatName val="0"/>
          <c:showSerName val="0"/>
          <c:showPercent val="0"/>
          <c:showBubbleSize val="0"/>
        </c:dLbls>
        <c:smooth val="0"/>
        <c:axId val="783745344"/>
        <c:axId val="783743048"/>
      </c:lineChart>
      <c:catAx>
        <c:axId val="783745344"/>
        <c:scaling>
          <c:orientation val="minMax"/>
        </c:scaling>
        <c:delete val="0"/>
        <c:axPos val="b"/>
        <c:title>
          <c:tx>
            <c:rich>
              <a:bodyPr rot="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pl-PL"/>
                  <a:t>rok</a:t>
                </a:r>
              </a:p>
            </c:rich>
          </c:tx>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title>
        <c:numFmt formatCode="General" sourceLinked="1"/>
        <c:majorTickMark val="none"/>
        <c:minorTickMark val="none"/>
        <c:tickLblPos val="nextTo"/>
        <c:spPr>
          <a:noFill/>
          <a:ln w="12700" cap="flat" cmpd="sng" algn="ctr">
            <a:solidFill>
              <a:schemeClr val="tx1"/>
            </a:solidFill>
            <a:round/>
          </a:ln>
          <a:effectLst/>
        </c:spPr>
        <c:txPr>
          <a:bodyPr rot="-2700000" spcFirstLastPara="1" vertOverflow="ellipsis"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crossAx val="783743048"/>
        <c:crosses val="autoZero"/>
        <c:auto val="1"/>
        <c:lblAlgn val="ctr"/>
        <c:lblOffset val="100"/>
        <c:noMultiLvlLbl val="0"/>
      </c:catAx>
      <c:valAx>
        <c:axId val="783743048"/>
        <c:scaling>
          <c:orientation val="minMax"/>
        </c:scaling>
        <c:delete val="0"/>
        <c:axPos val="l"/>
        <c:majorGridlines>
          <c:spPr>
            <a:ln w="9525" cap="flat" cmpd="sng" algn="ctr">
              <a:solidFill>
                <a:schemeClr val="tx1">
                  <a:lumMod val="15000"/>
                  <a:lumOff val="85000"/>
                </a:schemeClr>
              </a:solidFill>
              <a:round/>
            </a:ln>
            <a:effectLst/>
          </c:spPr>
        </c:majorGridlines>
        <c:title>
          <c:tx>
            <c:strRef>
              <c:f>'w23'!$B$4</c:f>
              <c:strCache>
                <c:ptCount val="1"/>
                <c:pt idx="0">
                  <c:v>Ścieki przemysłowe i komunalne wymagające oczyszczania odprowadzone do wód lub do ziemi w ciągu roku - ogółem na 1 mieszkańca, m³</c:v>
                </c:pt>
              </c:strCache>
            </c:strRef>
          </c:tx>
          <c:layout>
            <c:manualLayout>
              <c:xMode val="edge"/>
              <c:yMode val="edge"/>
              <c:x val="8.2761432726547821E-3"/>
              <c:y val="4.6537040012855538E-2"/>
            </c:manualLayout>
          </c:layout>
          <c:overlay val="0"/>
          <c:spPr>
            <a:noFill/>
            <a:ln>
              <a:noFill/>
            </a:ln>
            <a:effectLst/>
          </c:spPr>
          <c:txPr>
            <a:bodyPr rot="-54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title>
        <c:numFmt formatCode="General" sourceLinked="1"/>
        <c:majorTickMark val="none"/>
        <c:minorTickMark val="none"/>
        <c:tickLblPos val="nextTo"/>
        <c:spPr>
          <a:noFill/>
          <a:ln w="12700">
            <a:solidFill>
              <a:schemeClr val="tx1"/>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crossAx val="78374534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sz="900">
          <a:solidFill>
            <a:sysClr val="windowText" lastClr="000000"/>
          </a:solidFill>
          <a:latin typeface="Arial" panose="020B0604020202020204" pitchFamily="34" charset="0"/>
          <a:cs typeface="Arial" panose="020B0604020202020204" pitchFamily="34" charset="0"/>
        </a:defRPr>
      </a:pPr>
      <a:endParaRPr lang="pl-PL"/>
    </a:p>
  </c:txPr>
  <c:externalData r:id="rId3">
    <c:autoUpdate val="0"/>
  </c:externalData>
</c:chartSpace>
</file>

<file path=word/charts/chart2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4773252587028429"/>
          <c:y val="5.0925925925925923E-2"/>
          <c:w val="0.83136778515658305"/>
          <c:h val="0.668322761738116"/>
        </c:manualLayout>
      </c:layout>
      <c:lineChart>
        <c:grouping val="standard"/>
        <c:varyColors val="0"/>
        <c:ser>
          <c:idx val="0"/>
          <c:order val="0"/>
          <c:tx>
            <c:strRef>
              <c:f>'w8'!$C$6</c:f>
              <c:strCache>
                <c:ptCount val="1"/>
                <c:pt idx="0">
                  <c:v>wartość rzeczywista</c:v>
                </c:pt>
              </c:strCache>
            </c:strRef>
          </c:tx>
          <c:spPr>
            <a:ln w="28575" cap="rnd">
              <a:solidFill>
                <a:schemeClr val="accent1"/>
              </a:solidFill>
              <a:round/>
            </a:ln>
            <a:effectLst/>
          </c:spPr>
          <c:marker>
            <c:symbol val="none"/>
          </c:marker>
          <c:dLbls>
            <c:dLbl>
              <c:idx val="0"/>
              <c:layout>
                <c:manualLayout>
                  <c:x val="-2.5948817489911631E-2"/>
                  <c:y val="-3.752345215759850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3D92-4FF7-9A72-FFCAE2786129}"/>
                </c:ext>
              </c:extLst>
            </c:dLbl>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'w8'!$D$5:$X$5</c:f>
              <c:numCache>
                <c:formatCode>General</c:formatCode>
                <c:ptCount val="21"/>
                <c:pt idx="0">
                  <c:v>2010</c:v>
                </c:pt>
                <c:pt idx="1">
                  <c:v>2011</c:v>
                </c:pt>
                <c:pt idx="2">
                  <c:v>2012</c:v>
                </c:pt>
                <c:pt idx="3">
                  <c:v>2013</c:v>
                </c:pt>
                <c:pt idx="4">
                  <c:v>2014</c:v>
                </c:pt>
                <c:pt idx="5">
                  <c:v>2015</c:v>
                </c:pt>
                <c:pt idx="6">
                  <c:v>2016</c:v>
                </c:pt>
                <c:pt idx="7">
                  <c:v>2017</c:v>
                </c:pt>
                <c:pt idx="8">
                  <c:v>2018</c:v>
                </c:pt>
                <c:pt idx="9">
                  <c:v>2019</c:v>
                </c:pt>
                <c:pt idx="10">
                  <c:v>2020</c:v>
                </c:pt>
                <c:pt idx="11">
                  <c:v>2021</c:v>
                </c:pt>
                <c:pt idx="12">
                  <c:v>2022</c:v>
                </c:pt>
                <c:pt idx="13">
                  <c:v>2023</c:v>
                </c:pt>
                <c:pt idx="14">
                  <c:v>2024</c:v>
                </c:pt>
                <c:pt idx="15">
                  <c:v>2025</c:v>
                </c:pt>
                <c:pt idx="16">
                  <c:v>2026</c:v>
                </c:pt>
                <c:pt idx="17">
                  <c:v>2027</c:v>
                </c:pt>
                <c:pt idx="18">
                  <c:v>2028</c:v>
                </c:pt>
                <c:pt idx="19">
                  <c:v>2029</c:v>
                </c:pt>
                <c:pt idx="20">
                  <c:v>2030</c:v>
                </c:pt>
              </c:numCache>
            </c:numRef>
          </c:cat>
          <c:val>
            <c:numRef>
              <c:f>'w8'!$D$6:$X$6</c:f>
              <c:numCache>
                <c:formatCode>#,##0</c:formatCode>
                <c:ptCount val="21"/>
                <c:pt idx="0">
                  <c:v>15672</c:v>
                </c:pt>
                <c:pt idx="1">
                  <c:v>15451</c:v>
                </c:pt>
                <c:pt idx="2">
                  <c:v>17215</c:v>
                </c:pt>
                <c:pt idx="3">
                  <c:v>13588</c:v>
                </c:pt>
                <c:pt idx="4">
                  <c:v>14813</c:v>
                </c:pt>
                <c:pt idx="5">
                  <c:v>14476</c:v>
                </c:pt>
                <c:pt idx="6">
                  <c:v>10339</c:v>
                </c:pt>
                <c:pt idx="7">
                  <c:v>4830</c:v>
                </c:pt>
                <c:pt idx="8">
                  <c:v>4498</c:v>
                </c:pt>
                <c:pt idx="9">
                  <c:v>3970</c:v>
                </c:pt>
                <c:pt idx="10">
                  <c:v>5380</c:v>
                </c:pt>
              </c:numCache>
            </c:numRef>
          </c:val>
          <c:smooth val="0"/>
          <c:extLst>
            <c:ext xmlns:c16="http://schemas.microsoft.com/office/drawing/2014/chart" uri="{C3380CC4-5D6E-409C-BE32-E72D297353CC}">
              <c16:uniqueId val="{00000001-3D92-4FF7-9A72-FFCAE2786129}"/>
            </c:ext>
          </c:extLst>
        </c:ser>
        <c:ser>
          <c:idx val="1"/>
          <c:order val="1"/>
          <c:tx>
            <c:strRef>
              <c:f>'w8'!$C$7</c:f>
              <c:strCache>
                <c:ptCount val="1"/>
                <c:pt idx="0">
                  <c:v>wartość prognozowana</c:v>
                </c:pt>
              </c:strCache>
            </c:strRef>
          </c:tx>
          <c:spPr>
            <a:ln w="28575" cap="rnd">
              <a:solidFill>
                <a:schemeClr val="accent2"/>
              </a:solidFill>
              <a:prstDash val="sysDot"/>
              <a:round/>
            </a:ln>
            <a:effectLst/>
          </c:spPr>
          <c:marker>
            <c:symbol val="none"/>
          </c:marker>
          <c:dLbls>
            <c:dLbl>
              <c:idx val="20"/>
              <c:layout>
                <c:manualLayout>
                  <c:x val="0"/>
                  <c:y val="-4.169272461955396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3D92-4FF7-9A72-FFCAE2786129}"/>
                </c:ext>
              </c:extLst>
            </c:dLbl>
            <c:numFmt formatCode="#,##0.00" sourceLinked="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'w8'!$D$5:$X$5</c:f>
              <c:numCache>
                <c:formatCode>General</c:formatCode>
                <c:ptCount val="21"/>
                <c:pt idx="0">
                  <c:v>2010</c:v>
                </c:pt>
                <c:pt idx="1">
                  <c:v>2011</c:v>
                </c:pt>
                <c:pt idx="2">
                  <c:v>2012</c:v>
                </c:pt>
                <c:pt idx="3">
                  <c:v>2013</c:v>
                </c:pt>
                <c:pt idx="4">
                  <c:v>2014</c:v>
                </c:pt>
                <c:pt idx="5">
                  <c:v>2015</c:v>
                </c:pt>
                <c:pt idx="6">
                  <c:v>2016</c:v>
                </c:pt>
                <c:pt idx="7">
                  <c:v>2017</c:v>
                </c:pt>
                <c:pt idx="8">
                  <c:v>2018</c:v>
                </c:pt>
                <c:pt idx="9">
                  <c:v>2019</c:v>
                </c:pt>
                <c:pt idx="10">
                  <c:v>2020</c:v>
                </c:pt>
                <c:pt idx="11">
                  <c:v>2021</c:v>
                </c:pt>
                <c:pt idx="12">
                  <c:v>2022</c:v>
                </c:pt>
                <c:pt idx="13">
                  <c:v>2023</c:v>
                </c:pt>
                <c:pt idx="14">
                  <c:v>2024</c:v>
                </c:pt>
                <c:pt idx="15">
                  <c:v>2025</c:v>
                </c:pt>
                <c:pt idx="16">
                  <c:v>2026</c:v>
                </c:pt>
                <c:pt idx="17">
                  <c:v>2027</c:v>
                </c:pt>
                <c:pt idx="18">
                  <c:v>2028</c:v>
                </c:pt>
                <c:pt idx="19">
                  <c:v>2029</c:v>
                </c:pt>
                <c:pt idx="20">
                  <c:v>2030</c:v>
                </c:pt>
              </c:numCache>
            </c:numRef>
          </c:cat>
          <c:val>
            <c:numRef>
              <c:f>'w8'!$D$7:$X$7</c:f>
              <c:numCache>
                <c:formatCode>General</c:formatCode>
                <c:ptCount val="21"/>
                <c:pt idx="10">
                  <c:v>5380</c:v>
                </c:pt>
                <c:pt idx="11">
                  <c:v>3814.7244298349756</c:v>
                </c:pt>
                <c:pt idx="12">
                  <c:v>3793.7212595783317</c:v>
                </c:pt>
                <c:pt idx="13">
                  <c:v>3354.6085478389259</c:v>
                </c:pt>
                <c:pt idx="14">
                  <c:v>3384.514881199329</c:v>
                </c:pt>
                <c:pt idx="15">
                  <c:v>3272.5919547502635</c:v>
                </c:pt>
                <c:pt idx="16">
                  <c:v>3009.6965830785903</c:v>
                </c:pt>
                <c:pt idx="17">
                  <c:v>2988.1226922678634</c:v>
                </c:pt>
                <c:pt idx="18">
                  <c:v>2901.3754369745379</c:v>
                </c:pt>
                <c:pt idx="19">
                  <c:v>2842.9808214267109</c:v>
                </c:pt>
                <c:pt idx="20">
                  <c:v>2709.3252438947311</c:v>
                </c:pt>
              </c:numCache>
            </c:numRef>
          </c:val>
          <c:smooth val="0"/>
          <c:extLst>
            <c:ext xmlns:c16="http://schemas.microsoft.com/office/drawing/2014/chart" uri="{C3380CC4-5D6E-409C-BE32-E72D297353CC}">
              <c16:uniqueId val="{00000003-3D92-4FF7-9A72-FFCAE2786129}"/>
            </c:ext>
          </c:extLst>
        </c:ser>
        <c:dLbls>
          <c:showLegendKey val="0"/>
          <c:showVal val="0"/>
          <c:showCatName val="0"/>
          <c:showSerName val="0"/>
          <c:showPercent val="0"/>
          <c:showBubbleSize val="0"/>
        </c:dLbls>
        <c:smooth val="0"/>
        <c:axId val="783745344"/>
        <c:axId val="783743048"/>
      </c:lineChart>
      <c:catAx>
        <c:axId val="783745344"/>
        <c:scaling>
          <c:orientation val="minMax"/>
        </c:scaling>
        <c:delete val="0"/>
        <c:axPos val="b"/>
        <c:title>
          <c:tx>
            <c:rich>
              <a:bodyPr rot="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pl-PL"/>
                  <a:t>rok</a:t>
                </a:r>
              </a:p>
            </c:rich>
          </c:tx>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title>
        <c:numFmt formatCode="General" sourceLinked="1"/>
        <c:majorTickMark val="none"/>
        <c:minorTickMark val="none"/>
        <c:tickLblPos val="nextTo"/>
        <c:spPr>
          <a:noFill/>
          <a:ln w="12700" cap="flat" cmpd="sng" algn="ctr">
            <a:solidFill>
              <a:schemeClr val="tx1"/>
            </a:solidFill>
            <a:round/>
          </a:ln>
          <a:effectLst/>
        </c:spPr>
        <c:txPr>
          <a:bodyPr rot="-2700000" spcFirstLastPara="1" vertOverflow="ellipsis"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crossAx val="783743048"/>
        <c:crosses val="autoZero"/>
        <c:auto val="1"/>
        <c:lblAlgn val="ctr"/>
        <c:lblOffset val="100"/>
        <c:noMultiLvlLbl val="0"/>
      </c:catAx>
      <c:valAx>
        <c:axId val="78374304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pl-PL"/>
                  <a:t>Emisja metanu z zakładów szczególnie uciążliwych, ton/rok</a:t>
                </a:r>
              </a:p>
            </c:rich>
          </c:tx>
          <c:overlay val="0"/>
          <c:spPr>
            <a:noFill/>
            <a:ln>
              <a:noFill/>
            </a:ln>
            <a:effectLst/>
          </c:spPr>
          <c:txPr>
            <a:bodyPr rot="-54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title>
        <c:numFmt formatCode="#,##0" sourceLinked="0"/>
        <c:majorTickMark val="none"/>
        <c:minorTickMark val="none"/>
        <c:tickLblPos val="nextTo"/>
        <c:spPr>
          <a:noFill/>
          <a:ln w="12700">
            <a:solidFill>
              <a:schemeClr val="tx1"/>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crossAx val="78374534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sz="900">
          <a:solidFill>
            <a:sysClr val="windowText" lastClr="000000"/>
          </a:solidFill>
          <a:latin typeface="Arial" panose="020B0604020202020204" pitchFamily="34" charset="0"/>
          <a:cs typeface="Arial" panose="020B0604020202020204" pitchFamily="34" charset="0"/>
        </a:defRPr>
      </a:pPr>
      <a:endParaRPr lang="pl-PL"/>
    </a:p>
  </c:txPr>
  <c:externalData r:id="rId3">
    <c:autoUpdate val="0"/>
  </c:externalData>
</c:chartSpace>
</file>

<file path=word/charts/chart2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2113292172266098"/>
          <c:y val="5.0925925925925923E-2"/>
          <c:w val="0.85796738930420646"/>
          <c:h val="0.668322761738116"/>
        </c:manualLayout>
      </c:layout>
      <c:lineChart>
        <c:grouping val="standard"/>
        <c:varyColors val="0"/>
        <c:ser>
          <c:idx val="0"/>
          <c:order val="0"/>
          <c:tx>
            <c:strRef>
              <c:f>'w9'!$C$6</c:f>
              <c:strCache>
                <c:ptCount val="1"/>
                <c:pt idx="0">
                  <c:v>wartość rzeczywista</c:v>
                </c:pt>
              </c:strCache>
            </c:strRef>
          </c:tx>
          <c:spPr>
            <a:ln w="28575" cap="rnd">
              <a:solidFill>
                <a:schemeClr val="accent1"/>
              </a:solidFill>
              <a:round/>
            </a:ln>
            <a:effectLst/>
          </c:spPr>
          <c:marker>
            <c:symbol val="none"/>
          </c:marker>
          <c:dLbls>
            <c:dLbl>
              <c:idx val="0"/>
              <c:layout>
                <c:manualLayout>
                  <c:x val="-1.8534869635651166E-2"/>
                  <c:y val="-3.7523452157598502E-2"/>
                </c:manualLayout>
              </c:layout>
              <c:numFmt formatCode="#,##0.00" sourceLinked="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E51D-4027-855D-5D2D48517B28}"/>
                </c:ext>
              </c:extLst>
            </c:dLbl>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'w9'!$D$5:$X$5</c:f>
              <c:numCache>
                <c:formatCode>General</c:formatCode>
                <c:ptCount val="21"/>
                <c:pt idx="0">
                  <c:v>2010</c:v>
                </c:pt>
                <c:pt idx="1">
                  <c:v>2011</c:v>
                </c:pt>
                <c:pt idx="2">
                  <c:v>2012</c:v>
                </c:pt>
                <c:pt idx="3">
                  <c:v>2013</c:v>
                </c:pt>
                <c:pt idx="4">
                  <c:v>2014</c:v>
                </c:pt>
                <c:pt idx="5">
                  <c:v>2015</c:v>
                </c:pt>
                <c:pt idx="6">
                  <c:v>2016</c:v>
                </c:pt>
                <c:pt idx="7">
                  <c:v>2017</c:v>
                </c:pt>
                <c:pt idx="8">
                  <c:v>2018</c:v>
                </c:pt>
                <c:pt idx="9">
                  <c:v>2019</c:v>
                </c:pt>
                <c:pt idx="10">
                  <c:v>2020</c:v>
                </c:pt>
                <c:pt idx="11">
                  <c:v>2021</c:v>
                </c:pt>
                <c:pt idx="12">
                  <c:v>2022</c:v>
                </c:pt>
                <c:pt idx="13">
                  <c:v>2023</c:v>
                </c:pt>
                <c:pt idx="14">
                  <c:v>2024</c:v>
                </c:pt>
                <c:pt idx="15">
                  <c:v>2025</c:v>
                </c:pt>
                <c:pt idx="16">
                  <c:v>2026</c:v>
                </c:pt>
                <c:pt idx="17">
                  <c:v>2027</c:v>
                </c:pt>
                <c:pt idx="18">
                  <c:v>2028</c:v>
                </c:pt>
                <c:pt idx="19">
                  <c:v>2029</c:v>
                </c:pt>
                <c:pt idx="20">
                  <c:v>2030</c:v>
                </c:pt>
              </c:numCache>
            </c:numRef>
          </c:cat>
          <c:val>
            <c:numRef>
              <c:f>'w9'!$D$6:$X$6</c:f>
              <c:numCache>
                <c:formatCode>General</c:formatCode>
                <c:ptCount val="21"/>
                <c:pt idx="0">
                  <c:v>16.722207999999998</c:v>
                </c:pt>
                <c:pt idx="1">
                  <c:v>16.616143999999998</c:v>
                </c:pt>
                <c:pt idx="2">
                  <c:v>16.661898999999998</c:v>
                </c:pt>
                <c:pt idx="3">
                  <c:v>17.089649999999999</c:v>
                </c:pt>
                <c:pt idx="4">
                  <c:v>16.245460000000001</c:v>
                </c:pt>
                <c:pt idx="5">
                  <c:v>16.229479999999999</c:v>
                </c:pt>
                <c:pt idx="6">
                  <c:v>15.357253999999999</c:v>
                </c:pt>
                <c:pt idx="7">
                  <c:v>14.386471999999999</c:v>
                </c:pt>
                <c:pt idx="8">
                  <c:v>11.436109999999999</c:v>
                </c:pt>
                <c:pt idx="9">
                  <c:v>10.865424000000001</c:v>
                </c:pt>
                <c:pt idx="10">
                  <c:v>9.6315810000000006</c:v>
                </c:pt>
              </c:numCache>
            </c:numRef>
          </c:val>
          <c:smooth val="0"/>
          <c:extLst>
            <c:ext xmlns:c16="http://schemas.microsoft.com/office/drawing/2014/chart" uri="{C3380CC4-5D6E-409C-BE32-E72D297353CC}">
              <c16:uniqueId val="{00000001-E51D-4027-855D-5D2D48517B28}"/>
            </c:ext>
          </c:extLst>
        </c:ser>
        <c:ser>
          <c:idx val="1"/>
          <c:order val="1"/>
          <c:tx>
            <c:strRef>
              <c:f>'w9'!$C$7</c:f>
              <c:strCache>
                <c:ptCount val="1"/>
                <c:pt idx="0">
                  <c:v>wartość prognozowana</c:v>
                </c:pt>
              </c:strCache>
            </c:strRef>
          </c:tx>
          <c:spPr>
            <a:ln w="28575" cap="rnd">
              <a:solidFill>
                <a:schemeClr val="accent2"/>
              </a:solidFill>
              <a:prstDash val="sysDot"/>
              <a:round/>
            </a:ln>
            <a:effectLst/>
          </c:spPr>
          <c:marker>
            <c:symbol val="none"/>
          </c:marker>
          <c:dLbls>
            <c:dLbl>
              <c:idx val="20"/>
              <c:layout>
                <c:manualLayout>
                  <c:x val="0"/>
                  <c:y val="-2.9184907233687798E-2"/>
                </c:manualLayout>
              </c:layout>
              <c:numFmt formatCode="#,##0.00" sourceLinked="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E51D-4027-855D-5D2D48517B28}"/>
                </c:ext>
              </c:extLst>
            </c:dLbl>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'w9'!$D$5:$X$5</c:f>
              <c:numCache>
                <c:formatCode>General</c:formatCode>
                <c:ptCount val="21"/>
                <c:pt idx="0">
                  <c:v>2010</c:v>
                </c:pt>
                <c:pt idx="1">
                  <c:v>2011</c:v>
                </c:pt>
                <c:pt idx="2">
                  <c:v>2012</c:v>
                </c:pt>
                <c:pt idx="3">
                  <c:v>2013</c:v>
                </c:pt>
                <c:pt idx="4">
                  <c:v>2014</c:v>
                </c:pt>
                <c:pt idx="5">
                  <c:v>2015</c:v>
                </c:pt>
                <c:pt idx="6">
                  <c:v>2016</c:v>
                </c:pt>
                <c:pt idx="7">
                  <c:v>2017</c:v>
                </c:pt>
                <c:pt idx="8">
                  <c:v>2018</c:v>
                </c:pt>
                <c:pt idx="9">
                  <c:v>2019</c:v>
                </c:pt>
                <c:pt idx="10">
                  <c:v>2020</c:v>
                </c:pt>
                <c:pt idx="11">
                  <c:v>2021</c:v>
                </c:pt>
                <c:pt idx="12">
                  <c:v>2022</c:v>
                </c:pt>
                <c:pt idx="13">
                  <c:v>2023</c:v>
                </c:pt>
                <c:pt idx="14">
                  <c:v>2024</c:v>
                </c:pt>
                <c:pt idx="15">
                  <c:v>2025</c:v>
                </c:pt>
                <c:pt idx="16">
                  <c:v>2026</c:v>
                </c:pt>
                <c:pt idx="17">
                  <c:v>2027</c:v>
                </c:pt>
                <c:pt idx="18">
                  <c:v>2028</c:v>
                </c:pt>
                <c:pt idx="19">
                  <c:v>2029</c:v>
                </c:pt>
                <c:pt idx="20">
                  <c:v>2030</c:v>
                </c:pt>
              </c:numCache>
            </c:numRef>
          </c:cat>
          <c:val>
            <c:numRef>
              <c:f>'w9'!$D$7:$X$7</c:f>
              <c:numCache>
                <c:formatCode>General</c:formatCode>
                <c:ptCount val="21"/>
                <c:pt idx="10">
                  <c:v>9.6315810000000006</c:v>
                </c:pt>
                <c:pt idx="11">
                  <c:v>10.322796</c:v>
                </c:pt>
                <c:pt idx="12">
                  <c:v>9.6830289999999994</c:v>
                </c:pt>
                <c:pt idx="13">
                  <c:v>9.5432620000000004</c:v>
                </c:pt>
                <c:pt idx="14">
                  <c:v>8.9034949999999995</c:v>
                </c:pt>
                <c:pt idx="15">
                  <c:v>8.7637280000000004</c:v>
                </c:pt>
                <c:pt idx="16">
                  <c:v>8.6239610000000013</c:v>
                </c:pt>
                <c:pt idx="17">
                  <c:v>8.4841939999999987</c:v>
                </c:pt>
                <c:pt idx="18">
                  <c:v>8.3444269999999996</c:v>
                </c:pt>
                <c:pt idx="19">
                  <c:v>8.2046600000000005</c:v>
                </c:pt>
                <c:pt idx="20">
                  <c:v>8.0648929999999996</c:v>
                </c:pt>
              </c:numCache>
            </c:numRef>
          </c:val>
          <c:smooth val="0"/>
          <c:extLst>
            <c:ext xmlns:c16="http://schemas.microsoft.com/office/drawing/2014/chart" uri="{C3380CC4-5D6E-409C-BE32-E72D297353CC}">
              <c16:uniqueId val="{00000003-E51D-4027-855D-5D2D48517B28}"/>
            </c:ext>
          </c:extLst>
        </c:ser>
        <c:dLbls>
          <c:showLegendKey val="0"/>
          <c:showVal val="0"/>
          <c:showCatName val="0"/>
          <c:showSerName val="0"/>
          <c:showPercent val="0"/>
          <c:showBubbleSize val="0"/>
        </c:dLbls>
        <c:smooth val="0"/>
        <c:axId val="783745344"/>
        <c:axId val="783743048"/>
      </c:lineChart>
      <c:catAx>
        <c:axId val="783745344"/>
        <c:scaling>
          <c:orientation val="minMax"/>
        </c:scaling>
        <c:delete val="0"/>
        <c:axPos val="b"/>
        <c:title>
          <c:tx>
            <c:rich>
              <a:bodyPr rot="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pl-PL"/>
                  <a:t>rok</a:t>
                </a:r>
              </a:p>
            </c:rich>
          </c:tx>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title>
        <c:numFmt formatCode="General" sourceLinked="1"/>
        <c:majorTickMark val="none"/>
        <c:minorTickMark val="none"/>
        <c:tickLblPos val="nextTo"/>
        <c:spPr>
          <a:noFill/>
          <a:ln w="12700" cap="flat" cmpd="sng" algn="ctr">
            <a:solidFill>
              <a:schemeClr val="tx1"/>
            </a:solidFill>
            <a:round/>
          </a:ln>
          <a:effectLst/>
        </c:spPr>
        <c:txPr>
          <a:bodyPr rot="-2700000" spcFirstLastPara="1" vertOverflow="ellipsis"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crossAx val="783743048"/>
        <c:crosses val="autoZero"/>
        <c:auto val="1"/>
        <c:lblAlgn val="ctr"/>
        <c:lblOffset val="100"/>
        <c:noMultiLvlLbl val="0"/>
      </c:catAx>
      <c:valAx>
        <c:axId val="78374304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pl-PL"/>
                  <a:t>Emisja CO₂ z zakładów szczególnie uciązliwych, mln ton/rok</a:t>
                </a:r>
              </a:p>
            </c:rich>
          </c:tx>
          <c:overlay val="0"/>
          <c:spPr>
            <a:noFill/>
            <a:ln>
              <a:noFill/>
            </a:ln>
            <a:effectLst/>
          </c:spPr>
          <c:txPr>
            <a:bodyPr rot="-54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title>
        <c:numFmt formatCode="General" sourceLinked="1"/>
        <c:majorTickMark val="none"/>
        <c:minorTickMark val="none"/>
        <c:tickLblPos val="nextTo"/>
        <c:spPr>
          <a:noFill/>
          <a:ln w="12700">
            <a:solidFill>
              <a:schemeClr val="tx1"/>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crossAx val="78374534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sz="900">
          <a:solidFill>
            <a:sysClr val="windowText" lastClr="000000"/>
          </a:solidFill>
          <a:latin typeface="Arial" panose="020B0604020202020204" pitchFamily="34" charset="0"/>
          <a:cs typeface="Arial" panose="020B0604020202020204" pitchFamily="34" charset="0"/>
        </a:defRPr>
      </a:pPr>
      <a:endParaRPr lang="pl-PL"/>
    </a:p>
  </c:txPr>
  <c:externalData r:id="rId3">
    <c:autoUpdate val="0"/>
  </c:externalData>
</c:chartSpace>
</file>

<file path=word/charts/chart2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4317880403838409"/>
          <c:y val="5.0925925925925923E-2"/>
          <c:w val="0.83592155147273262"/>
          <c:h val="0.668322761738116"/>
        </c:manualLayout>
      </c:layout>
      <c:lineChart>
        <c:grouping val="standard"/>
        <c:varyColors val="0"/>
        <c:ser>
          <c:idx val="0"/>
          <c:order val="0"/>
          <c:tx>
            <c:strRef>
              <c:f>'w10'!$C$6</c:f>
              <c:strCache>
                <c:ptCount val="1"/>
                <c:pt idx="0">
                  <c:v>wartość rzeczywista</c:v>
                </c:pt>
              </c:strCache>
            </c:strRef>
          </c:tx>
          <c:spPr>
            <a:ln w="28575" cap="rnd">
              <a:solidFill>
                <a:schemeClr val="accent1"/>
              </a:solidFill>
              <a:round/>
            </a:ln>
            <a:effectLst/>
          </c:spPr>
          <c:marker>
            <c:symbol val="none"/>
          </c:marker>
          <c:dLbls>
            <c:dLbl>
              <c:idx val="0"/>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8772-4512-B217-65960ECE09C8}"/>
                </c:ext>
              </c:extLst>
            </c:dLbl>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'w10'!$D$5:$X$5</c:f>
              <c:numCache>
                <c:formatCode>General</c:formatCode>
                <c:ptCount val="21"/>
                <c:pt idx="0">
                  <c:v>2010</c:v>
                </c:pt>
                <c:pt idx="1">
                  <c:v>2011</c:v>
                </c:pt>
                <c:pt idx="2">
                  <c:v>2012</c:v>
                </c:pt>
                <c:pt idx="3">
                  <c:v>2013</c:v>
                </c:pt>
                <c:pt idx="4">
                  <c:v>2014</c:v>
                </c:pt>
                <c:pt idx="5">
                  <c:v>2015</c:v>
                </c:pt>
                <c:pt idx="6">
                  <c:v>2016</c:v>
                </c:pt>
                <c:pt idx="7">
                  <c:v>2017</c:v>
                </c:pt>
                <c:pt idx="8">
                  <c:v>2018</c:v>
                </c:pt>
                <c:pt idx="9">
                  <c:v>2019</c:v>
                </c:pt>
                <c:pt idx="10">
                  <c:v>2020</c:v>
                </c:pt>
                <c:pt idx="11">
                  <c:v>2021</c:v>
                </c:pt>
                <c:pt idx="12">
                  <c:v>2022</c:v>
                </c:pt>
                <c:pt idx="13">
                  <c:v>2023</c:v>
                </c:pt>
                <c:pt idx="14">
                  <c:v>2024</c:v>
                </c:pt>
                <c:pt idx="15">
                  <c:v>2025</c:v>
                </c:pt>
                <c:pt idx="16">
                  <c:v>2026</c:v>
                </c:pt>
                <c:pt idx="17">
                  <c:v>2027</c:v>
                </c:pt>
                <c:pt idx="18">
                  <c:v>2028</c:v>
                </c:pt>
                <c:pt idx="19">
                  <c:v>2029</c:v>
                </c:pt>
                <c:pt idx="20">
                  <c:v>2030</c:v>
                </c:pt>
              </c:numCache>
            </c:numRef>
          </c:cat>
          <c:val>
            <c:numRef>
              <c:f>'w10'!$D$6:$X$6</c:f>
              <c:numCache>
                <c:formatCode>General</c:formatCode>
                <c:ptCount val="21"/>
                <c:pt idx="0">
                  <c:v>5.6120000000000001</c:v>
                </c:pt>
                <c:pt idx="1">
                  <c:v>5.1870000000000003</c:v>
                </c:pt>
                <c:pt idx="2">
                  <c:v>4.6420000000000003</c:v>
                </c:pt>
                <c:pt idx="3">
                  <c:v>4.4779999999999998</c:v>
                </c:pt>
                <c:pt idx="4">
                  <c:v>4.6550000000000002</c:v>
                </c:pt>
                <c:pt idx="5">
                  <c:v>4.8860000000000001</c:v>
                </c:pt>
                <c:pt idx="6">
                  <c:v>4.9039999999999999</c:v>
                </c:pt>
                <c:pt idx="7">
                  <c:v>3.9649999999999999</c:v>
                </c:pt>
                <c:pt idx="8">
                  <c:v>2.1120000000000001</c:v>
                </c:pt>
                <c:pt idx="9">
                  <c:v>1.929</c:v>
                </c:pt>
                <c:pt idx="10">
                  <c:v>1.7150000000000001</c:v>
                </c:pt>
              </c:numCache>
            </c:numRef>
          </c:val>
          <c:smooth val="0"/>
          <c:extLst>
            <c:ext xmlns:c16="http://schemas.microsoft.com/office/drawing/2014/chart" uri="{C3380CC4-5D6E-409C-BE32-E72D297353CC}">
              <c16:uniqueId val="{00000001-8772-4512-B217-65960ECE09C8}"/>
            </c:ext>
          </c:extLst>
        </c:ser>
        <c:ser>
          <c:idx val="1"/>
          <c:order val="1"/>
          <c:tx>
            <c:strRef>
              <c:f>'w10'!$C$7</c:f>
              <c:strCache>
                <c:ptCount val="1"/>
                <c:pt idx="0">
                  <c:v>wartość prognozowana</c:v>
                </c:pt>
              </c:strCache>
            </c:strRef>
          </c:tx>
          <c:spPr>
            <a:ln w="28575" cap="rnd">
              <a:solidFill>
                <a:schemeClr val="accent2"/>
              </a:solidFill>
              <a:prstDash val="sysDot"/>
              <a:round/>
            </a:ln>
            <a:effectLst/>
          </c:spPr>
          <c:marker>
            <c:symbol val="none"/>
          </c:marker>
          <c:dLbls>
            <c:dLbl>
              <c:idx val="20"/>
              <c:layout>
                <c:manualLayout>
                  <c:x val="0"/>
                  <c:y val="-3.752345215759850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8772-4512-B217-65960ECE09C8}"/>
                </c:ext>
              </c:extLst>
            </c:dLbl>
            <c:numFmt formatCode="#,##0.00" sourceLinked="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'w10'!$D$5:$X$5</c:f>
              <c:numCache>
                <c:formatCode>General</c:formatCode>
                <c:ptCount val="21"/>
                <c:pt idx="0">
                  <c:v>2010</c:v>
                </c:pt>
                <c:pt idx="1">
                  <c:v>2011</c:v>
                </c:pt>
                <c:pt idx="2">
                  <c:v>2012</c:v>
                </c:pt>
                <c:pt idx="3">
                  <c:v>2013</c:v>
                </c:pt>
                <c:pt idx="4">
                  <c:v>2014</c:v>
                </c:pt>
                <c:pt idx="5">
                  <c:v>2015</c:v>
                </c:pt>
                <c:pt idx="6">
                  <c:v>2016</c:v>
                </c:pt>
                <c:pt idx="7">
                  <c:v>2017</c:v>
                </c:pt>
                <c:pt idx="8">
                  <c:v>2018</c:v>
                </c:pt>
                <c:pt idx="9">
                  <c:v>2019</c:v>
                </c:pt>
                <c:pt idx="10">
                  <c:v>2020</c:v>
                </c:pt>
                <c:pt idx="11">
                  <c:v>2021</c:v>
                </c:pt>
                <c:pt idx="12">
                  <c:v>2022</c:v>
                </c:pt>
                <c:pt idx="13">
                  <c:v>2023</c:v>
                </c:pt>
                <c:pt idx="14">
                  <c:v>2024</c:v>
                </c:pt>
                <c:pt idx="15">
                  <c:v>2025</c:v>
                </c:pt>
                <c:pt idx="16">
                  <c:v>2026</c:v>
                </c:pt>
                <c:pt idx="17">
                  <c:v>2027</c:v>
                </c:pt>
                <c:pt idx="18">
                  <c:v>2028</c:v>
                </c:pt>
                <c:pt idx="19">
                  <c:v>2029</c:v>
                </c:pt>
                <c:pt idx="20">
                  <c:v>2030</c:v>
                </c:pt>
              </c:numCache>
            </c:numRef>
          </c:cat>
          <c:val>
            <c:numRef>
              <c:f>'w10'!$D$7:$X$7</c:f>
              <c:numCache>
                <c:formatCode>General</c:formatCode>
                <c:ptCount val="21"/>
                <c:pt idx="10">
                  <c:v>1.7150000000000001</c:v>
                </c:pt>
                <c:pt idx="11">
                  <c:v>2.0938419223712463</c:v>
                </c:pt>
                <c:pt idx="12">
                  <c:v>1.8945865188138489</c:v>
                </c:pt>
                <c:pt idx="13">
                  <c:v>1.7142927739292597</c:v>
                </c:pt>
                <c:pt idx="14">
                  <c:v>1.5511562473198548</c:v>
                </c:pt>
                <c:pt idx="15">
                  <c:v>1.4035442137952456</c:v>
                </c:pt>
                <c:pt idx="16">
                  <c:v>1.2699793225098006</c:v>
                </c:pt>
                <c:pt idx="17">
                  <c:v>1.1491248111388253</c:v>
                </c:pt>
                <c:pt idx="18">
                  <c:v>1.0397711271119143</c:v>
                </c:pt>
                <c:pt idx="19">
                  <c:v>0.94082382200428427</c:v>
                </c:pt>
                <c:pt idx="20">
                  <c:v>0.85129259792907952</c:v>
                </c:pt>
              </c:numCache>
            </c:numRef>
          </c:val>
          <c:smooth val="0"/>
          <c:extLst>
            <c:ext xmlns:c16="http://schemas.microsoft.com/office/drawing/2014/chart" uri="{C3380CC4-5D6E-409C-BE32-E72D297353CC}">
              <c16:uniqueId val="{00000003-8772-4512-B217-65960ECE09C8}"/>
            </c:ext>
          </c:extLst>
        </c:ser>
        <c:dLbls>
          <c:showLegendKey val="0"/>
          <c:showVal val="0"/>
          <c:showCatName val="0"/>
          <c:showSerName val="0"/>
          <c:showPercent val="0"/>
          <c:showBubbleSize val="0"/>
        </c:dLbls>
        <c:smooth val="0"/>
        <c:axId val="783745344"/>
        <c:axId val="783743048"/>
      </c:lineChart>
      <c:catAx>
        <c:axId val="783745344"/>
        <c:scaling>
          <c:orientation val="minMax"/>
        </c:scaling>
        <c:delete val="0"/>
        <c:axPos val="b"/>
        <c:title>
          <c:tx>
            <c:rich>
              <a:bodyPr rot="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pl-PL"/>
                  <a:t>rok</a:t>
                </a:r>
              </a:p>
            </c:rich>
          </c:tx>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title>
        <c:numFmt formatCode="General" sourceLinked="1"/>
        <c:majorTickMark val="none"/>
        <c:minorTickMark val="none"/>
        <c:tickLblPos val="nextTo"/>
        <c:spPr>
          <a:noFill/>
          <a:ln w="12700" cap="flat" cmpd="sng" algn="ctr">
            <a:solidFill>
              <a:schemeClr val="tx1"/>
            </a:solidFill>
            <a:round/>
          </a:ln>
          <a:effectLst/>
        </c:spPr>
        <c:txPr>
          <a:bodyPr rot="-2700000" spcFirstLastPara="1" vertOverflow="ellipsis"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crossAx val="783743048"/>
        <c:crosses val="autoZero"/>
        <c:auto val="1"/>
        <c:lblAlgn val="ctr"/>
        <c:lblOffset val="100"/>
        <c:noMultiLvlLbl val="0"/>
      </c:catAx>
      <c:valAx>
        <c:axId val="78374304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pl-PL"/>
                  <a:t>Emisja zanieczyszczeń pyłowych powietrza z zakładów szczególnie uciążliwych dla czystości powietrza, tys. ton/rok</a:t>
                </a:r>
              </a:p>
            </c:rich>
          </c:tx>
          <c:overlay val="0"/>
          <c:spPr>
            <a:noFill/>
            <a:ln>
              <a:noFill/>
            </a:ln>
            <a:effectLst/>
          </c:spPr>
          <c:txPr>
            <a:bodyPr rot="-54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title>
        <c:numFmt formatCode="General" sourceLinked="1"/>
        <c:majorTickMark val="none"/>
        <c:minorTickMark val="none"/>
        <c:tickLblPos val="nextTo"/>
        <c:spPr>
          <a:noFill/>
          <a:ln w="12700">
            <a:solidFill>
              <a:schemeClr val="tx1"/>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crossAx val="78374534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sz="900">
          <a:solidFill>
            <a:sysClr val="windowText" lastClr="000000"/>
          </a:solidFill>
          <a:latin typeface="Arial" panose="020B0604020202020204" pitchFamily="34" charset="0"/>
          <a:cs typeface="Arial" panose="020B0604020202020204" pitchFamily="34" charset="0"/>
        </a:defRPr>
      </a:pPr>
      <a:endParaRPr lang="pl-PL"/>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solidFill>
              <a:srgbClr val="173457"/>
            </a:solidFill>
            <a:ln>
              <a:solidFill>
                <a:srgbClr val="51BBB6"/>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'B2'!$B$6:$B$10</c:f>
              <c:strCache>
                <c:ptCount val="5"/>
                <c:pt idx="0">
                  <c:v>Inwestycje</c:v>
                </c:pt>
                <c:pt idx="1">
                  <c:v>Nakłady na działalność B+R</c:v>
                </c:pt>
                <c:pt idx="2">
                  <c:v>Innowacyjne produkty</c:v>
                </c:pt>
                <c:pt idx="3">
                  <c:v>Innowacyjne usługi</c:v>
                </c:pt>
                <c:pt idx="4">
                  <c:v>Innowacyjne działania</c:v>
                </c:pt>
              </c:strCache>
            </c:strRef>
          </c:cat>
          <c:val>
            <c:numRef>
              <c:f>'B2'!$E$6:$E$10</c:f>
              <c:numCache>
                <c:formatCode>0.0%</c:formatCode>
                <c:ptCount val="5"/>
                <c:pt idx="0">
                  <c:v>3.8461538461538464E-2</c:v>
                </c:pt>
                <c:pt idx="1">
                  <c:v>0.15384615384615385</c:v>
                </c:pt>
                <c:pt idx="2">
                  <c:v>0.19230769230769229</c:v>
                </c:pt>
                <c:pt idx="3">
                  <c:v>0.26923076923076922</c:v>
                </c:pt>
                <c:pt idx="4">
                  <c:v>0.34615384615384615</c:v>
                </c:pt>
              </c:numCache>
            </c:numRef>
          </c:val>
          <c:extLst>
            <c:ext xmlns:c16="http://schemas.microsoft.com/office/drawing/2014/chart" uri="{C3380CC4-5D6E-409C-BE32-E72D297353CC}">
              <c16:uniqueId val="{00000000-52C9-4EB7-BA5C-322BFD9B2321}"/>
            </c:ext>
          </c:extLst>
        </c:ser>
        <c:dLbls>
          <c:dLblPos val="outEnd"/>
          <c:showLegendKey val="0"/>
          <c:showVal val="1"/>
          <c:showCatName val="0"/>
          <c:showSerName val="0"/>
          <c:showPercent val="0"/>
          <c:showBubbleSize val="0"/>
        </c:dLbls>
        <c:gapWidth val="182"/>
        <c:axId val="768890240"/>
        <c:axId val="768886432"/>
      </c:barChart>
      <c:catAx>
        <c:axId val="76889024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crossAx val="768886432"/>
        <c:crosses val="autoZero"/>
        <c:auto val="1"/>
        <c:lblAlgn val="ctr"/>
        <c:lblOffset val="100"/>
        <c:noMultiLvlLbl val="0"/>
      </c:catAx>
      <c:valAx>
        <c:axId val="768886432"/>
        <c:scaling>
          <c:orientation val="minMax"/>
        </c:scaling>
        <c:delete val="1"/>
        <c:axPos val="b"/>
        <c:majorGridlines>
          <c:spPr>
            <a:ln w="9525" cap="flat" cmpd="sng" algn="ctr">
              <a:noFill/>
              <a:round/>
            </a:ln>
            <a:effectLst/>
          </c:spPr>
        </c:majorGridlines>
        <c:numFmt formatCode="0%" sourceLinked="0"/>
        <c:majorTickMark val="none"/>
        <c:minorTickMark val="none"/>
        <c:tickLblPos val="nextTo"/>
        <c:crossAx val="768890240"/>
        <c:crosses val="autoZero"/>
        <c:crossBetween val="between"/>
        <c:majorUnit val="0.1"/>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3">
    <c:autoUpdate val="0"/>
  </c:externalData>
</c:chartSpace>
</file>

<file path=word/charts/chart3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0041019178158287"/>
          <c:y val="5.0925925925925923E-2"/>
          <c:w val="0.77868999014012119"/>
          <c:h val="0.668322761738116"/>
        </c:manualLayout>
      </c:layout>
      <c:lineChart>
        <c:grouping val="standard"/>
        <c:varyColors val="0"/>
        <c:ser>
          <c:idx val="0"/>
          <c:order val="0"/>
          <c:tx>
            <c:strRef>
              <c:f>'w11'!$C$6</c:f>
              <c:strCache>
                <c:ptCount val="1"/>
                <c:pt idx="0">
                  <c:v>wartość rzeczywista</c:v>
                </c:pt>
              </c:strCache>
            </c:strRef>
          </c:tx>
          <c:spPr>
            <a:ln w="28575" cap="rnd">
              <a:solidFill>
                <a:schemeClr val="accent1"/>
              </a:solidFill>
              <a:round/>
            </a:ln>
            <a:effectLst/>
          </c:spPr>
          <c:marker>
            <c:symbol val="none"/>
          </c:marker>
          <c:dLbls>
            <c:dLbl>
              <c:idx val="0"/>
              <c:layout>
                <c:manualLayout>
                  <c:x val="-1.2974408744955816E-2"/>
                  <c:y val="-2.918490723368772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940B-4C62-92F2-55E68E2C0AFB}"/>
                </c:ext>
              </c:extLst>
            </c:dLbl>
            <c:numFmt formatCode="#,##0" sourceLinked="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'w11'!$D$5:$X$5</c:f>
              <c:numCache>
                <c:formatCode>General</c:formatCode>
                <c:ptCount val="21"/>
                <c:pt idx="0">
                  <c:v>2010</c:v>
                </c:pt>
                <c:pt idx="1">
                  <c:v>2011</c:v>
                </c:pt>
                <c:pt idx="2">
                  <c:v>2012</c:v>
                </c:pt>
                <c:pt idx="3">
                  <c:v>2013</c:v>
                </c:pt>
                <c:pt idx="4">
                  <c:v>2014</c:v>
                </c:pt>
                <c:pt idx="5">
                  <c:v>2015</c:v>
                </c:pt>
                <c:pt idx="6">
                  <c:v>2016</c:v>
                </c:pt>
                <c:pt idx="7">
                  <c:v>2017</c:v>
                </c:pt>
                <c:pt idx="8">
                  <c:v>2018</c:v>
                </c:pt>
                <c:pt idx="9">
                  <c:v>2019</c:v>
                </c:pt>
                <c:pt idx="10">
                  <c:v>2020</c:v>
                </c:pt>
                <c:pt idx="11">
                  <c:v>2021</c:v>
                </c:pt>
                <c:pt idx="12">
                  <c:v>2022</c:v>
                </c:pt>
                <c:pt idx="13">
                  <c:v>2023</c:v>
                </c:pt>
                <c:pt idx="14">
                  <c:v>2024</c:v>
                </c:pt>
                <c:pt idx="15">
                  <c:v>2025</c:v>
                </c:pt>
                <c:pt idx="16">
                  <c:v>2026</c:v>
                </c:pt>
                <c:pt idx="17">
                  <c:v>2027</c:v>
                </c:pt>
                <c:pt idx="18">
                  <c:v>2028</c:v>
                </c:pt>
                <c:pt idx="19">
                  <c:v>2029</c:v>
                </c:pt>
                <c:pt idx="20">
                  <c:v>2030</c:v>
                </c:pt>
              </c:numCache>
            </c:numRef>
          </c:cat>
          <c:val>
            <c:numRef>
              <c:f>'w11'!$D$6:$X$6</c:f>
              <c:numCache>
                <c:formatCode>General</c:formatCode>
                <c:ptCount val="21"/>
                <c:pt idx="0">
                  <c:v>16801.325000000001</c:v>
                </c:pt>
                <c:pt idx="1">
                  <c:v>16702.195</c:v>
                </c:pt>
                <c:pt idx="2">
                  <c:v>16746.326000000001</c:v>
                </c:pt>
                <c:pt idx="3">
                  <c:v>17169.379000000001</c:v>
                </c:pt>
                <c:pt idx="4">
                  <c:v>16323.09</c:v>
                </c:pt>
                <c:pt idx="5">
                  <c:v>16305.965</c:v>
                </c:pt>
                <c:pt idx="6">
                  <c:v>15427.032999999999</c:v>
                </c:pt>
                <c:pt idx="7">
                  <c:v>14447.487999999999</c:v>
                </c:pt>
                <c:pt idx="8">
                  <c:v>11472.803</c:v>
                </c:pt>
                <c:pt idx="9">
                  <c:v>10897.868</c:v>
                </c:pt>
                <c:pt idx="10">
                  <c:v>9665.4449999999997</c:v>
                </c:pt>
              </c:numCache>
            </c:numRef>
          </c:val>
          <c:smooth val="0"/>
          <c:extLst>
            <c:ext xmlns:c16="http://schemas.microsoft.com/office/drawing/2014/chart" uri="{C3380CC4-5D6E-409C-BE32-E72D297353CC}">
              <c16:uniqueId val="{00000001-940B-4C62-92F2-55E68E2C0AFB}"/>
            </c:ext>
          </c:extLst>
        </c:ser>
        <c:ser>
          <c:idx val="1"/>
          <c:order val="1"/>
          <c:tx>
            <c:strRef>
              <c:f>'w11'!$C$7</c:f>
              <c:strCache>
                <c:ptCount val="1"/>
                <c:pt idx="0">
                  <c:v>wartość prognozowana</c:v>
                </c:pt>
              </c:strCache>
            </c:strRef>
          </c:tx>
          <c:spPr>
            <a:ln w="28575" cap="rnd">
              <a:solidFill>
                <a:schemeClr val="accent2"/>
              </a:solidFill>
              <a:prstDash val="sysDot"/>
              <a:round/>
            </a:ln>
            <a:effectLst/>
          </c:spPr>
          <c:marker>
            <c:symbol val="none"/>
          </c:marker>
          <c:dLbls>
            <c:dLbl>
              <c:idx val="20"/>
              <c:layout>
                <c:manualLayout>
                  <c:x val="-1.3592080715934565E-16"/>
                  <c:y val="-4.169272461955396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940B-4C62-92F2-55E68E2C0AFB}"/>
                </c:ext>
              </c:extLst>
            </c:dLbl>
            <c:numFmt formatCode="#,##0" sourceLinked="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'w11'!$D$5:$X$5</c:f>
              <c:numCache>
                <c:formatCode>General</c:formatCode>
                <c:ptCount val="21"/>
                <c:pt idx="0">
                  <c:v>2010</c:v>
                </c:pt>
                <c:pt idx="1">
                  <c:v>2011</c:v>
                </c:pt>
                <c:pt idx="2">
                  <c:v>2012</c:v>
                </c:pt>
                <c:pt idx="3">
                  <c:v>2013</c:v>
                </c:pt>
                <c:pt idx="4">
                  <c:v>2014</c:v>
                </c:pt>
                <c:pt idx="5">
                  <c:v>2015</c:v>
                </c:pt>
                <c:pt idx="6">
                  <c:v>2016</c:v>
                </c:pt>
                <c:pt idx="7">
                  <c:v>2017</c:v>
                </c:pt>
                <c:pt idx="8">
                  <c:v>2018</c:v>
                </c:pt>
                <c:pt idx="9">
                  <c:v>2019</c:v>
                </c:pt>
                <c:pt idx="10">
                  <c:v>2020</c:v>
                </c:pt>
                <c:pt idx="11">
                  <c:v>2021</c:v>
                </c:pt>
                <c:pt idx="12">
                  <c:v>2022</c:v>
                </c:pt>
                <c:pt idx="13">
                  <c:v>2023</c:v>
                </c:pt>
                <c:pt idx="14">
                  <c:v>2024</c:v>
                </c:pt>
                <c:pt idx="15">
                  <c:v>2025</c:v>
                </c:pt>
                <c:pt idx="16">
                  <c:v>2026</c:v>
                </c:pt>
                <c:pt idx="17">
                  <c:v>2027</c:v>
                </c:pt>
                <c:pt idx="18">
                  <c:v>2028</c:v>
                </c:pt>
                <c:pt idx="19">
                  <c:v>2029</c:v>
                </c:pt>
                <c:pt idx="20">
                  <c:v>2030</c:v>
                </c:pt>
              </c:numCache>
            </c:numRef>
          </c:cat>
          <c:val>
            <c:numRef>
              <c:f>'w11'!$D$7:$X$7</c:f>
              <c:numCache>
                <c:formatCode>General</c:formatCode>
                <c:ptCount val="21"/>
                <c:pt idx="10">
                  <c:v>9665.4449999999997</c:v>
                </c:pt>
                <c:pt idx="11">
                  <c:v>11035.400000000001</c:v>
                </c:pt>
                <c:pt idx="12">
                  <c:v>10390.1</c:v>
                </c:pt>
                <c:pt idx="13">
                  <c:v>9744.8000000000011</c:v>
                </c:pt>
                <c:pt idx="14">
                  <c:v>9099.5</c:v>
                </c:pt>
                <c:pt idx="15">
                  <c:v>8454.2000000000007</c:v>
                </c:pt>
                <c:pt idx="16">
                  <c:v>8308.9000000000015</c:v>
                </c:pt>
                <c:pt idx="17">
                  <c:v>7663.6</c:v>
                </c:pt>
                <c:pt idx="18">
                  <c:v>7018.3000000000011</c:v>
                </c:pt>
                <c:pt idx="19">
                  <c:v>6873</c:v>
                </c:pt>
                <c:pt idx="20">
                  <c:v>6227.7000000000007</c:v>
                </c:pt>
              </c:numCache>
            </c:numRef>
          </c:val>
          <c:smooth val="0"/>
          <c:extLst>
            <c:ext xmlns:c16="http://schemas.microsoft.com/office/drawing/2014/chart" uri="{C3380CC4-5D6E-409C-BE32-E72D297353CC}">
              <c16:uniqueId val="{00000003-940B-4C62-92F2-55E68E2C0AFB}"/>
            </c:ext>
          </c:extLst>
        </c:ser>
        <c:dLbls>
          <c:showLegendKey val="0"/>
          <c:showVal val="0"/>
          <c:showCatName val="0"/>
          <c:showSerName val="0"/>
          <c:showPercent val="0"/>
          <c:showBubbleSize val="0"/>
        </c:dLbls>
        <c:smooth val="0"/>
        <c:axId val="783745344"/>
        <c:axId val="783743048"/>
      </c:lineChart>
      <c:catAx>
        <c:axId val="783745344"/>
        <c:scaling>
          <c:orientation val="minMax"/>
        </c:scaling>
        <c:delete val="0"/>
        <c:axPos val="b"/>
        <c:title>
          <c:tx>
            <c:rich>
              <a:bodyPr rot="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pl-PL"/>
                  <a:t>rok</a:t>
                </a:r>
              </a:p>
            </c:rich>
          </c:tx>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title>
        <c:numFmt formatCode="General" sourceLinked="1"/>
        <c:majorTickMark val="none"/>
        <c:minorTickMark val="none"/>
        <c:tickLblPos val="nextTo"/>
        <c:spPr>
          <a:noFill/>
          <a:ln w="12700" cap="flat" cmpd="sng" algn="ctr">
            <a:solidFill>
              <a:schemeClr val="tx1"/>
            </a:solidFill>
            <a:round/>
          </a:ln>
          <a:effectLst/>
        </c:spPr>
        <c:txPr>
          <a:bodyPr rot="-2700000" spcFirstLastPara="1" vertOverflow="ellipsis"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crossAx val="783743048"/>
        <c:crosses val="autoZero"/>
        <c:auto val="1"/>
        <c:lblAlgn val="ctr"/>
        <c:lblOffset val="100"/>
        <c:noMultiLvlLbl val="0"/>
      </c:catAx>
      <c:valAx>
        <c:axId val="78374304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pl-PL"/>
                  <a:t>Emisja zanieczyszczeń gazowych powietrza z zakładów szczególnie uciążliwych dla czystości powietrza, tys. ton/rok</a:t>
                </a:r>
              </a:p>
            </c:rich>
          </c:tx>
          <c:overlay val="0"/>
          <c:spPr>
            <a:noFill/>
            <a:ln>
              <a:noFill/>
            </a:ln>
            <a:effectLst/>
          </c:spPr>
          <c:txPr>
            <a:bodyPr rot="-54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title>
        <c:numFmt formatCode="General" sourceLinked="1"/>
        <c:majorTickMark val="none"/>
        <c:minorTickMark val="none"/>
        <c:tickLblPos val="nextTo"/>
        <c:spPr>
          <a:noFill/>
          <a:ln w="12700">
            <a:solidFill>
              <a:schemeClr val="tx1"/>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crossAx val="78374534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sz="900">
          <a:solidFill>
            <a:sysClr val="windowText" lastClr="000000"/>
          </a:solidFill>
          <a:latin typeface="Arial" panose="020B0604020202020204" pitchFamily="34" charset="0"/>
          <a:cs typeface="Arial" panose="020B0604020202020204" pitchFamily="34" charset="0"/>
        </a:defRPr>
      </a:pPr>
      <a:endParaRPr lang="pl-PL"/>
    </a:p>
  </c:txPr>
  <c:externalData r:id="rId3">
    <c:autoUpdate val="0"/>
  </c:externalData>
</c:chartSpace>
</file>

<file path=word/charts/chart3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1733297827300052"/>
          <c:y val="5.0925925925925923E-2"/>
          <c:w val="0.86176733275386685"/>
          <c:h val="0.668322761738116"/>
        </c:manualLayout>
      </c:layout>
      <c:lineChart>
        <c:grouping val="standard"/>
        <c:varyColors val="0"/>
        <c:ser>
          <c:idx val="0"/>
          <c:order val="0"/>
          <c:tx>
            <c:strRef>
              <c:f>'w29'!$C$6</c:f>
              <c:strCache>
                <c:ptCount val="1"/>
                <c:pt idx="0">
                  <c:v>wartość rzeczywista</c:v>
                </c:pt>
              </c:strCache>
            </c:strRef>
          </c:tx>
          <c:spPr>
            <a:ln w="28575" cap="rnd">
              <a:solidFill>
                <a:schemeClr val="accent1"/>
              </a:solidFill>
              <a:round/>
            </a:ln>
            <a:effectLst/>
          </c:spPr>
          <c:marker>
            <c:symbol val="none"/>
          </c:marker>
          <c:dLbls>
            <c:dLbl>
              <c:idx val="0"/>
              <c:layout>
                <c:manualLayout>
                  <c:x val="-1.8534869635651166E-2"/>
                  <c:y val="-3.33541796956431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92CE-4B22-8A14-020476384049}"/>
                </c:ext>
              </c:extLst>
            </c:dLbl>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'w29'!$D$5:$X$5</c:f>
              <c:numCache>
                <c:formatCode>General</c:formatCode>
                <c:ptCount val="21"/>
                <c:pt idx="0">
                  <c:v>2010</c:v>
                </c:pt>
                <c:pt idx="1">
                  <c:v>2011</c:v>
                </c:pt>
                <c:pt idx="2">
                  <c:v>2012</c:v>
                </c:pt>
                <c:pt idx="3">
                  <c:v>2013</c:v>
                </c:pt>
                <c:pt idx="4">
                  <c:v>2014</c:v>
                </c:pt>
                <c:pt idx="5">
                  <c:v>2015</c:v>
                </c:pt>
                <c:pt idx="6">
                  <c:v>2016</c:v>
                </c:pt>
                <c:pt idx="7">
                  <c:v>2017</c:v>
                </c:pt>
                <c:pt idx="8">
                  <c:v>2018</c:v>
                </c:pt>
                <c:pt idx="9">
                  <c:v>2019</c:v>
                </c:pt>
                <c:pt idx="10">
                  <c:v>2020</c:v>
                </c:pt>
                <c:pt idx="11">
                  <c:v>2021</c:v>
                </c:pt>
                <c:pt idx="12">
                  <c:v>2022</c:v>
                </c:pt>
                <c:pt idx="13">
                  <c:v>2023</c:v>
                </c:pt>
                <c:pt idx="14">
                  <c:v>2024</c:v>
                </c:pt>
                <c:pt idx="15">
                  <c:v>2025</c:v>
                </c:pt>
                <c:pt idx="16">
                  <c:v>2026</c:v>
                </c:pt>
                <c:pt idx="17">
                  <c:v>2027</c:v>
                </c:pt>
                <c:pt idx="18">
                  <c:v>2028</c:v>
                </c:pt>
                <c:pt idx="19">
                  <c:v>2029</c:v>
                </c:pt>
                <c:pt idx="20">
                  <c:v>2030</c:v>
                </c:pt>
              </c:numCache>
            </c:numRef>
          </c:cat>
          <c:val>
            <c:numRef>
              <c:f>'w29'!$D$6:$X$6</c:f>
              <c:numCache>
                <c:formatCode>General</c:formatCode>
                <c:ptCount val="21"/>
                <c:pt idx="0">
                  <c:v>915.06</c:v>
                </c:pt>
                <c:pt idx="1">
                  <c:v>928.38</c:v>
                </c:pt>
                <c:pt idx="2">
                  <c:v>933.85</c:v>
                </c:pt>
                <c:pt idx="3">
                  <c:v>949.77</c:v>
                </c:pt>
                <c:pt idx="4">
                  <c:v>1044.82</c:v>
                </c:pt>
                <c:pt idx="5">
                  <c:v>1070.42</c:v>
                </c:pt>
                <c:pt idx="6">
                  <c:v>1132.3</c:v>
                </c:pt>
                <c:pt idx="7">
                  <c:v>1194.1400000000001</c:v>
                </c:pt>
                <c:pt idx="8">
                  <c:v>1223.73</c:v>
                </c:pt>
                <c:pt idx="9">
                  <c:v>1240.3399999999999</c:v>
                </c:pt>
                <c:pt idx="10">
                  <c:v>1254.68</c:v>
                </c:pt>
              </c:numCache>
            </c:numRef>
          </c:val>
          <c:smooth val="0"/>
          <c:extLst>
            <c:ext xmlns:c16="http://schemas.microsoft.com/office/drawing/2014/chart" uri="{C3380CC4-5D6E-409C-BE32-E72D297353CC}">
              <c16:uniqueId val="{00000001-92CE-4B22-8A14-020476384049}"/>
            </c:ext>
          </c:extLst>
        </c:ser>
        <c:ser>
          <c:idx val="1"/>
          <c:order val="1"/>
          <c:tx>
            <c:strRef>
              <c:f>'w29'!$C$7</c:f>
              <c:strCache>
                <c:ptCount val="1"/>
                <c:pt idx="0">
                  <c:v>wartość prognozowana</c:v>
                </c:pt>
              </c:strCache>
            </c:strRef>
          </c:tx>
          <c:spPr>
            <a:ln w="28575" cap="rnd">
              <a:solidFill>
                <a:schemeClr val="accent2"/>
              </a:solidFill>
              <a:prstDash val="sysDot"/>
              <a:round/>
            </a:ln>
            <a:effectLst/>
          </c:spPr>
          <c:marker>
            <c:symbol val="none"/>
          </c:marker>
          <c:dLbls>
            <c:dLbl>
              <c:idx val="20"/>
              <c:layout>
                <c:manualLayout>
                  <c:x val="-1.2974408744955816E-2"/>
                  <c:y val="-1.250781738586616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92CE-4B22-8A14-020476384049}"/>
                </c:ext>
              </c:extLst>
            </c:dLbl>
            <c:numFmt formatCode="#,##0.00" sourceLinked="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'w29'!$D$5:$X$5</c:f>
              <c:numCache>
                <c:formatCode>General</c:formatCode>
                <c:ptCount val="21"/>
                <c:pt idx="0">
                  <c:v>2010</c:v>
                </c:pt>
                <c:pt idx="1">
                  <c:v>2011</c:v>
                </c:pt>
                <c:pt idx="2">
                  <c:v>2012</c:v>
                </c:pt>
                <c:pt idx="3">
                  <c:v>2013</c:v>
                </c:pt>
                <c:pt idx="4">
                  <c:v>2014</c:v>
                </c:pt>
                <c:pt idx="5">
                  <c:v>2015</c:v>
                </c:pt>
                <c:pt idx="6">
                  <c:v>2016</c:v>
                </c:pt>
                <c:pt idx="7">
                  <c:v>2017</c:v>
                </c:pt>
                <c:pt idx="8">
                  <c:v>2018</c:v>
                </c:pt>
                <c:pt idx="9">
                  <c:v>2019</c:v>
                </c:pt>
                <c:pt idx="10">
                  <c:v>2020</c:v>
                </c:pt>
                <c:pt idx="11">
                  <c:v>2021</c:v>
                </c:pt>
                <c:pt idx="12">
                  <c:v>2022</c:v>
                </c:pt>
                <c:pt idx="13">
                  <c:v>2023</c:v>
                </c:pt>
                <c:pt idx="14">
                  <c:v>2024</c:v>
                </c:pt>
                <c:pt idx="15">
                  <c:v>2025</c:v>
                </c:pt>
                <c:pt idx="16">
                  <c:v>2026</c:v>
                </c:pt>
                <c:pt idx="17">
                  <c:v>2027</c:v>
                </c:pt>
                <c:pt idx="18">
                  <c:v>2028</c:v>
                </c:pt>
                <c:pt idx="19">
                  <c:v>2029</c:v>
                </c:pt>
                <c:pt idx="20">
                  <c:v>2030</c:v>
                </c:pt>
              </c:numCache>
            </c:numRef>
          </c:cat>
          <c:val>
            <c:numRef>
              <c:f>'w29'!$D$7:$X$7</c:f>
              <c:numCache>
                <c:formatCode>General</c:formatCode>
                <c:ptCount val="21"/>
                <c:pt idx="10">
                  <c:v>1254.68</c:v>
                </c:pt>
                <c:pt idx="11">
                  <c:v>1224.2</c:v>
                </c:pt>
                <c:pt idx="12">
                  <c:v>1246.125</c:v>
                </c:pt>
                <c:pt idx="13">
                  <c:v>1268.05</c:v>
                </c:pt>
                <c:pt idx="14">
                  <c:v>1289.9749999999999</c:v>
                </c:pt>
                <c:pt idx="15">
                  <c:v>1311.9</c:v>
                </c:pt>
                <c:pt idx="16">
                  <c:v>1333.8255000000001</c:v>
                </c:pt>
                <c:pt idx="17">
                  <c:v>1355.751</c:v>
                </c:pt>
                <c:pt idx="18">
                  <c:v>1377.6765</c:v>
                </c:pt>
                <c:pt idx="19">
                  <c:v>1399.6021999999998</c:v>
                </c:pt>
                <c:pt idx="20">
                  <c:v>1421.5282000000002</c:v>
                </c:pt>
              </c:numCache>
            </c:numRef>
          </c:val>
          <c:smooth val="0"/>
          <c:extLst>
            <c:ext xmlns:c16="http://schemas.microsoft.com/office/drawing/2014/chart" uri="{C3380CC4-5D6E-409C-BE32-E72D297353CC}">
              <c16:uniqueId val="{00000003-92CE-4B22-8A14-020476384049}"/>
            </c:ext>
          </c:extLst>
        </c:ser>
        <c:dLbls>
          <c:showLegendKey val="0"/>
          <c:showVal val="0"/>
          <c:showCatName val="0"/>
          <c:showSerName val="0"/>
          <c:showPercent val="0"/>
          <c:showBubbleSize val="0"/>
        </c:dLbls>
        <c:smooth val="0"/>
        <c:axId val="783745344"/>
        <c:axId val="783743048"/>
      </c:lineChart>
      <c:catAx>
        <c:axId val="783745344"/>
        <c:scaling>
          <c:orientation val="minMax"/>
        </c:scaling>
        <c:delete val="0"/>
        <c:axPos val="b"/>
        <c:title>
          <c:tx>
            <c:rich>
              <a:bodyPr rot="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pl-PL"/>
                  <a:t>rok</a:t>
                </a:r>
              </a:p>
            </c:rich>
          </c:tx>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title>
        <c:numFmt formatCode="General" sourceLinked="1"/>
        <c:majorTickMark val="none"/>
        <c:minorTickMark val="none"/>
        <c:tickLblPos val="nextTo"/>
        <c:spPr>
          <a:noFill/>
          <a:ln w="12700" cap="flat" cmpd="sng" algn="ctr">
            <a:solidFill>
              <a:schemeClr val="tx1"/>
            </a:solidFill>
            <a:round/>
          </a:ln>
          <a:effectLst/>
        </c:spPr>
        <c:txPr>
          <a:bodyPr rot="-2700000" spcFirstLastPara="1" vertOverflow="ellipsis"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crossAx val="783743048"/>
        <c:crosses val="autoZero"/>
        <c:auto val="1"/>
        <c:lblAlgn val="ctr"/>
        <c:lblOffset val="100"/>
        <c:noMultiLvlLbl val="0"/>
      </c:catAx>
      <c:valAx>
        <c:axId val="783743048"/>
        <c:scaling>
          <c:orientation val="minMax"/>
        </c:scaling>
        <c:delete val="0"/>
        <c:axPos val="l"/>
        <c:majorGridlines>
          <c:spPr>
            <a:ln w="9525" cap="flat" cmpd="sng" algn="ctr">
              <a:solidFill>
                <a:schemeClr val="tx1">
                  <a:lumMod val="15000"/>
                  <a:lumOff val="85000"/>
                </a:schemeClr>
              </a:solidFill>
              <a:round/>
            </a:ln>
            <a:effectLst/>
          </c:spPr>
        </c:majorGridlines>
        <c:title>
          <c:tx>
            <c:strRef>
              <c:f>'w29'!$B$4</c:f>
              <c:strCache>
                <c:ptCount val="1"/>
                <c:pt idx="0">
                  <c:v>Odpady komunalne zebrane w ciągu roku, tys. ton</c:v>
                </c:pt>
              </c:strCache>
            </c:strRef>
          </c:tx>
          <c:overlay val="0"/>
          <c:spPr>
            <a:noFill/>
            <a:ln>
              <a:noFill/>
            </a:ln>
            <a:effectLst/>
          </c:spPr>
          <c:txPr>
            <a:bodyPr rot="-54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title>
        <c:numFmt formatCode="#,##0" sourceLinked="0"/>
        <c:majorTickMark val="none"/>
        <c:minorTickMark val="none"/>
        <c:tickLblPos val="nextTo"/>
        <c:spPr>
          <a:noFill/>
          <a:ln w="12700">
            <a:solidFill>
              <a:schemeClr val="tx1"/>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crossAx val="78374534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sz="900">
          <a:solidFill>
            <a:sysClr val="windowText" lastClr="000000"/>
          </a:solidFill>
          <a:latin typeface="Arial" panose="020B0604020202020204" pitchFamily="34" charset="0"/>
          <a:cs typeface="Arial" panose="020B0604020202020204" pitchFamily="34" charset="0"/>
        </a:defRPr>
      </a:pPr>
      <a:endParaRPr lang="pl-PL"/>
    </a:p>
  </c:txPr>
  <c:externalData r:id="rId3">
    <c:autoUpdate val="0"/>
  </c:externalData>
</c:chartSpace>
</file>

<file path=word/charts/chart3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5411418987631983"/>
          <c:y val="5.0925925925925923E-2"/>
          <c:w val="0.82498603948518756"/>
          <c:h val="0.668322761738116"/>
        </c:manualLayout>
      </c:layout>
      <c:lineChart>
        <c:grouping val="standard"/>
        <c:varyColors val="0"/>
        <c:ser>
          <c:idx val="0"/>
          <c:order val="0"/>
          <c:tx>
            <c:strRef>
              <c:f>'w14'!$C$6</c:f>
              <c:strCache>
                <c:ptCount val="1"/>
                <c:pt idx="0">
                  <c:v>wartość rzeczywista</c:v>
                </c:pt>
              </c:strCache>
            </c:strRef>
          </c:tx>
          <c:spPr>
            <a:ln w="28575" cap="rnd">
              <a:solidFill>
                <a:srgbClr val="51BBB6"/>
              </a:solidFill>
              <a:round/>
            </a:ln>
            <a:effectLst/>
          </c:spPr>
          <c:marker>
            <c:symbol val="none"/>
          </c:marker>
          <c:dLbls>
            <c:dLbl>
              <c:idx val="0"/>
              <c:layout>
                <c:manualLayout>
                  <c:x val="-2.7729232711966482E-2"/>
                  <c:y val="4.975881805735746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32C5-47A9-9F8C-B636DC3B65CF}"/>
                </c:ext>
              </c:extLst>
            </c:dLbl>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'w14'!$D$5:$X$5</c:f>
              <c:numCache>
                <c:formatCode>General</c:formatCode>
                <c:ptCount val="21"/>
                <c:pt idx="0">
                  <c:v>2010</c:v>
                </c:pt>
                <c:pt idx="1">
                  <c:v>2011</c:v>
                </c:pt>
                <c:pt idx="2">
                  <c:v>2012</c:v>
                </c:pt>
                <c:pt idx="3">
                  <c:v>2013</c:v>
                </c:pt>
                <c:pt idx="4">
                  <c:v>2014</c:v>
                </c:pt>
                <c:pt idx="5">
                  <c:v>2015</c:v>
                </c:pt>
                <c:pt idx="6">
                  <c:v>2016</c:v>
                </c:pt>
                <c:pt idx="7">
                  <c:v>2017</c:v>
                </c:pt>
                <c:pt idx="8">
                  <c:v>2018</c:v>
                </c:pt>
                <c:pt idx="9">
                  <c:v>2019</c:v>
                </c:pt>
                <c:pt idx="10">
                  <c:v>2020</c:v>
                </c:pt>
                <c:pt idx="11">
                  <c:v>2021</c:v>
                </c:pt>
                <c:pt idx="12">
                  <c:v>2022</c:v>
                </c:pt>
                <c:pt idx="13">
                  <c:v>2023</c:v>
                </c:pt>
                <c:pt idx="14">
                  <c:v>2024</c:v>
                </c:pt>
                <c:pt idx="15">
                  <c:v>2025</c:v>
                </c:pt>
                <c:pt idx="16">
                  <c:v>2026</c:v>
                </c:pt>
                <c:pt idx="17">
                  <c:v>2027</c:v>
                </c:pt>
                <c:pt idx="18">
                  <c:v>2028</c:v>
                </c:pt>
                <c:pt idx="19">
                  <c:v>2029</c:v>
                </c:pt>
                <c:pt idx="20">
                  <c:v>2030</c:v>
                </c:pt>
              </c:numCache>
            </c:numRef>
          </c:cat>
          <c:val>
            <c:numRef>
              <c:f>'w14'!$D$6:$X$6</c:f>
              <c:numCache>
                <c:formatCode>General</c:formatCode>
                <c:ptCount val="21"/>
                <c:pt idx="0" formatCode="0">
                  <c:v>238.5</c:v>
                </c:pt>
                <c:pt idx="1">
                  <c:v>239</c:v>
                </c:pt>
                <c:pt idx="2">
                  <c:v>238.2</c:v>
                </c:pt>
                <c:pt idx="3">
                  <c:v>236</c:v>
                </c:pt>
                <c:pt idx="4">
                  <c:v>246.1</c:v>
                </c:pt>
                <c:pt idx="5">
                  <c:v>251.3</c:v>
                </c:pt>
                <c:pt idx="6">
                  <c:v>259.89999999999998</c:v>
                </c:pt>
                <c:pt idx="7">
                  <c:v>259.60000000000002</c:v>
                </c:pt>
                <c:pt idx="8">
                  <c:v>259.89999999999998</c:v>
                </c:pt>
                <c:pt idx="9">
                  <c:v>251.8</c:v>
                </c:pt>
                <c:pt idx="10">
                  <c:v>233.3</c:v>
                </c:pt>
              </c:numCache>
            </c:numRef>
          </c:val>
          <c:smooth val="0"/>
          <c:extLst>
            <c:ext xmlns:c16="http://schemas.microsoft.com/office/drawing/2014/chart" uri="{C3380CC4-5D6E-409C-BE32-E72D297353CC}">
              <c16:uniqueId val="{00000001-32C5-47A9-9F8C-B636DC3B65CF}"/>
            </c:ext>
          </c:extLst>
        </c:ser>
        <c:ser>
          <c:idx val="1"/>
          <c:order val="1"/>
          <c:tx>
            <c:strRef>
              <c:f>'w14'!$C$7</c:f>
              <c:strCache>
                <c:ptCount val="1"/>
                <c:pt idx="0">
                  <c:v>wartość prognozowana</c:v>
                </c:pt>
              </c:strCache>
            </c:strRef>
          </c:tx>
          <c:spPr>
            <a:ln w="28575" cap="rnd">
              <a:solidFill>
                <a:srgbClr val="CCA879"/>
              </a:solidFill>
              <a:prstDash val="sysDot"/>
              <a:round/>
            </a:ln>
            <a:effectLst/>
          </c:spPr>
          <c:marker>
            <c:symbol val="none"/>
          </c:marker>
          <c:dLbls>
            <c:dLbl>
              <c:idx val="20"/>
              <c:layout>
                <c:manualLayout>
                  <c:x val="-2.1204707367974366E-2"/>
                  <c:y val="3.909621418792374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32C5-47A9-9F8C-B636DC3B65CF}"/>
                </c:ext>
              </c:extLst>
            </c:dLbl>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'w14'!$D$5:$X$5</c:f>
              <c:numCache>
                <c:formatCode>General</c:formatCode>
                <c:ptCount val="21"/>
                <c:pt idx="0">
                  <c:v>2010</c:v>
                </c:pt>
                <c:pt idx="1">
                  <c:v>2011</c:v>
                </c:pt>
                <c:pt idx="2">
                  <c:v>2012</c:v>
                </c:pt>
                <c:pt idx="3">
                  <c:v>2013</c:v>
                </c:pt>
                <c:pt idx="4">
                  <c:v>2014</c:v>
                </c:pt>
                <c:pt idx="5">
                  <c:v>2015</c:v>
                </c:pt>
                <c:pt idx="6">
                  <c:v>2016</c:v>
                </c:pt>
                <c:pt idx="7">
                  <c:v>2017</c:v>
                </c:pt>
                <c:pt idx="8">
                  <c:v>2018</c:v>
                </c:pt>
                <c:pt idx="9">
                  <c:v>2019</c:v>
                </c:pt>
                <c:pt idx="10">
                  <c:v>2020</c:v>
                </c:pt>
                <c:pt idx="11">
                  <c:v>2021</c:v>
                </c:pt>
                <c:pt idx="12">
                  <c:v>2022</c:v>
                </c:pt>
                <c:pt idx="13">
                  <c:v>2023</c:v>
                </c:pt>
                <c:pt idx="14">
                  <c:v>2024</c:v>
                </c:pt>
                <c:pt idx="15">
                  <c:v>2025</c:v>
                </c:pt>
                <c:pt idx="16">
                  <c:v>2026</c:v>
                </c:pt>
                <c:pt idx="17">
                  <c:v>2027</c:v>
                </c:pt>
                <c:pt idx="18">
                  <c:v>2028</c:v>
                </c:pt>
                <c:pt idx="19">
                  <c:v>2029</c:v>
                </c:pt>
                <c:pt idx="20">
                  <c:v>2030</c:v>
                </c:pt>
              </c:numCache>
            </c:numRef>
          </c:cat>
          <c:val>
            <c:numRef>
              <c:f>'w14'!$D$7:$X$7</c:f>
              <c:numCache>
                <c:formatCode>General</c:formatCode>
                <c:ptCount val="21"/>
                <c:pt idx="10">
                  <c:v>233.3</c:v>
                </c:pt>
                <c:pt idx="11">
                  <c:v>252.97908186527377</c:v>
                </c:pt>
                <c:pt idx="12">
                  <c:v>253.5421102753202</c:v>
                </c:pt>
                <c:pt idx="13">
                  <c:v>254.06339316224668</c:v>
                </c:pt>
                <c:pt idx="14">
                  <c:v>254.54869591957305</c:v>
                </c:pt>
                <c:pt idx="15">
                  <c:v>255.00266633110684</c:v>
                </c:pt>
                <c:pt idx="16">
                  <c:v>255.42910598342581</c:v>
                </c:pt>
                <c:pt idx="17">
                  <c:v>255.83116398221742</c:v>
                </c:pt>
                <c:pt idx="18">
                  <c:v>256.21147822335467</c:v>
                </c:pt>
                <c:pt idx="19">
                  <c:v>256.57228038540615</c:v>
                </c:pt>
                <c:pt idx="20" formatCode="0">
                  <c:v>256.91547527919033</c:v>
                </c:pt>
              </c:numCache>
            </c:numRef>
          </c:val>
          <c:smooth val="0"/>
          <c:extLst>
            <c:ext xmlns:c16="http://schemas.microsoft.com/office/drawing/2014/chart" uri="{C3380CC4-5D6E-409C-BE32-E72D297353CC}">
              <c16:uniqueId val="{00000003-32C5-47A9-9F8C-B636DC3B65CF}"/>
            </c:ext>
          </c:extLst>
        </c:ser>
        <c:dLbls>
          <c:showLegendKey val="0"/>
          <c:showVal val="0"/>
          <c:showCatName val="0"/>
          <c:showSerName val="0"/>
          <c:showPercent val="0"/>
          <c:showBubbleSize val="0"/>
        </c:dLbls>
        <c:smooth val="0"/>
        <c:axId val="783745344"/>
        <c:axId val="783743048"/>
      </c:lineChart>
      <c:catAx>
        <c:axId val="783745344"/>
        <c:scaling>
          <c:orientation val="minMax"/>
        </c:scaling>
        <c:delete val="0"/>
        <c:axPos val="b"/>
        <c:title>
          <c:tx>
            <c:rich>
              <a:bodyPr rot="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pl-PL"/>
                  <a:t>rok</a:t>
                </a:r>
              </a:p>
            </c:rich>
          </c:tx>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title>
        <c:numFmt formatCode="General" sourceLinked="1"/>
        <c:majorTickMark val="none"/>
        <c:minorTickMark val="none"/>
        <c:tickLblPos val="nextTo"/>
        <c:spPr>
          <a:noFill/>
          <a:ln w="12700" cap="flat" cmpd="sng" algn="ctr">
            <a:solidFill>
              <a:schemeClr val="tx1"/>
            </a:solidFill>
            <a:round/>
          </a:ln>
          <a:effectLst/>
        </c:spPr>
        <c:txPr>
          <a:bodyPr rot="-2700000" spcFirstLastPara="1" vertOverflow="ellipsis"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crossAx val="783743048"/>
        <c:crosses val="autoZero"/>
        <c:auto val="1"/>
        <c:lblAlgn val="ctr"/>
        <c:lblOffset val="100"/>
        <c:noMultiLvlLbl val="0"/>
      </c:catAx>
      <c:valAx>
        <c:axId val="783743048"/>
        <c:scaling>
          <c:orientation val="minMax"/>
          <c:max val="300"/>
          <c:min val="10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pl-PL"/>
                  <a:t>Zmieszane odpady zebrane w ciągu roku na 1 mieszkańca, kg</a:t>
                </a:r>
              </a:p>
            </c:rich>
          </c:tx>
          <c:layout>
            <c:manualLayout>
              <c:xMode val="edge"/>
              <c:yMode val="edge"/>
              <c:x val="2.1348409738017975E-2"/>
              <c:y val="6.0045743256101194E-2"/>
            </c:manualLayout>
          </c:layout>
          <c:overlay val="0"/>
          <c:spPr>
            <a:noFill/>
            <a:ln>
              <a:noFill/>
            </a:ln>
            <a:effectLst/>
          </c:spPr>
          <c:txPr>
            <a:bodyPr rot="-54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title>
        <c:numFmt formatCode="0" sourceLinked="1"/>
        <c:majorTickMark val="none"/>
        <c:minorTickMark val="none"/>
        <c:tickLblPos val="nextTo"/>
        <c:spPr>
          <a:noFill/>
          <a:ln w="12700">
            <a:solidFill>
              <a:schemeClr val="tx1"/>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crossAx val="783745344"/>
        <c:crosses val="autoZero"/>
        <c:crossBetween val="between"/>
      </c:valAx>
      <c:spPr>
        <a:noFill/>
        <a:ln>
          <a:noFill/>
        </a:ln>
        <a:effectLst/>
      </c:spPr>
    </c:plotArea>
    <c:legend>
      <c:legendPos val="b"/>
      <c:layout>
        <c:manualLayout>
          <c:xMode val="edge"/>
          <c:yMode val="edge"/>
          <c:x val="0.28047180248790649"/>
          <c:y val="0.89697679912102468"/>
          <c:w val="0.47979341132733344"/>
          <c:h val="5.6759868646882997E-2"/>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sz="900">
          <a:solidFill>
            <a:sysClr val="windowText" lastClr="000000"/>
          </a:solidFill>
          <a:latin typeface="Arial" panose="020B0604020202020204" pitchFamily="34" charset="0"/>
          <a:cs typeface="Arial" panose="020B0604020202020204" pitchFamily="34" charset="0"/>
        </a:defRPr>
      </a:pPr>
      <a:endParaRPr lang="pl-PL"/>
    </a:p>
  </c:txPr>
  <c:externalData r:id="rId3">
    <c:autoUpdate val="0"/>
  </c:externalData>
</c:chartSpace>
</file>

<file path=word/charts/chart3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4203261069579359"/>
          <c:y val="5.0925925925925923E-2"/>
          <c:w val="0.83706770033107369"/>
          <c:h val="0.668322761738116"/>
        </c:manualLayout>
      </c:layout>
      <c:lineChart>
        <c:grouping val="standard"/>
        <c:varyColors val="0"/>
        <c:ser>
          <c:idx val="0"/>
          <c:order val="0"/>
          <c:tx>
            <c:strRef>
              <c:f>'w15'!$C$6</c:f>
              <c:strCache>
                <c:ptCount val="1"/>
                <c:pt idx="0">
                  <c:v>wartość rzeczywista</c:v>
                </c:pt>
              </c:strCache>
            </c:strRef>
          </c:tx>
          <c:spPr>
            <a:ln w="28575" cap="rnd">
              <a:solidFill>
                <a:schemeClr val="accent1"/>
              </a:solidFill>
              <a:round/>
            </a:ln>
            <a:effectLst/>
          </c:spPr>
          <c:marker>
            <c:symbol val="none"/>
          </c:marker>
          <c:dLbls>
            <c:dLbl>
              <c:idx val="0"/>
              <c:layout>
                <c:manualLayout>
                  <c:x val="-2.2241843562781433E-2"/>
                  <c:y val="-2.918490723368779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12B3-44E2-9BC4-AEF737F9C3AA}"/>
                </c:ext>
              </c:extLst>
            </c:dLbl>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'w15'!$D$5:$X$5</c:f>
              <c:numCache>
                <c:formatCode>General</c:formatCode>
                <c:ptCount val="21"/>
                <c:pt idx="0">
                  <c:v>2010</c:v>
                </c:pt>
                <c:pt idx="1">
                  <c:v>2011</c:v>
                </c:pt>
                <c:pt idx="2">
                  <c:v>2012</c:v>
                </c:pt>
                <c:pt idx="3">
                  <c:v>2013</c:v>
                </c:pt>
                <c:pt idx="4">
                  <c:v>2014</c:v>
                </c:pt>
                <c:pt idx="5">
                  <c:v>2015</c:v>
                </c:pt>
                <c:pt idx="6">
                  <c:v>2016</c:v>
                </c:pt>
                <c:pt idx="7">
                  <c:v>2017</c:v>
                </c:pt>
                <c:pt idx="8">
                  <c:v>2018</c:v>
                </c:pt>
                <c:pt idx="9">
                  <c:v>2019</c:v>
                </c:pt>
                <c:pt idx="10">
                  <c:v>2020</c:v>
                </c:pt>
                <c:pt idx="11">
                  <c:v>2021</c:v>
                </c:pt>
                <c:pt idx="12">
                  <c:v>2022</c:v>
                </c:pt>
                <c:pt idx="13">
                  <c:v>2023</c:v>
                </c:pt>
                <c:pt idx="14">
                  <c:v>2024</c:v>
                </c:pt>
                <c:pt idx="15">
                  <c:v>2025</c:v>
                </c:pt>
                <c:pt idx="16">
                  <c:v>2026</c:v>
                </c:pt>
                <c:pt idx="17">
                  <c:v>2027</c:v>
                </c:pt>
                <c:pt idx="18">
                  <c:v>2028</c:v>
                </c:pt>
                <c:pt idx="19">
                  <c:v>2029</c:v>
                </c:pt>
                <c:pt idx="20">
                  <c:v>2030</c:v>
                </c:pt>
              </c:numCache>
            </c:numRef>
          </c:cat>
          <c:val>
            <c:numRef>
              <c:f>'w15'!$D$6:$X$6</c:f>
              <c:numCache>
                <c:formatCode>General</c:formatCode>
                <c:ptCount val="21"/>
                <c:pt idx="0">
                  <c:v>10.3</c:v>
                </c:pt>
                <c:pt idx="1">
                  <c:v>11.2</c:v>
                </c:pt>
                <c:pt idx="2">
                  <c:v>11.8</c:v>
                </c:pt>
                <c:pt idx="3">
                  <c:v>14</c:v>
                </c:pt>
                <c:pt idx="4">
                  <c:v>18.3</c:v>
                </c:pt>
                <c:pt idx="5">
                  <c:v>18.399999999999999</c:v>
                </c:pt>
                <c:pt idx="6">
                  <c:v>20.2</c:v>
                </c:pt>
                <c:pt idx="7">
                  <c:v>24.2</c:v>
                </c:pt>
                <c:pt idx="8">
                  <c:v>25.9</c:v>
                </c:pt>
                <c:pt idx="9">
                  <c:v>29</c:v>
                </c:pt>
                <c:pt idx="10">
                  <c:v>34.9</c:v>
                </c:pt>
                <c:pt idx="11">
                  <c:v>33.799095496252491</c:v>
                </c:pt>
              </c:numCache>
            </c:numRef>
          </c:val>
          <c:smooth val="0"/>
          <c:extLst>
            <c:ext xmlns:c16="http://schemas.microsoft.com/office/drawing/2014/chart" uri="{C3380CC4-5D6E-409C-BE32-E72D297353CC}">
              <c16:uniqueId val="{00000001-12B3-44E2-9BC4-AEF737F9C3AA}"/>
            </c:ext>
          </c:extLst>
        </c:ser>
        <c:ser>
          <c:idx val="1"/>
          <c:order val="1"/>
          <c:tx>
            <c:strRef>
              <c:f>'w15'!$C$7</c:f>
              <c:strCache>
                <c:ptCount val="1"/>
                <c:pt idx="0">
                  <c:v>wartość prognozowana</c:v>
                </c:pt>
              </c:strCache>
            </c:strRef>
          </c:tx>
          <c:spPr>
            <a:ln w="28575" cap="rnd">
              <a:solidFill>
                <a:schemeClr val="accent2"/>
              </a:solidFill>
              <a:prstDash val="sysDot"/>
              <a:round/>
            </a:ln>
            <a:effectLst/>
          </c:spPr>
          <c:marker>
            <c:symbol val="none"/>
          </c:marker>
          <c:dLbls>
            <c:dLbl>
              <c:idx val="20"/>
              <c:layout>
                <c:manualLayout>
                  <c:x val="0"/>
                  <c:y val="-3.7523452157598502E-2"/>
                </c:manualLayout>
              </c:layout>
              <c:numFmt formatCode="#,##0.0" sourceLinked="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12B3-44E2-9BC4-AEF737F9C3AA}"/>
                </c:ext>
              </c:extLst>
            </c:dLbl>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'w15'!$D$5:$X$5</c:f>
              <c:numCache>
                <c:formatCode>General</c:formatCode>
                <c:ptCount val="21"/>
                <c:pt idx="0">
                  <c:v>2010</c:v>
                </c:pt>
                <c:pt idx="1">
                  <c:v>2011</c:v>
                </c:pt>
                <c:pt idx="2">
                  <c:v>2012</c:v>
                </c:pt>
                <c:pt idx="3">
                  <c:v>2013</c:v>
                </c:pt>
                <c:pt idx="4">
                  <c:v>2014</c:v>
                </c:pt>
                <c:pt idx="5">
                  <c:v>2015</c:v>
                </c:pt>
                <c:pt idx="6">
                  <c:v>2016</c:v>
                </c:pt>
                <c:pt idx="7">
                  <c:v>2017</c:v>
                </c:pt>
                <c:pt idx="8">
                  <c:v>2018</c:v>
                </c:pt>
                <c:pt idx="9">
                  <c:v>2019</c:v>
                </c:pt>
                <c:pt idx="10">
                  <c:v>2020</c:v>
                </c:pt>
                <c:pt idx="11">
                  <c:v>2021</c:v>
                </c:pt>
                <c:pt idx="12">
                  <c:v>2022</c:v>
                </c:pt>
                <c:pt idx="13">
                  <c:v>2023</c:v>
                </c:pt>
                <c:pt idx="14">
                  <c:v>2024</c:v>
                </c:pt>
                <c:pt idx="15">
                  <c:v>2025</c:v>
                </c:pt>
                <c:pt idx="16">
                  <c:v>2026</c:v>
                </c:pt>
                <c:pt idx="17">
                  <c:v>2027</c:v>
                </c:pt>
                <c:pt idx="18">
                  <c:v>2028</c:v>
                </c:pt>
                <c:pt idx="19">
                  <c:v>2029</c:v>
                </c:pt>
                <c:pt idx="20">
                  <c:v>2030</c:v>
                </c:pt>
              </c:numCache>
            </c:numRef>
          </c:cat>
          <c:val>
            <c:numRef>
              <c:f>'w15'!$D$7:$X$7</c:f>
              <c:numCache>
                <c:formatCode>General</c:formatCode>
                <c:ptCount val="21"/>
                <c:pt idx="11">
                  <c:v>33.799095496252491</c:v>
                </c:pt>
                <c:pt idx="12">
                  <c:v>34.186681462973553</c:v>
                </c:pt>
                <c:pt idx="13">
                  <c:v>35.525308976931875</c:v>
                </c:pt>
                <c:pt idx="14">
                  <c:v>36.320030383118265</c:v>
                </c:pt>
                <c:pt idx="15">
                  <c:v>37.07507829150137</c:v>
                </c:pt>
                <c:pt idx="16">
                  <c:v>38.294041050349094</c:v>
                </c:pt>
                <c:pt idx="17">
                  <c:v>39.479992616797318</c:v>
                </c:pt>
                <c:pt idx="18">
                  <c:v>40.63559053725195</c:v>
                </c:pt>
                <c:pt idx="19">
                  <c:v>41.763151125307168</c:v>
                </c:pt>
                <c:pt idx="20">
                  <c:v>42.864708012294024</c:v>
                </c:pt>
              </c:numCache>
            </c:numRef>
          </c:val>
          <c:smooth val="0"/>
          <c:extLst>
            <c:ext xmlns:c16="http://schemas.microsoft.com/office/drawing/2014/chart" uri="{C3380CC4-5D6E-409C-BE32-E72D297353CC}">
              <c16:uniqueId val="{00000003-12B3-44E2-9BC4-AEF737F9C3AA}"/>
            </c:ext>
          </c:extLst>
        </c:ser>
        <c:dLbls>
          <c:showLegendKey val="0"/>
          <c:showVal val="0"/>
          <c:showCatName val="0"/>
          <c:showSerName val="0"/>
          <c:showPercent val="0"/>
          <c:showBubbleSize val="0"/>
        </c:dLbls>
        <c:smooth val="0"/>
        <c:axId val="783745344"/>
        <c:axId val="783743048"/>
      </c:lineChart>
      <c:catAx>
        <c:axId val="783745344"/>
        <c:scaling>
          <c:orientation val="minMax"/>
        </c:scaling>
        <c:delete val="0"/>
        <c:axPos val="b"/>
        <c:title>
          <c:tx>
            <c:rich>
              <a:bodyPr rot="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pl-PL"/>
                  <a:t>rok</a:t>
                </a:r>
              </a:p>
            </c:rich>
          </c:tx>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title>
        <c:numFmt formatCode="General" sourceLinked="1"/>
        <c:majorTickMark val="none"/>
        <c:minorTickMark val="none"/>
        <c:tickLblPos val="nextTo"/>
        <c:spPr>
          <a:noFill/>
          <a:ln w="12700" cap="flat" cmpd="sng" algn="ctr">
            <a:solidFill>
              <a:schemeClr val="tx1"/>
            </a:solidFill>
            <a:round/>
          </a:ln>
          <a:effectLst/>
        </c:spPr>
        <c:txPr>
          <a:bodyPr rot="-2700000" spcFirstLastPara="1" vertOverflow="ellipsis"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crossAx val="783743048"/>
        <c:crosses val="autoZero"/>
        <c:auto val="1"/>
        <c:lblAlgn val="ctr"/>
        <c:lblOffset val="100"/>
        <c:noMultiLvlLbl val="0"/>
      </c:catAx>
      <c:valAx>
        <c:axId val="783743048"/>
        <c:scaling>
          <c:orientation val="minMax"/>
        </c:scaling>
        <c:delete val="0"/>
        <c:axPos val="l"/>
        <c:majorGridlines>
          <c:spPr>
            <a:ln w="9525" cap="flat" cmpd="sng" algn="ctr">
              <a:solidFill>
                <a:schemeClr val="tx1">
                  <a:lumMod val="15000"/>
                  <a:lumOff val="85000"/>
                </a:schemeClr>
              </a:solidFill>
              <a:round/>
            </a:ln>
            <a:effectLst/>
          </c:spPr>
        </c:majorGridlines>
        <c:title>
          <c:tx>
            <c:strRef>
              <c:f>'w15'!$B$4</c:f>
              <c:strCache>
                <c:ptCount val="1"/>
                <c:pt idx="0">
                  <c:v>% zebranych odpadów selektywnie w liczbie ogółem</c:v>
                </c:pt>
              </c:strCache>
            </c:strRef>
          </c:tx>
          <c:overlay val="0"/>
          <c:spPr>
            <a:noFill/>
            <a:ln>
              <a:noFill/>
            </a:ln>
            <a:effectLst/>
          </c:spPr>
          <c:txPr>
            <a:bodyPr rot="-54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title>
        <c:numFmt formatCode="General" sourceLinked="1"/>
        <c:majorTickMark val="none"/>
        <c:minorTickMark val="none"/>
        <c:tickLblPos val="nextTo"/>
        <c:spPr>
          <a:noFill/>
          <a:ln w="12700">
            <a:solidFill>
              <a:schemeClr val="tx1"/>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crossAx val="78374534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sz="900">
          <a:solidFill>
            <a:sysClr val="windowText" lastClr="000000"/>
          </a:solidFill>
          <a:latin typeface="Arial" panose="020B0604020202020204" pitchFamily="34" charset="0"/>
          <a:cs typeface="Arial" panose="020B0604020202020204" pitchFamily="34" charset="0"/>
        </a:defRPr>
      </a:pPr>
      <a:endParaRPr lang="pl-PL"/>
    </a:p>
  </c:txPr>
  <c:externalData r:id="rId3">
    <c:autoUpdate val="0"/>
  </c:externalData>
</c:chartSpace>
</file>

<file path=word/charts/chart3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1209974704593604"/>
          <c:y val="5.0925770201054966E-2"/>
          <c:w val="0.77467529317081096"/>
          <c:h val="0.668322761738116"/>
        </c:manualLayout>
      </c:layout>
      <c:lineChart>
        <c:grouping val="standard"/>
        <c:varyColors val="0"/>
        <c:ser>
          <c:idx val="0"/>
          <c:order val="0"/>
          <c:tx>
            <c:strRef>
              <c:f>'w30'!$C$6</c:f>
              <c:strCache>
                <c:ptCount val="1"/>
                <c:pt idx="0">
                  <c:v>wartość rzeczywista</c:v>
                </c:pt>
              </c:strCache>
            </c:strRef>
          </c:tx>
          <c:spPr>
            <a:ln w="28575" cap="rnd">
              <a:solidFill>
                <a:schemeClr val="accent1"/>
              </a:solidFill>
              <a:round/>
            </a:ln>
            <a:effectLst/>
          </c:spPr>
          <c:marker>
            <c:symbol val="none"/>
          </c:marker>
          <c:dLbls>
            <c:dLbl>
              <c:idx val="0"/>
              <c:layout>
                <c:manualLayout>
                  <c:x val="-1.8534869635651166E-2"/>
                  <c:y val="-2.501563477173233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10BE-46EA-B9B0-CE9D49F852E0}"/>
                </c:ext>
              </c:extLst>
            </c:dLbl>
            <c:numFmt formatCode="#,##0" sourceLinked="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'w30'!$D$5:$X$5</c:f>
              <c:numCache>
                <c:formatCode>General</c:formatCode>
                <c:ptCount val="21"/>
                <c:pt idx="0">
                  <c:v>2010</c:v>
                </c:pt>
                <c:pt idx="1">
                  <c:v>2011</c:v>
                </c:pt>
                <c:pt idx="2">
                  <c:v>2012</c:v>
                </c:pt>
                <c:pt idx="3">
                  <c:v>2013</c:v>
                </c:pt>
                <c:pt idx="4">
                  <c:v>2014</c:v>
                </c:pt>
                <c:pt idx="5">
                  <c:v>2015</c:v>
                </c:pt>
                <c:pt idx="6">
                  <c:v>2016</c:v>
                </c:pt>
                <c:pt idx="7">
                  <c:v>2017</c:v>
                </c:pt>
                <c:pt idx="8">
                  <c:v>2018</c:v>
                </c:pt>
                <c:pt idx="9">
                  <c:v>2019</c:v>
                </c:pt>
                <c:pt idx="10">
                  <c:v>2020</c:v>
                </c:pt>
                <c:pt idx="11">
                  <c:v>2021</c:v>
                </c:pt>
                <c:pt idx="12">
                  <c:v>2022</c:v>
                </c:pt>
                <c:pt idx="13">
                  <c:v>2023</c:v>
                </c:pt>
                <c:pt idx="14">
                  <c:v>2024</c:v>
                </c:pt>
                <c:pt idx="15">
                  <c:v>2025</c:v>
                </c:pt>
                <c:pt idx="16">
                  <c:v>2026</c:v>
                </c:pt>
                <c:pt idx="17">
                  <c:v>2027</c:v>
                </c:pt>
                <c:pt idx="18">
                  <c:v>2028</c:v>
                </c:pt>
                <c:pt idx="19">
                  <c:v>2029</c:v>
                </c:pt>
                <c:pt idx="20">
                  <c:v>2030</c:v>
                </c:pt>
              </c:numCache>
            </c:numRef>
          </c:cat>
          <c:val>
            <c:numRef>
              <c:f>'w30'!$D$6:$X$6</c:f>
              <c:numCache>
                <c:formatCode>General</c:formatCode>
                <c:ptCount val="21"/>
                <c:pt idx="0">
                  <c:v>14823.9</c:v>
                </c:pt>
                <c:pt idx="1">
                  <c:v>13840.1</c:v>
                </c:pt>
                <c:pt idx="2">
                  <c:v>16172</c:v>
                </c:pt>
                <c:pt idx="3">
                  <c:v>29161.3</c:v>
                </c:pt>
                <c:pt idx="4">
                  <c:v>47866.8</c:v>
                </c:pt>
                <c:pt idx="5">
                  <c:v>53191.6</c:v>
                </c:pt>
                <c:pt idx="6">
                  <c:v>67980.5</c:v>
                </c:pt>
                <c:pt idx="7">
                  <c:v>97042.98</c:v>
                </c:pt>
                <c:pt idx="8">
                  <c:v>103318.17</c:v>
                </c:pt>
                <c:pt idx="9">
                  <c:v>123515.73</c:v>
                </c:pt>
                <c:pt idx="10">
                  <c:v>172576.84</c:v>
                </c:pt>
              </c:numCache>
            </c:numRef>
          </c:val>
          <c:smooth val="0"/>
          <c:extLst>
            <c:ext xmlns:c16="http://schemas.microsoft.com/office/drawing/2014/chart" uri="{C3380CC4-5D6E-409C-BE32-E72D297353CC}">
              <c16:uniqueId val="{00000001-10BE-46EA-B9B0-CE9D49F852E0}"/>
            </c:ext>
          </c:extLst>
        </c:ser>
        <c:ser>
          <c:idx val="1"/>
          <c:order val="1"/>
          <c:tx>
            <c:strRef>
              <c:f>'w30'!$C$7</c:f>
              <c:strCache>
                <c:ptCount val="1"/>
                <c:pt idx="0">
                  <c:v>wartość prognozowana</c:v>
                </c:pt>
              </c:strCache>
            </c:strRef>
          </c:tx>
          <c:spPr>
            <a:ln w="28575" cap="rnd">
              <a:solidFill>
                <a:schemeClr val="accent2"/>
              </a:solidFill>
              <a:prstDash val="sysDot"/>
              <a:round/>
            </a:ln>
            <a:effectLst/>
          </c:spPr>
          <c:marker>
            <c:symbol val="none"/>
          </c:marker>
          <c:dLbls>
            <c:dLbl>
              <c:idx val="20"/>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10BE-46EA-B9B0-CE9D49F852E0}"/>
                </c:ext>
              </c:extLst>
            </c:dLbl>
            <c:numFmt formatCode="#,##0" sourceLinked="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'w30'!$D$5:$X$5</c:f>
              <c:numCache>
                <c:formatCode>General</c:formatCode>
                <c:ptCount val="21"/>
                <c:pt idx="0">
                  <c:v>2010</c:v>
                </c:pt>
                <c:pt idx="1">
                  <c:v>2011</c:v>
                </c:pt>
                <c:pt idx="2">
                  <c:v>2012</c:v>
                </c:pt>
                <c:pt idx="3">
                  <c:v>2013</c:v>
                </c:pt>
                <c:pt idx="4">
                  <c:v>2014</c:v>
                </c:pt>
                <c:pt idx="5">
                  <c:v>2015</c:v>
                </c:pt>
                <c:pt idx="6">
                  <c:v>2016</c:v>
                </c:pt>
                <c:pt idx="7">
                  <c:v>2017</c:v>
                </c:pt>
                <c:pt idx="8">
                  <c:v>2018</c:v>
                </c:pt>
                <c:pt idx="9">
                  <c:v>2019</c:v>
                </c:pt>
                <c:pt idx="10">
                  <c:v>2020</c:v>
                </c:pt>
                <c:pt idx="11">
                  <c:v>2021</c:v>
                </c:pt>
                <c:pt idx="12">
                  <c:v>2022</c:v>
                </c:pt>
                <c:pt idx="13">
                  <c:v>2023</c:v>
                </c:pt>
                <c:pt idx="14">
                  <c:v>2024</c:v>
                </c:pt>
                <c:pt idx="15">
                  <c:v>2025</c:v>
                </c:pt>
                <c:pt idx="16">
                  <c:v>2026</c:v>
                </c:pt>
                <c:pt idx="17">
                  <c:v>2027</c:v>
                </c:pt>
                <c:pt idx="18">
                  <c:v>2028</c:v>
                </c:pt>
                <c:pt idx="19">
                  <c:v>2029</c:v>
                </c:pt>
                <c:pt idx="20">
                  <c:v>2030</c:v>
                </c:pt>
              </c:numCache>
            </c:numRef>
          </c:cat>
          <c:val>
            <c:numRef>
              <c:f>'w30'!$D$7:$X$7</c:f>
              <c:numCache>
                <c:formatCode>General</c:formatCode>
                <c:ptCount val="21"/>
                <c:pt idx="10">
                  <c:v>172576.84</c:v>
                </c:pt>
                <c:pt idx="11">
                  <c:v>143434</c:v>
                </c:pt>
                <c:pt idx="12">
                  <c:v>155387</c:v>
                </c:pt>
                <c:pt idx="13">
                  <c:v>167340</c:v>
                </c:pt>
                <c:pt idx="14">
                  <c:v>179293</c:v>
                </c:pt>
                <c:pt idx="15">
                  <c:v>191246</c:v>
                </c:pt>
                <c:pt idx="16">
                  <c:v>203199.00049999999</c:v>
                </c:pt>
                <c:pt idx="17">
                  <c:v>215152.00099999999</c:v>
                </c:pt>
                <c:pt idx="18">
                  <c:v>227105.00150000001</c:v>
                </c:pt>
                <c:pt idx="19">
                  <c:v>239058.00219999999</c:v>
                </c:pt>
                <c:pt idx="20">
                  <c:v>251011.00320000001</c:v>
                </c:pt>
              </c:numCache>
            </c:numRef>
          </c:val>
          <c:smooth val="0"/>
          <c:extLst>
            <c:ext xmlns:c16="http://schemas.microsoft.com/office/drawing/2014/chart" uri="{C3380CC4-5D6E-409C-BE32-E72D297353CC}">
              <c16:uniqueId val="{00000003-10BE-46EA-B9B0-CE9D49F852E0}"/>
            </c:ext>
          </c:extLst>
        </c:ser>
        <c:dLbls>
          <c:showLegendKey val="0"/>
          <c:showVal val="0"/>
          <c:showCatName val="0"/>
          <c:showSerName val="0"/>
          <c:showPercent val="0"/>
          <c:showBubbleSize val="0"/>
        </c:dLbls>
        <c:smooth val="0"/>
        <c:axId val="783745344"/>
        <c:axId val="783743048"/>
      </c:lineChart>
      <c:catAx>
        <c:axId val="783745344"/>
        <c:scaling>
          <c:orientation val="minMax"/>
        </c:scaling>
        <c:delete val="0"/>
        <c:axPos val="b"/>
        <c:title>
          <c:tx>
            <c:rich>
              <a:bodyPr rot="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pl-PL"/>
                  <a:t>rok</a:t>
                </a:r>
              </a:p>
            </c:rich>
          </c:tx>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title>
        <c:numFmt formatCode="General" sourceLinked="1"/>
        <c:majorTickMark val="none"/>
        <c:minorTickMark val="none"/>
        <c:tickLblPos val="nextTo"/>
        <c:spPr>
          <a:noFill/>
          <a:ln w="12700" cap="flat" cmpd="sng" algn="ctr">
            <a:solidFill>
              <a:schemeClr val="tx1"/>
            </a:solidFill>
            <a:round/>
          </a:ln>
          <a:effectLst/>
        </c:spPr>
        <c:txPr>
          <a:bodyPr rot="-2700000" spcFirstLastPara="1" vertOverflow="ellipsis"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crossAx val="783743048"/>
        <c:crosses val="autoZero"/>
        <c:auto val="1"/>
        <c:lblAlgn val="ctr"/>
        <c:lblOffset val="100"/>
        <c:noMultiLvlLbl val="0"/>
      </c:catAx>
      <c:valAx>
        <c:axId val="783743048"/>
        <c:scaling>
          <c:orientation val="minMax"/>
        </c:scaling>
        <c:delete val="0"/>
        <c:axPos val="l"/>
        <c:majorGridlines>
          <c:spPr>
            <a:ln w="9525" cap="flat" cmpd="sng" algn="ctr">
              <a:solidFill>
                <a:schemeClr val="tx1">
                  <a:lumMod val="15000"/>
                  <a:lumOff val="85000"/>
                </a:schemeClr>
              </a:solidFill>
              <a:round/>
            </a:ln>
            <a:effectLst/>
          </c:spPr>
        </c:majorGridlines>
        <c:title>
          <c:tx>
            <c:strRef>
              <c:f>'w30'!$B$4</c:f>
              <c:strCache>
                <c:ptCount val="1"/>
                <c:pt idx="0">
                  <c:v>Odpady komunalne biodegradowalne zebrane selektywnie w relacji do ogółu odpadów komunalnych zebranych w ciągu roku, tony</c:v>
                </c:pt>
              </c:strCache>
            </c:strRef>
          </c:tx>
          <c:overlay val="0"/>
          <c:spPr>
            <a:noFill/>
            <a:ln>
              <a:noFill/>
            </a:ln>
            <a:effectLst/>
          </c:spPr>
          <c:txPr>
            <a:bodyPr rot="-54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title>
        <c:numFmt formatCode="#,##0" sourceLinked="0"/>
        <c:majorTickMark val="none"/>
        <c:minorTickMark val="none"/>
        <c:tickLblPos val="nextTo"/>
        <c:spPr>
          <a:noFill/>
          <a:ln w="12700">
            <a:solidFill>
              <a:schemeClr val="tx1"/>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crossAx val="78374534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sz="900">
          <a:solidFill>
            <a:sysClr val="windowText" lastClr="000000"/>
          </a:solidFill>
          <a:latin typeface="Arial" panose="020B0604020202020204" pitchFamily="34" charset="0"/>
          <a:cs typeface="Arial" panose="020B0604020202020204" pitchFamily="34" charset="0"/>
        </a:defRPr>
      </a:pPr>
      <a:endParaRPr lang="pl-PL"/>
    </a:p>
  </c:txPr>
  <c:externalData r:id="rId3">
    <c:autoUpdate val="0"/>
  </c:externalData>
</c:chartSpace>
</file>

<file path=word/charts/chart3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4470720249064611"/>
          <c:y val="5.0925925925925923E-2"/>
          <c:w val="0.83439314932707875"/>
          <c:h val="0.668322761738116"/>
        </c:manualLayout>
      </c:layout>
      <c:lineChart>
        <c:grouping val="standard"/>
        <c:varyColors val="0"/>
        <c:ser>
          <c:idx val="0"/>
          <c:order val="0"/>
          <c:tx>
            <c:strRef>
              <c:f>'[Wskazniki dla powiatów_PO_v21(1).xlsx]w26'!$C$6</c:f>
              <c:strCache>
                <c:ptCount val="1"/>
                <c:pt idx="0">
                  <c:v>wartość rzeczywista</c:v>
                </c:pt>
              </c:strCache>
            </c:strRef>
          </c:tx>
          <c:spPr>
            <a:ln w="28575" cap="rnd">
              <a:solidFill>
                <a:srgbClr val="51BBB6"/>
              </a:solidFill>
              <a:round/>
            </a:ln>
            <a:effectLst/>
          </c:spPr>
          <c:marker>
            <c:symbol val="none"/>
          </c:marker>
          <c:dLbls>
            <c:dLbl>
              <c:idx val="0"/>
              <c:layout>
                <c:manualLayout>
                  <c:x val="-2.4764148643946993E-2"/>
                  <c:y val="3.492432421432645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F06D-45C0-92C5-52C057F7A399}"/>
                </c:ext>
              </c:extLst>
            </c:dLbl>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'[Wskazniki dla powiatów_PO_v21(1).xlsx]w26'!$L$5:$AF$5</c:f>
              <c:numCache>
                <c:formatCode>General</c:formatCode>
                <c:ptCount val="21"/>
                <c:pt idx="0">
                  <c:v>2010</c:v>
                </c:pt>
                <c:pt idx="1">
                  <c:v>2011</c:v>
                </c:pt>
                <c:pt idx="2">
                  <c:v>2012</c:v>
                </c:pt>
                <c:pt idx="3">
                  <c:v>2013</c:v>
                </c:pt>
                <c:pt idx="4">
                  <c:v>2014</c:v>
                </c:pt>
                <c:pt idx="5">
                  <c:v>2015</c:v>
                </c:pt>
                <c:pt idx="6">
                  <c:v>2016</c:v>
                </c:pt>
                <c:pt idx="7">
                  <c:v>2017</c:v>
                </c:pt>
                <c:pt idx="8">
                  <c:v>2018</c:v>
                </c:pt>
                <c:pt idx="9">
                  <c:v>2019</c:v>
                </c:pt>
                <c:pt idx="10">
                  <c:v>2020</c:v>
                </c:pt>
                <c:pt idx="11">
                  <c:v>2021</c:v>
                </c:pt>
                <c:pt idx="12">
                  <c:v>2022</c:v>
                </c:pt>
                <c:pt idx="13">
                  <c:v>2023</c:v>
                </c:pt>
                <c:pt idx="14">
                  <c:v>2024</c:v>
                </c:pt>
                <c:pt idx="15">
                  <c:v>2025</c:v>
                </c:pt>
                <c:pt idx="16">
                  <c:v>2026</c:v>
                </c:pt>
                <c:pt idx="17">
                  <c:v>2027</c:v>
                </c:pt>
                <c:pt idx="18">
                  <c:v>2028</c:v>
                </c:pt>
                <c:pt idx="19">
                  <c:v>2029</c:v>
                </c:pt>
                <c:pt idx="20">
                  <c:v>2030</c:v>
                </c:pt>
              </c:numCache>
            </c:numRef>
          </c:cat>
          <c:val>
            <c:numRef>
              <c:f>'[Wskazniki dla powiatów_PO_v21(1).xlsx]w26'!$L$6:$U$6</c:f>
              <c:numCache>
                <c:formatCode>General</c:formatCode>
                <c:ptCount val="10"/>
                <c:pt idx="0" formatCode="0.0">
                  <c:v>863.73930000000007</c:v>
                </c:pt>
                <c:pt idx="1">
                  <c:v>1181.7673</c:v>
                </c:pt>
                <c:pt idx="2">
                  <c:v>804.20359999999994</c:v>
                </c:pt>
                <c:pt idx="3">
                  <c:v>651.94280000000003</c:v>
                </c:pt>
                <c:pt idx="4">
                  <c:v>1434.6563000000001</c:v>
                </c:pt>
                <c:pt idx="5">
                  <c:v>2021.7856000000002</c:v>
                </c:pt>
                <c:pt idx="6">
                  <c:v>551.25459999999998</c:v>
                </c:pt>
                <c:pt idx="7">
                  <c:v>577.95619999999997</c:v>
                </c:pt>
                <c:pt idx="8">
                  <c:v>865.2364</c:v>
                </c:pt>
                <c:pt idx="9">
                  <c:v>1150.6959999999999</c:v>
                </c:pt>
              </c:numCache>
            </c:numRef>
          </c:val>
          <c:smooth val="0"/>
          <c:extLst>
            <c:ext xmlns:c16="http://schemas.microsoft.com/office/drawing/2014/chart" uri="{C3380CC4-5D6E-409C-BE32-E72D297353CC}">
              <c16:uniqueId val="{00000001-F06D-45C0-92C5-52C057F7A399}"/>
            </c:ext>
          </c:extLst>
        </c:ser>
        <c:ser>
          <c:idx val="1"/>
          <c:order val="1"/>
          <c:tx>
            <c:strRef>
              <c:f>'[Wskazniki dla powiatów_PO_v21(1).xlsx]w26'!$C$7</c:f>
              <c:strCache>
                <c:ptCount val="1"/>
                <c:pt idx="0">
                  <c:v>wartość prognozowana</c:v>
                </c:pt>
              </c:strCache>
            </c:strRef>
          </c:tx>
          <c:spPr>
            <a:ln w="28575" cap="rnd">
              <a:solidFill>
                <a:srgbClr val="CCA879"/>
              </a:solidFill>
              <a:prstDash val="sysDot"/>
              <a:round/>
            </a:ln>
            <a:effectLst/>
          </c:spPr>
          <c:marker>
            <c:symbol val="none"/>
          </c:marker>
          <c:dLbls>
            <c:dLbl>
              <c:idx val="20"/>
              <c:layout>
                <c:manualLayout>
                  <c:x val="-2.2995280883665051E-2"/>
                  <c:y val="5.93713511643549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F06D-45C0-92C5-52C057F7A399}"/>
                </c:ext>
              </c:extLst>
            </c:dLbl>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'[Wskazniki dla powiatów_PO_v21(1).xlsx]w26'!$L$5:$AF$5</c:f>
              <c:numCache>
                <c:formatCode>General</c:formatCode>
                <c:ptCount val="21"/>
                <c:pt idx="0">
                  <c:v>2010</c:v>
                </c:pt>
                <c:pt idx="1">
                  <c:v>2011</c:v>
                </c:pt>
                <c:pt idx="2">
                  <c:v>2012</c:v>
                </c:pt>
                <c:pt idx="3">
                  <c:v>2013</c:v>
                </c:pt>
                <c:pt idx="4">
                  <c:v>2014</c:v>
                </c:pt>
                <c:pt idx="5">
                  <c:v>2015</c:v>
                </c:pt>
                <c:pt idx="6">
                  <c:v>2016</c:v>
                </c:pt>
                <c:pt idx="7">
                  <c:v>2017</c:v>
                </c:pt>
                <c:pt idx="8">
                  <c:v>2018</c:v>
                </c:pt>
                <c:pt idx="9">
                  <c:v>2019</c:v>
                </c:pt>
                <c:pt idx="10">
                  <c:v>2020</c:v>
                </c:pt>
                <c:pt idx="11">
                  <c:v>2021</c:v>
                </c:pt>
                <c:pt idx="12">
                  <c:v>2022</c:v>
                </c:pt>
                <c:pt idx="13">
                  <c:v>2023</c:v>
                </c:pt>
                <c:pt idx="14">
                  <c:v>2024</c:v>
                </c:pt>
                <c:pt idx="15">
                  <c:v>2025</c:v>
                </c:pt>
                <c:pt idx="16">
                  <c:v>2026</c:v>
                </c:pt>
                <c:pt idx="17">
                  <c:v>2027</c:v>
                </c:pt>
                <c:pt idx="18">
                  <c:v>2028</c:v>
                </c:pt>
                <c:pt idx="19">
                  <c:v>2029</c:v>
                </c:pt>
                <c:pt idx="20">
                  <c:v>2030</c:v>
                </c:pt>
              </c:numCache>
            </c:numRef>
          </c:cat>
          <c:val>
            <c:numRef>
              <c:f>'[Wskazniki dla powiatów_PO_v21(1).xlsx]w26'!$L$7:$AF$7</c:f>
              <c:numCache>
                <c:formatCode>General</c:formatCode>
                <c:ptCount val="21"/>
                <c:pt idx="9">
                  <c:v>1150.6969999999999</c:v>
                </c:pt>
                <c:pt idx="10">
                  <c:v>1183.5285000000001</c:v>
                </c:pt>
                <c:pt idx="11">
                  <c:v>1221.1011999999998</c:v>
                </c:pt>
                <c:pt idx="12">
                  <c:v>1258.6742000000002</c:v>
                </c:pt>
                <c:pt idx="13">
                  <c:v>1296.2462</c:v>
                </c:pt>
                <c:pt idx="14">
                  <c:v>1333.8182000000002</c:v>
                </c:pt>
                <c:pt idx="15">
                  <c:v>1371.3902</c:v>
                </c:pt>
                <c:pt idx="16">
                  <c:v>1408.9622000000002</c:v>
                </c:pt>
                <c:pt idx="17">
                  <c:v>1446.5342000000001</c:v>
                </c:pt>
                <c:pt idx="18">
                  <c:v>1484.1062000000002</c:v>
                </c:pt>
                <c:pt idx="19">
                  <c:v>1521.6782000000001</c:v>
                </c:pt>
                <c:pt idx="20" formatCode="0.0">
                  <c:v>1559.2502000000002</c:v>
                </c:pt>
              </c:numCache>
            </c:numRef>
          </c:val>
          <c:smooth val="0"/>
          <c:extLst>
            <c:ext xmlns:c16="http://schemas.microsoft.com/office/drawing/2014/chart" uri="{C3380CC4-5D6E-409C-BE32-E72D297353CC}">
              <c16:uniqueId val="{00000003-F06D-45C0-92C5-52C057F7A399}"/>
            </c:ext>
          </c:extLst>
        </c:ser>
        <c:dLbls>
          <c:showLegendKey val="0"/>
          <c:showVal val="0"/>
          <c:showCatName val="0"/>
          <c:showSerName val="0"/>
          <c:showPercent val="0"/>
          <c:showBubbleSize val="0"/>
        </c:dLbls>
        <c:smooth val="0"/>
        <c:axId val="783745344"/>
        <c:axId val="783743048"/>
      </c:lineChart>
      <c:catAx>
        <c:axId val="783745344"/>
        <c:scaling>
          <c:orientation val="minMax"/>
        </c:scaling>
        <c:delete val="0"/>
        <c:axPos val="b"/>
        <c:title>
          <c:tx>
            <c:rich>
              <a:bodyPr rot="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pl-PL"/>
                  <a:t>rok</a:t>
                </a:r>
              </a:p>
            </c:rich>
          </c:tx>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title>
        <c:numFmt formatCode="General" sourceLinked="1"/>
        <c:majorTickMark val="none"/>
        <c:minorTickMark val="none"/>
        <c:tickLblPos val="nextTo"/>
        <c:spPr>
          <a:noFill/>
          <a:ln w="12700" cap="flat" cmpd="sng" algn="ctr">
            <a:solidFill>
              <a:schemeClr val="tx1"/>
            </a:solidFill>
            <a:round/>
          </a:ln>
          <a:effectLst/>
        </c:spPr>
        <c:txPr>
          <a:bodyPr rot="-2700000" spcFirstLastPara="1" vertOverflow="ellipsis"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crossAx val="783743048"/>
        <c:crosses val="autoZero"/>
        <c:auto val="1"/>
        <c:lblAlgn val="ctr"/>
        <c:lblOffset val="100"/>
        <c:noMultiLvlLbl val="0"/>
      </c:catAx>
      <c:valAx>
        <c:axId val="783743048"/>
        <c:scaling>
          <c:orientation val="minMax"/>
        </c:scaling>
        <c:delete val="0"/>
        <c:axPos val="l"/>
        <c:majorGridlines>
          <c:spPr>
            <a:ln w="9525" cap="flat" cmpd="sng" algn="ctr">
              <a:solidFill>
                <a:schemeClr val="tx1">
                  <a:lumMod val="15000"/>
                  <a:lumOff val="85000"/>
                </a:schemeClr>
              </a:solidFill>
              <a:round/>
            </a:ln>
            <a:effectLst/>
          </c:spPr>
        </c:majorGridlines>
        <c:title>
          <c:tx>
            <c:strRef>
              <c:f>'[Wskazniki dla powiatów_PO_v21(1).xlsx]w26'!$B$4</c:f>
              <c:strCache>
                <c:ptCount val="1"/>
                <c:pt idx="0">
                  <c:v>Nakłady na środki trwałe służące ochronie środowiska, mln zł</c:v>
                </c:pt>
              </c:strCache>
            </c:strRef>
          </c:tx>
          <c:overlay val="0"/>
          <c:spPr>
            <a:noFill/>
            <a:ln>
              <a:noFill/>
            </a:ln>
            <a:effectLst/>
          </c:spPr>
          <c:txPr>
            <a:bodyPr rot="-54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title>
        <c:numFmt formatCode="#,##0" sourceLinked="0"/>
        <c:majorTickMark val="none"/>
        <c:minorTickMark val="none"/>
        <c:tickLblPos val="nextTo"/>
        <c:spPr>
          <a:noFill/>
          <a:ln w="12700">
            <a:solidFill>
              <a:schemeClr val="tx1"/>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crossAx val="78374534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sz="900">
          <a:solidFill>
            <a:sysClr val="windowText" lastClr="000000"/>
          </a:solidFill>
          <a:latin typeface="Arial" panose="020B0604020202020204" pitchFamily="34" charset="0"/>
          <a:cs typeface="Arial" panose="020B0604020202020204" pitchFamily="34" charset="0"/>
        </a:defRPr>
      </a:pPr>
      <a:endParaRPr lang="pl-PL"/>
    </a:p>
  </c:txPr>
  <c:externalData r:id="rId3">
    <c:autoUpdate val="0"/>
  </c:externalData>
</c:chartSpace>
</file>

<file path=word/charts/chart3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4203261069579359"/>
          <c:y val="5.0925925925925923E-2"/>
          <c:w val="0.83706770033107369"/>
          <c:h val="0.668322761738116"/>
        </c:manualLayout>
      </c:layout>
      <c:lineChart>
        <c:grouping val="standard"/>
        <c:varyColors val="0"/>
        <c:ser>
          <c:idx val="0"/>
          <c:order val="0"/>
          <c:tx>
            <c:strRef>
              <c:f>'w21'!$C$6</c:f>
              <c:strCache>
                <c:ptCount val="1"/>
                <c:pt idx="0">
                  <c:v>wartość rzeczywista</c:v>
                </c:pt>
              </c:strCache>
            </c:strRef>
          </c:tx>
          <c:spPr>
            <a:ln w="28575" cap="rnd">
              <a:solidFill>
                <a:srgbClr val="51BBB6"/>
              </a:solidFill>
              <a:round/>
            </a:ln>
            <a:effectLst/>
          </c:spPr>
          <c:marker>
            <c:symbol val="none"/>
          </c:marker>
          <c:dLbls>
            <c:dLbl>
              <c:idx val="0"/>
              <c:layout>
                <c:manualLayout>
                  <c:x val="-2.145448453630017E-2"/>
                  <c:y val="3.386243386243386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F6C8-410D-AF70-E094B201A338}"/>
                </c:ext>
              </c:extLst>
            </c:dLbl>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'w21'!$D$5:$X$5</c:f>
              <c:numCache>
                <c:formatCode>General</c:formatCode>
                <c:ptCount val="21"/>
                <c:pt idx="0">
                  <c:v>2010</c:v>
                </c:pt>
                <c:pt idx="1">
                  <c:v>2011</c:v>
                </c:pt>
                <c:pt idx="2">
                  <c:v>2012</c:v>
                </c:pt>
                <c:pt idx="3">
                  <c:v>2013</c:v>
                </c:pt>
                <c:pt idx="4">
                  <c:v>2014</c:v>
                </c:pt>
                <c:pt idx="5">
                  <c:v>2015</c:v>
                </c:pt>
                <c:pt idx="6">
                  <c:v>2016</c:v>
                </c:pt>
                <c:pt idx="7">
                  <c:v>2017</c:v>
                </c:pt>
                <c:pt idx="8">
                  <c:v>2018</c:v>
                </c:pt>
                <c:pt idx="9">
                  <c:v>2019</c:v>
                </c:pt>
                <c:pt idx="10">
                  <c:v>2020</c:v>
                </c:pt>
                <c:pt idx="11">
                  <c:v>2021</c:v>
                </c:pt>
                <c:pt idx="12">
                  <c:v>2022</c:v>
                </c:pt>
                <c:pt idx="13">
                  <c:v>2023</c:v>
                </c:pt>
                <c:pt idx="14">
                  <c:v>2024</c:v>
                </c:pt>
                <c:pt idx="15">
                  <c:v>2025</c:v>
                </c:pt>
                <c:pt idx="16">
                  <c:v>2026</c:v>
                </c:pt>
                <c:pt idx="17">
                  <c:v>2027</c:v>
                </c:pt>
                <c:pt idx="18">
                  <c:v>2028</c:v>
                </c:pt>
                <c:pt idx="19">
                  <c:v>2029</c:v>
                </c:pt>
                <c:pt idx="20">
                  <c:v>2030</c:v>
                </c:pt>
              </c:numCache>
            </c:numRef>
          </c:cat>
          <c:val>
            <c:numRef>
              <c:f>'w21'!$D$6:$X$6</c:f>
              <c:numCache>
                <c:formatCode>0.0</c:formatCode>
                <c:ptCount val="21"/>
                <c:pt idx="0">
                  <c:v>948.4461</c:v>
                </c:pt>
                <c:pt idx="1">
                  <c:v>948.33450000000005</c:v>
                </c:pt>
                <c:pt idx="2">
                  <c:v>948.26059999999995</c:v>
                </c:pt>
                <c:pt idx="3">
                  <c:v>943.57659000000001</c:v>
                </c:pt>
                <c:pt idx="4">
                  <c:v>943.99464</c:v>
                </c:pt>
                <c:pt idx="5">
                  <c:v>944.05312000000004</c:v>
                </c:pt>
                <c:pt idx="6">
                  <c:v>943.92764</c:v>
                </c:pt>
                <c:pt idx="7">
                  <c:v>943.09143999999992</c:v>
                </c:pt>
                <c:pt idx="8">
                  <c:v>943.06637000000001</c:v>
                </c:pt>
                <c:pt idx="9">
                  <c:v>883.13567</c:v>
                </c:pt>
                <c:pt idx="10">
                  <c:v>882.43442000000005</c:v>
                </c:pt>
              </c:numCache>
            </c:numRef>
          </c:val>
          <c:smooth val="0"/>
          <c:extLst>
            <c:ext xmlns:c16="http://schemas.microsoft.com/office/drawing/2014/chart" uri="{C3380CC4-5D6E-409C-BE32-E72D297353CC}">
              <c16:uniqueId val="{00000001-F6C8-410D-AF70-E094B201A338}"/>
            </c:ext>
          </c:extLst>
        </c:ser>
        <c:ser>
          <c:idx val="1"/>
          <c:order val="1"/>
          <c:tx>
            <c:strRef>
              <c:f>'w21'!$C$7</c:f>
              <c:strCache>
                <c:ptCount val="1"/>
                <c:pt idx="0">
                  <c:v>wartość prognozowana</c:v>
                </c:pt>
              </c:strCache>
            </c:strRef>
          </c:tx>
          <c:spPr>
            <a:ln w="28575" cap="rnd">
              <a:solidFill>
                <a:srgbClr val="CCA879"/>
              </a:solidFill>
              <a:prstDash val="sysDot"/>
              <a:round/>
            </a:ln>
            <a:effectLst/>
          </c:spPr>
          <c:marker>
            <c:symbol val="none"/>
          </c:marker>
          <c:dLbls>
            <c:dLbl>
              <c:idx val="20"/>
              <c:layout>
                <c:manualLayout>
                  <c:x val="-1.2515115979508565E-2"/>
                  <c:y val="6.349206349206348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F6C8-410D-AF70-E094B201A338}"/>
                </c:ext>
              </c:extLst>
            </c:dLbl>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'w21'!$D$5:$X$5</c:f>
              <c:numCache>
                <c:formatCode>General</c:formatCode>
                <c:ptCount val="21"/>
                <c:pt idx="0">
                  <c:v>2010</c:v>
                </c:pt>
                <c:pt idx="1">
                  <c:v>2011</c:v>
                </c:pt>
                <c:pt idx="2">
                  <c:v>2012</c:v>
                </c:pt>
                <c:pt idx="3">
                  <c:v>2013</c:v>
                </c:pt>
                <c:pt idx="4">
                  <c:v>2014</c:v>
                </c:pt>
                <c:pt idx="5">
                  <c:v>2015</c:v>
                </c:pt>
                <c:pt idx="6">
                  <c:v>2016</c:v>
                </c:pt>
                <c:pt idx="7">
                  <c:v>2017</c:v>
                </c:pt>
                <c:pt idx="8">
                  <c:v>2018</c:v>
                </c:pt>
                <c:pt idx="9">
                  <c:v>2019</c:v>
                </c:pt>
                <c:pt idx="10">
                  <c:v>2020</c:v>
                </c:pt>
                <c:pt idx="11">
                  <c:v>2021</c:v>
                </c:pt>
                <c:pt idx="12">
                  <c:v>2022</c:v>
                </c:pt>
                <c:pt idx="13">
                  <c:v>2023</c:v>
                </c:pt>
                <c:pt idx="14">
                  <c:v>2024</c:v>
                </c:pt>
                <c:pt idx="15">
                  <c:v>2025</c:v>
                </c:pt>
                <c:pt idx="16">
                  <c:v>2026</c:v>
                </c:pt>
                <c:pt idx="17">
                  <c:v>2027</c:v>
                </c:pt>
                <c:pt idx="18">
                  <c:v>2028</c:v>
                </c:pt>
                <c:pt idx="19">
                  <c:v>2029</c:v>
                </c:pt>
                <c:pt idx="20">
                  <c:v>2030</c:v>
                </c:pt>
              </c:numCache>
            </c:numRef>
          </c:cat>
          <c:val>
            <c:numRef>
              <c:f>'w21'!$D$7:$X$7</c:f>
              <c:numCache>
                <c:formatCode>General</c:formatCode>
                <c:ptCount val="21"/>
                <c:pt idx="10" formatCode="0.0">
                  <c:v>882.43442000000005</c:v>
                </c:pt>
                <c:pt idx="11" formatCode="0.0">
                  <c:v>916.62584885858519</c:v>
                </c:pt>
                <c:pt idx="12" formatCode="0.0">
                  <c:v>915.08342588171615</c:v>
                </c:pt>
                <c:pt idx="13" formatCode="0.0">
                  <c:v>913.65536525831396</c:v>
                </c:pt>
                <c:pt idx="14" formatCode="0.0">
                  <c:v>912.32587262476045</c:v>
                </c:pt>
                <c:pt idx="15" formatCode="0.0">
                  <c:v>911.08221532243942</c:v>
                </c:pt>
                <c:pt idx="16" formatCode="0.0">
                  <c:v>909.91447886003664</c:v>
                </c:pt>
                <c:pt idx="17" formatCode="0.0">
                  <c:v>908.81353622534084</c:v>
                </c:pt>
                <c:pt idx="18" formatCode="0.0">
                  <c:v>907.77216087146269</c:v>
                </c:pt>
                <c:pt idx="19" formatCode="0.0">
                  <c:v>906.78443908861459</c:v>
                </c:pt>
                <c:pt idx="20" formatCode="0.0">
                  <c:v>905.84525262506963</c:v>
                </c:pt>
              </c:numCache>
            </c:numRef>
          </c:val>
          <c:smooth val="0"/>
          <c:extLst>
            <c:ext xmlns:c16="http://schemas.microsoft.com/office/drawing/2014/chart" uri="{C3380CC4-5D6E-409C-BE32-E72D297353CC}">
              <c16:uniqueId val="{00000003-F6C8-410D-AF70-E094B201A338}"/>
            </c:ext>
          </c:extLst>
        </c:ser>
        <c:dLbls>
          <c:showLegendKey val="0"/>
          <c:showVal val="0"/>
          <c:showCatName val="0"/>
          <c:showSerName val="0"/>
          <c:showPercent val="0"/>
          <c:showBubbleSize val="0"/>
        </c:dLbls>
        <c:smooth val="0"/>
        <c:axId val="783745344"/>
        <c:axId val="783743048"/>
      </c:lineChart>
      <c:catAx>
        <c:axId val="783745344"/>
        <c:scaling>
          <c:orientation val="minMax"/>
        </c:scaling>
        <c:delete val="0"/>
        <c:axPos val="b"/>
        <c:title>
          <c:tx>
            <c:rich>
              <a:bodyPr rot="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pl-PL"/>
                  <a:t>rok</a:t>
                </a:r>
              </a:p>
            </c:rich>
          </c:tx>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title>
        <c:numFmt formatCode="General" sourceLinked="1"/>
        <c:majorTickMark val="none"/>
        <c:minorTickMark val="none"/>
        <c:tickLblPos val="nextTo"/>
        <c:spPr>
          <a:noFill/>
          <a:ln w="12700" cap="flat" cmpd="sng" algn="ctr">
            <a:solidFill>
              <a:schemeClr val="tx1"/>
            </a:solidFill>
            <a:round/>
          </a:ln>
          <a:effectLst/>
        </c:spPr>
        <c:txPr>
          <a:bodyPr rot="-2700000" spcFirstLastPara="1" vertOverflow="ellipsis"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crossAx val="783743048"/>
        <c:crosses val="autoZero"/>
        <c:auto val="1"/>
        <c:lblAlgn val="ctr"/>
        <c:lblOffset val="100"/>
        <c:noMultiLvlLbl val="0"/>
      </c:catAx>
      <c:valAx>
        <c:axId val="783743048"/>
        <c:scaling>
          <c:orientation val="minMax"/>
        </c:scaling>
        <c:delete val="0"/>
        <c:axPos val="l"/>
        <c:majorGridlines>
          <c:spPr>
            <a:ln w="9525" cap="flat" cmpd="sng" algn="ctr">
              <a:solidFill>
                <a:schemeClr val="tx1">
                  <a:lumMod val="15000"/>
                  <a:lumOff val="85000"/>
                </a:schemeClr>
              </a:solidFill>
              <a:round/>
            </a:ln>
            <a:effectLst/>
          </c:spPr>
        </c:majorGridlines>
        <c:title>
          <c:tx>
            <c:strRef>
              <c:f>'w21'!$B$4</c:f>
              <c:strCache>
                <c:ptCount val="1"/>
                <c:pt idx="0">
                  <c:v>Obszary prawnie chronione, tys. ha
</c:v>
                </c:pt>
              </c:strCache>
            </c:strRef>
          </c:tx>
          <c:overlay val="0"/>
          <c:spPr>
            <a:noFill/>
            <a:ln>
              <a:noFill/>
            </a:ln>
            <a:effectLst/>
          </c:spPr>
          <c:txPr>
            <a:bodyPr rot="-54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title>
        <c:numFmt formatCode="0" sourceLinked="0"/>
        <c:majorTickMark val="none"/>
        <c:minorTickMark val="none"/>
        <c:tickLblPos val="nextTo"/>
        <c:spPr>
          <a:noFill/>
          <a:ln w="12700">
            <a:solidFill>
              <a:schemeClr val="tx1"/>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crossAx val="78374534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sz="900">
          <a:solidFill>
            <a:sysClr val="windowText" lastClr="000000"/>
          </a:solidFill>
          <a:latin typeface="Arial" panose="020B0604020202020204" pitchFamily="34" charset="0"/>
          <a:cs typeface="Arial" panose="020B0604020202020204" pitchFamily="34" charset="0"/>
        </a:defRPr>
      </a:pPr>
      <a:endParaRPr lang="pl-PL"/>
    </a:p>
  </c:txPr>
  <c:externalData r:id="rId3">
    <c:autoUpdate val="0"/>
  </c:externalData>
</c:chartSpace>
</file>

<file path=word/charts/chart3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4203261069579359"/>
          <c:y val="5.0925925925925923E-2"/>
          <c:w val="0.83706770033107369"/>
          <c:h val="0.668322761738116"/>
        </c:manualLayout>
      </c:layout>
      <c:lineChart>
        <c:grouping val="standard"/>
        <c:varyColors val="0"/>
        <c:ser>
          <c:idx val="0"/>
          <c:order val="0"/>
          <c:tx>
            <c:strRef>
              <c:f>'w18'!$C$6</c:f>
              <c:strCache>
                <c:ptCount val="1"/>
                <c:pt idx="0">
                  <c:v>wartość rzeczywista</c:v>
                </c:pt>
              </c:strCache>
            </c:strRef>
          </c:tx>
          <c:spPr>
            <a:ln w="28575" cap="rnd">
              <a:solidFill>
                <a:srgbClr val="51BBB6"/>
              </a:solidFill>
              <a:round/>
            </a:ln>
            <a:effectLst/>
          </c:spPr>
          <c:marker>
            <c:symbol val="none"/>
          </c:marker>
          <c:dLbls>
            <c:dLbl>
              <c:idx val="0"/>
              <c:layout>
                <c:manualLayout>
                  <c:x val="-1.6681382672086083E-2"/>
                  <c:y val="-5.420054200542005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FF45-4C66-9830-B4DB22ABE4CE}"/>
                </c:ext>
              </c:extLst>
            </c:dLbl>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'w18'!$D$5:$X$5</c:f>
              <c:numCache>
                <c:formatCode>General</c:formatCode>
                <c:ptCount val="21"/>
                <c:pt idx="0">
                  <c:v>2010</c:v>
                </c:pt>
                <c:pt idx="1">
                  <c:v>2011</c:v>
                </c:pt>
                <c:pt idx="2">
                  <c:v>2012</c:v>
                </c:pt>
                <c:pt idx="3">
                  <c:v>2013</c:v>
                </c:pt>
                <c:pt idx="4">
                  <c:v>2014</c:v>
                </c:pt>
                <c:pt idx="5">
                  <c:v>2015</c:v>
                </c:pt>
                <c:pt idx="6">
                  <c:v>2016</c:v>
                </c:pt>
                <c:pt idx="7">
                  <c:v>2017</c:v>
                </c:pt>
                <c:pt idx="8">
                  <c:v>2018</c:v>
                </c:pt>
                <c:pt idx="9">
                  <c:v>2019</c:v>
                </c:pt>
                <c:pt idx="10">
                  <c:v>2020</c:v>
                </c:pt>
                <c:pt idx="11">
                  <c:v>2021</c:v>
                </c:pt>
                <c:pt idx="12">
                  <c:v>2022</c:v>
                </c:pt>
                <c:pt idx="13">
                  <c:v>2023</c:v>
                </c:pt>
                <c:pt idx="14">
                  <c:v>2024</c:v>
                </c:pt>
                <c:pt idx="15">
                  <c:v>2025</c:v>
                </c:pt>
                <c:pt idx="16">
                  <c:v>2026</c:v>
                </c:pt>
                <c:pt idx="17">
                  <c:v>2027</c:v>
                </c:pt>
                <c:pt idx="18">
                  <c:v>2028</c:v>
                </c:pt>
                <c:pt idx="19">
                  <c:v>2029</c:v>
                </c:pt>
                <c:pt idx="20">
                  <c:v>2030</c:v>
                </c:pt>
              </c:numCache>
            </c:numRef>
          </c:cat>
          <c:val>
            <c:numRef>
              <c:f>'w18'!$D$6:$X$6</c:f>
              <c:numCache>
                <c:formatCode>General</c:formatCode>
                <c:ptCount val="21"/>
                <c:pt idx="0">
                  <c:v>7.3</c:v>
                </c:pt>
                <c:pt idx="1">
                  <c:v>7.8</c:v>
                </c:pt>
                <c:pt idx="2">
                  <c:v>10.1</c:v>
                </c:pt>
                <c:pt idx="3">
                  <c:v>9.4</c:v>
                </c:pt>
                <c:pt idx="4">
                  <c:v>11.3</c:v>
                </c:pt>
                <c:pt idx="5">
                  <c:v>14.6</c:v>
                </c:pt>
                <c:pt idx="6">
                  <c:v>15.4</c:v>
                </c:pt>
                <c:pt idx="7">
                  <c:v>14.7</c:v>
                </c:pt>
                <c:pt idx="8" formatCode="0.0">
                  <c:v>21.3</c:v>
                </c:pt>
                <c:pt idx="9" formatCode="0.0">
                  <c:v>25.3</c:v>
                </c:pt>
                <c:pt idx="10" formatCode="0.0">
                  <c:v>26.246300000000002</c:v>
                </c:pt>
              </c:numCache>
            </c:numRef>
          </c:val>
          <c:smooth val="0"/>
          <c:extLst>
            <c:ext xmlns:c16="http://schemas.microsoft.com/office/drawing/2014/chart" uri="{C3380CC4-5D6E-409C-BE32-E72D297353CC}">
              <c16:uniqueId val="{00000001-FF45-4C66-9830-B4DB22ABE4CE}"/>
            </c:ext>
          </c:extLst>
        </c:ser>
        <c:ser>
          <c:idx val="1"/>
          <c:order val="1"/>
          <c:tx>
            <c:strRef>
              <c:f>'w18'!$C$7</c:f>
              <c:strCache>
                <c:ptCount val="1"/>
                <c:pt idx="0">
                  <c:v>wartość prognozowana</c:v>
                </c:pt>
              </c:strCache>
            </c:strRef>
          </c:tx>
          <c:spPr>
            <a:ln w="28575" cap="rnd">
              <a:solidFill>
                <a:srgbClr val="CCA879"/>
              </a:solidFill>
              <a:prstDash val="sysDot"/>
              <a:round/>
            </a:ln>
            <a:effectLst/>
          </c:spPr>
          <c:marker>
            <c:symbol val="none"/>
          </c:marker>
          <c:dLbls>
            <c:dLbl>
              <c:idx val="20"/>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FF45-4C66-9830-B4DB22ABE4CE}"/>
                </c:ext>
              </c:extLst>
            </c:dLbl>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'w18'!$D$5:$X$5</c:f>
              <c:numCache>
                <c:formatCode>General</c:formatCode>
                <c:ptCount val="21"/>
                <c:pt idx="0">
                  <c:v>2010</c:v>
                </c:pt>
                <c:pt idx="1">
                  <c:v>2011</c:v>
                </c:pt>
                <c:pt idx="2">
                  <c:v>2012</c:v>
                </c:pt>
                <c:pt idx="3">
                  <c:v>2013</c:v>
                </c:pt>
                <c:pt idx="4">
                  <c:v>2014</c:v>
                </c:pt>
                <c:pt idx="5">
                  <c:v>2015</c:v>
                </c:pt>
                <c:pt idx="6">
                  <c:v>2016</c:v>
                </c:pt>
                <c:pt idx="7">
                  <c:v>2017</c:v>
                </c:pt>
                <c:pt idx="8">
                  <c:v>2018</c:v>
                </c:pt>
                <c:pt idx="9">
                  <c:v>2019</c:v>
                </c:pt>
                <c:pt idx="10">
                  <c:v>2020</c:v>
                </c:pt>
                <c:pt idx="11">
                  <c:v>2021</c:v>
                </c:pt>
                <c:pt idx="12">
                  <c:v>2022</c:v>
                </c:pt>
                <c:pt idx="13">
                  <c:v>2023</c:v>
                </c:pt>
                <c:pt idx="14">
                  <c:v>2024</c:v>
                </c:pt>
                <c:pt idx="15">
                  <c:v>2025</c:v>
                </c:pt>
                <c:pt idx="16">
                  <c:v>2026</c:v>
                </c:pt>
                <c:pt idx="17">
                  <c:v>2027</c:v>
                </c:pt>
                <c:pt idx="18">
                  <c:v>2028</c:v>
                </c:pt>
                <c:pt idx="19">
                  <c:v>2029</c:v>
                </c:pt>
                <c:pt idx="20">
                  <c:v>2030</c:v>
                </c:pt>
              </c:numCache>
            </c:numRef>
          </c:cat>
          <c:val>
            <c:numRef>
              <c:f>'w18'!$D$7:$X$7</c:f>
              <c:numCache>
                <c:formatCode>General</c:formatCode>
                <c:ptCount val="21"/>
                <c:pt idx="10" formatCode="0.0">
                  <c:v>26.246300000000002</c:v>
                </c:pt>
                <c:pt idx="11" formatCode="0.0">
                  <c:v>28.569299999999998</c:v>
                </c:pt>
                <c:pt idx="12" formatCode="0.0">
                  <c:v>29.392299999999999</c:v>
                </c:pt>
                <c:pt idx="13" formatCode="0.0">
                  <c:v>30.715299999999999</c:v>
                </c:pt>
                <c:pt idx="14" formatCode="0.0">
                  <c:v>31.5383</c:v>
                </c:pt>
                <c:pt idx="15" formatCode="0.0">
                  <c:v>32.8613</c:v>
                </c:pt>
                <c:pt idx="16" formatCode="0.0">
                  <c:v>33.6843</c:v>
                </c:pt>
                <c:pt idx="17" formatCode="0.0">
                  <c:v>34.507300000000001</c:v>
                </c:pt>
                <c:pt idx="18" formatCode="0.0">
                  <c:v>35.330300000000001</c:v>
                </c:pt>
                <c:pt idx="19" formatCode="0.0">
                  <c:v>36.153300000000002</c:v>
                </c:pt>
                <c:pt idx="20" formatCode="0.0">
                  <c:v>37.476300000000002</c:v>
                </c:pt>
              </c:numCache>
            </c:numRef>
          </c:val>
          <c:smooth val="0"/>
          <c:extLst>
            <c:ext xmlns:c16="http://schemas.microsoft.com/office/drawing/2014/chart" uri="{C3380CC4-5D6E-409C-BE32-E72D297353CC}">
              <c16:uniqueId val="{00000003-FF45-4C66-9830-B4DB22ABE4CE}"/>
            </c:ext>
          </c:extLst>
        </c:ser>
        <c:dLbls>
          <c:showLegendKey val="0"/>
          <c:showVal val="0"/>
          <c:showCatName val="0"/>
          <c:showSerName val="0"/>
          <c:showPercent val="0"/>
          <c:showBubbleSize val="0"/>
        </c:dLbls>
        <c:smooth val="0"/>
        <c:axId val="783745344"/>
        <c:axId val="783743048"/>
      </c:lineChart>
      <c:catAx>
        <c:axId val="783745344"/>
        <c:scaling>
          <c:orientation val="minMax"/>
        </c:scaling>
        <c:delete val="0"/>
        <c:axPos val="b"/>
        <c:title>
          <c:tx>
            <c:rich>
              <a:bodyPr rot="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pl-PL"/>
                  <a:t>rok</a:t>
                </a:r>
              </a:p>
            </c:rich>
          </c:tx>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title>
        <c:numFmt formatCode="General" sourceLinked="1"/>
        <c:majorTickMark val="none"/>
        <c:minorTickMark val="none"/>
        <c:tickLblPos val="nextTo"/>
        <c:spPr>
          <a:noFill/>
          <a:ln w="12700" cap="flat" cmpd="sng" algn="ctr">
            <a:solidFill>
              <a:schemeClr val="tx1"/>
            </a:solidFill>
            <a:round/>
          </a:ln>
          <a:effectLst/>
        </c:spPr>
        <c:txPr>
          <a:bodyPr rot="-2700000" spcFirstLastPara="1" vertOverflow="ellipsis"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crossAx val="783743048"/>
        <c:crosses val="autoZero"/>
        <c:auto val="1"/>
        <c:lblAlgn val="ctr"/>
        <c:lblOffset val="100"/>
        <c:noMultiLvlLbl val="0"/>
      </c:catAx>
      <c:valAx>
        <c:axId val="783743048"/>
        <c:scaling>
          <c:orientation val="minMax"/>
        </c:scaling>
        <c:delete val="0"/>
        <c:axPos val="l"/>
        <c:majorGridlines>
          <c:spPr>
            <a:ln w="9525" cap="flat" cmpd="sng" algn="ctr">
              <a:solidFill>
                <a:schemeClr val="tx1">
                  <a:lumMod val="15000"/>
                  <a:lumOff val="85000"/>
                </a:schemeClr>
              </a:solidFill>
              <a:round/>
            </a:ln>
            <a:effectLst/>
          </c:spPr>
        </c:majorGridlines>
        <c:title>
          <c:tx>
            <c:strRef>
              <c:f>'w18'!$B$4</c:f>
              <c:strCache>
                <c:ptCount val="1"/>
                <c:pt idx="0">
                  <c:v>Udział energii odnawialnej w produkcji energii elektrycznej ogółem, %</c:v>
                </c:pt>
              </c:strCache>
            </c:strRef>
          </c:tx>
          <c:layout>
            <c:manualLayout>
              <c:xMode val="edge"/>
              <c:yMode val="edge"/>
              <c:x val="4.7356349394346749E-4"/>
              <c:y val="7.7822298839863968E-2"/>
            </c:manualLayout>
          </c:layout>
          <c:overlay val="0"/>
          <c:spPr>
            <a:noFill/>
            <a:ln>
              <a:noFill/>
            </a:ln>
            <a:effectLst/>
          </c:spPr>
          <c:txPr>
            <a:bodyPr rot="-54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title>
        <c:numFmt formatCode="General" sourceLinked="1"/>
        <c:majorTickMark val="none"/>
        <c:minorTickMark val="none"/>
        <c:tickLblPos val="nextTo"/>
        <c:spPr>
          <a:noFill/>
          <a:ln w="12700">
            <a:solidFill>
              <a:schemeClr val="tx1"/>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crossAx val="78374534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sz="900">
          <a:solidFill>
            <a:sysClr val="windowText" lastClr="000000"/>
          </a:solidFill>
          <a:latin typeface="Arial" panose="020B0604020202020204" pitchFamily="34" charset="0"/>
          <a:cs typeface="Arial" panose="020B0604020202020204" pitchFamily="34" charset="0"/>
        </a:defRPr>
      </a:pPr>
      <a:endParaRPr lang="pl-PL"/>
    </a:p>
  </c:txPr>
  <c:externalData r:id="rId3">
    <c:autoUpdate val="0"/>
  </c:externalData>
</c:chartSpace>
</file>

<file path=word/charts/chart3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4203261069579359"/>
          <c:y val="5.0925925925925923E-2"/>
          <c:w val="0.83706770033107369"/>
          <c:h val="0.668322761738116"/>
        </c:manualLayout>
      </c:layout>
      <c:lineChart>
        <c:grouping val="standard"/>
        <c:varyColors val="0"/>
        <c:ser>
          <c:idx val="0"/>
          <c:order val="0"/>
          <c:tx>
            <c:strRef>
              <c:f>'zuzycie energii'!$C$6</c:f>
              <c:strCache>
                <c:ptCount val="1"/>
                <c:pt idx="0">
                  <c:v>wartość rzeczywista</c:v>
                </c:pt>
              </c:strCache>
            </c:strRef>
          </c:tx>
          <c:spPr>
            <a:ln w="28575" cap="rnd">
              <a:solidFill>
                <a:srgbClr val="51BBB6"/>
              </a:solidFill>
              <a:round/>
            </a:ln>
            <a:effectLst/>
          </c:spPr>
          <c:marker>
            <c:symbol val="none"/>
          </c:marker>
          <c:dLbls>
            <c:dLbl>
              <c:idx val="0"/>
              <c:layout>
                <c:manualLayout>
                  <c:x val="-1.8534869635651165E-3"/>
                  <c:y val="-2.918490723368773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70D5-4390-8173-AF41F742C1DC}"/>
                </c:ext>
              </c:extLst>
            </c:dLbl>
            <c:numFmt formatCode="#,##0.00" sourceLinked="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'zuzycie energii'!$D$5:$X$5</c:f>
              <c:numCache>
                <c:formatCode>General</c:formatCode>
                <c:ptCount val="21"/>
                <c:pt idx="0">
                  <c:v>2010</c:v>
                </c:pt>
                <c:pt idx="1">
                  <c:v>2011</c:v>
                </c:pt>
                <c:pt idx="2">
                  <c:v>2012</c:v>
                </c:pt>
                <c:pt idx="3">
                  <c:v>2013</c:v>
                </c:pt>
                <c:pt idx="4">
                  <c:v>2014</c:v>
                </c:pt>
                <c:pt idx="5">
                  <c:v>2015</c:v>
                </c:pt>
                <c:pt idx="6">
                  <c:v>2016</c:v>
                </c:pt>
                <c:pt idx="7">
                  <c:v>2017</c:v>
                </c:pt>
                <c:pt idx="8">
                  <c:v>2018</c:v>
                </c:pt>
                <c:pt idx="9">
                  <c:v>2019</c:v>
                </c:pt>
                <c:pt idx="10">
                  <c:v>2020</c:v>
                </c:pt>
                <c:pt idx="11">
                  <c:v>2021</c:v>
                </c:pt>
                <c:pt idx="12">
                  <c:v>2022</c:v>
                </c:pt>
                <c:pt idx="13">
                  <c:v>2023</c:v>
                </c:pt>
                <c:pt idx="14">
                  <c:v>2024</c:v>
                </c:pt>
                <c:pt idx="15">
                  <c:v>2025</c:v>
                </c:pt>
                <c:pt idx="16">
                  <c:v>2026</c:v>
                </c:pt>
                <c:pt idx="17">
                  <c:v>2027</c:v>
                </c:pt>
                <c:pt idx="18">
                  <c:v>2028</c:v>
                </c:pt>
                <c:pt idx="19">
                  <c:v>2029</c:v>
                </c:pt>
                <c:pt idx="20">
                  <c:v>2030</c:v>
                </c:pt>
              </c:numCache>
            </c:numRef>
          </c:cat>
          <c:val>
            <c:numRef>
              <c:f>'zuzycie energii'!$D$6:$X$6</c:f>
              <c:numCache>
                <c:formatCode>General</c:formatCode>
                <c:ptCount val="21"/>
                <c:pt idx="0">
                  <c:v>11.137</c:v>
                </c:pt>
                <c:pt idx="1">
                  <c:v>11.087999999999999</c:v>
                </c:pt>
                <c:pt idx="2">
                  <c:v>11.212999999999999</c:v>
                </c:pt>
                <c:pt idx="3">
                  <c:v>11.436</c:v>
                </c:pt>
                <c:pt idx="4">
                  <c:v>11.813000000000001</c:v>
                </c:pt>
                <c:pt idx="5">
                  <c:v>12.093</c:v>
                </c:pt>
                <c:pt idx="6">
                  <c:v>12.59</c:v>
                </c:pt>
                <c:pt idx="7">
                  <c:v>13.827</c:v>
                </c:pt>
                <c:pt idx="8">
                  <c:v>12.694000000000001</c:v>
                </c:pt>
                <c:pt idx="9">
                  <c:v>12.898999999999999</c:v>
                </c:pt>
              </c:numCache>
            </c:numRef>
          </c:val>
          <c:smooth val="0"/>
          <c:extLst>
            <c:ext xmlns:c16="http://schemas.microsoft.com/office/drawing/2014/chart" uri="{C3380CC4-5D6E-409C-BE32-E72D297353CC}">
              <c16:uniqueId val="{00000001-70D5-4390-8173-AF41F742C1DC}"/>
            </c:ext>
          </c:extLst>
        </c:ser>
        <c:ser>
          <c:idx val="1"/>
          <c:order val="1"/>
          <c:tx>
            <c:strRef>
              <c:f>'zuzycie energii'!$C$7</c:f>
              <c:strCache>
                <c:ptCount val="1"/>
                <c:pt idx="0">
                  <c:v>wartość prognozowana</c:v>
                </c:pt>
              </c:strCache>
            </c:strRef>
          </c:tx>
          <c:spPr>
            <a:ln w="28575" cap="rnd">
              <a:solidFill>
                <a:srgbClr val="CCA879"/>
              </a:solidFill>
              <a:prstDash val="sysDot"/>
              <a:round/>
            </a:ln>
            <a:effectLst/>
          </c:spPr>
          <c:marker>
            <c:symbol val="none"/>
          </c:marker>
          <c:dLbls>
            <c:dLbl>
              <c:idx val="20"/>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70D5-4390-8173-AF41F742C1DC}"/>
                </c:ext>
              </c:extLst>
            </c:dLbl>
            <c:numFmt formatCode="#,##0.00" sourceLinked="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'zuzycie energii'!$D$5:$X$5</c:f>
              <c:numCache>
                <c:formatCode>General</c:formatCode>
                <c:ptCount val="21"/>
                <c:pt idx="0">
                  <c:v>2010</c:v>
                </c:pt>
                <c:pt idx="1">
                  <c:v>2011</c:v>
                </c:pt>
                <c:pt idx="2">
                  <c:v>2012</c:v>
                </c:pt>
                <c:pt idx="3">
                  <c:v>2013</c:v>
                </c:pt>
                <c:pt idx="4">
                  <c:v>2014</c:v>
                </c:pt>
                <c:pt idx="5">
                  <c:v>2015</c:v>
                </c:pt>
                <c:pt idx="6">
                  <c:v>2016</c:v>
                </c:pt>
                <c:pt idx="7">
                  <c:v>2017</c:v>
                </c:pt>
                <c:pt idx="8">
                  <c:v>2018</c:v>
                </c:pt>
                <c:pt idx="9">
                  <c:v>2019</c:v>
                </c:pt>
                <c:pt idx="10">
                  <c:v>2020</c:v>
                </c:pt>
                <c:pt idx="11">
                  <c:v>2021</c:v>
                </c:pt>
                <c:pt idx="12">
                  <c:v>2022</c:v>
                </c:pt>
                <c:pt idx="13">
                  <c:v>2023</c:v>
                </c:pt>
                <c:pt idx="14">
                  <c:v>2024</c:v>
                </c:pt>
                <c:pt idx="15">
                  <c:v>2025</c:v>
                </c:pt>
                <c:pt idx="16">
                  <c:v>2026</c:v>
                </c:pt>
                <c:pt idx="17">
                  <c:v>2027</c:v>
                </c:pt>
                <c:pt idx="18">
                  <c:v>2028</c:v>
                </c:pt>
                <c:pt idx="19">
                  <c:v>2029</c:v>
                </c:pt>
                <c:pt idx="20">
                  <c:v>2030</c:v>
                </c:pt>
              </c:numCache>
            </c:numRef>
          </c:cat>
          <c:val>
            <c:numRef>
              <c:f>'zuzycie energii'!$D$7:$X$7</c:f>
              <c:numCache>
                <c:formatCode>General</c:formatCode>
                <c:ptCount val="21"/>
                <c:pt idx="9">
                  <c:v>12.898999999999999</c:v>
                </c:pt>
                <c:pt idx="10" formatCode="0.000">
                  <c:v>13.542100000000001</c:v>
                </c:pt>
                <c:pt idx="11" formatCode="0.000">
                  <c:v>13.808199999999999</c:v>
                </c:pt>
                <c:pt idx="12" formatCode="0.000">
                  <c:v>14.074300000000001</c:v>
                </c:pt>
                <c:pt idx="13" formatCode="0.000">
                  <c:v>14.340400000000001</c:v>
                </c:pt>
                <c:pt idx="14" formatCode="0.000">
                  <c:v>14.6065</c:v>
                </c:pt>
                <c:pt idx="15" formatCode="0.000">
                  <c:v>14.8726</c:v>
                </c:pt>
                <c:pt idx="16" formatCode="0.000">
                  <c:v>15.1387</c:v>
                </c:pt>
                <c:pt idx="17" formatCode="0.000">
                  <c:v>15.4048</c:v>
                </c:pt>
                <c:pt idx="18" formatCode="0.000">
                  <c:v>15.6709</c:v>
                </c:pt>
                <c:pt idx="19" formatCode="0.000">
                  <c:v>15.937000000000001</c:v>
                </c:pt>
                <c:pt idx="20" formatCode="0.000">
                  <c:v>16.203099999999999</c:v>
                </c:pt>
              </c:numCache>
            </c:numRef>
          </c:val>
          <c:smooth val="0"/>
          <c:extLst>
            <c:ext xmlns:c16="http://schemas.microsoft.com/office/drawing/2014/chart" uri="{C3380CC4-5D6E-409C-BE32-E72D297353CC}">
              <c16:uniqueId val="{00000003-70D5-4390-8173-AF41F742C1DC}"/>
            </c:ext>
          </c:extLst>
        </c:ser>
        <c:dLbls>
          <c:showLegendKey val="0"/>
          <c:showVal val="0"/>
          <c:showCatName val="0"/>
          <c:showSerName val="0"/>
          <c:showPercent val="0"/>
          <c:showBubbleSize val="0"/>
        </c:dLbls>
        <c:smooth val="0"/>
        <c:axId val="783745344"/>
        <c:axId val="783743048"/>
      </c:lineChart>
      <c:catAx>
        <c:axId val="783745344"/>
        <c:scaling>
          <c:orientation val="minMax"/>
        </c:scaling>
        <c:delete val="0"/>
        <c:axPos val="b"/>
        <c:title>
          <c:tx>
            <c:rich>
              <a:bodyPr rot="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pl-PL"/>
                  <a:t>rok</a:t>
                </a:r>
              </a:p>
            </c:rich>
          </c:tx>
          <c:layout>
            <c:manualLayout>
              <c:xMode val="edge"/>
              <c:yMode val="edge"/>
              <c:x val="0.47925063190950351"/>
              <c:y val="0.85219267119507058"/>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title>
        <c:numFmt formatCode="General" sourceLinked="1"/>
        <c:majorTickMark val="none"/>
        <c:minorTickMark val="none"/>
        <c:tickLblPos val="nextTo"/>
        <c:spPr>
          <a:noFill/>
          <a:ln w="12700" cap="flat" cmpd="sng" algn="ctr">
            <a:solidFill>
              <a:schemeClr val="tx1"/>
            </a:solidFill>
            <a:round/>
          </a:ln>
          <a:effectLst/>
        </c:spPr>
        <c:txPr>
          <a:bodyPr rot="-2700000" spcFirstLastPara="1" vertOverflow="ellipsis"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crossAx val="783743048"/>
        <c:crosses val="autoZero"/>
        <c:auto val="1"/>
        <c:lblAlgn val="ctr"/>
        <c:lblOffset val="100"/>
        <c:noMultiLvlLbl val="0"/>
      </c:catAx>
      <c:valAx>
        <c:axId val="783743048"/>
        <c:scaling>
          <c:orientation val="minMax"/>
        </c:scaling>
        <c:delete val="0"/>
        <c:axPos val="l"/>
        <c:majorGridlines>
          <c:spPr>
            <a:ln w="9525" cap="flat" cmpd="sng" algn="ctr">
              <a:solidFill>
                <a:schemeClr val="tx1">
                  <a:lumMod val="15000"/>
                  <a:lumOff val="85000"/>
                </a:schemeClr>
              </a:solidFill>
              <a:round/>
            </a:ln>
            <a:effectLst/>
          </c:spPr>
        </c:majorGridlines>
        <c:title>
          <c:tx>
            <c:strRef>
              <c:f>'zuzycie energii'!$B$4</c:f>
              <c:strCache>
                <c:ptCount val="1"/>
                <c:pt idx="0">
                  <c:v>Zużycie energii elektrycznej ogółem, tys. GWh</c:v>
                </c:pt>
              </c:strCache>
            </c:strRef>
          </c:tx>
          <c:overlay val="0"/>
          <c:spPr>
            <a:noFill/>
            <a:ln>
              <a:noFill/>
            </a:ln>
            <a:effectLst/>
          </c:spPr>
          <c:txPr>
            <a:bodyPr rot="-54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title>
        <c:numFmt formatCode="General" sourceLinked="1"/>
        <c:majorTickMark val="none"/>
        <c:minorTickMark val="none"/>
        <c:tickLblPos val="nextTo"/>
        <c:spPr>
          <a:noFill/>
          <a:ln w="12700">
            <a:solidFill>
              <a:schemeClr val="tx1"/>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crossAx val="78374534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sz="900">
          <a:solidFill>
            <a:sysClr val="windowText" lastClr="000000"/>
          </a:solidFill>
          <a:latin typeface="Arial" panose="020B0604020202020204" pitchFamily="34" charset="0"/>
          <a:cs typeface="Arial" panose="020B0604020202020204" pitchFamily="34" charset="0"/>
        </a:defRPr>
      </a:pPr>
      <a:endParaRPr lang="pl-PL"/>
    </a:p>
  </c:txPr>
  <c:externalData r:id="rId3">
    <c:autoUpdate val="0"/>
  </c:externalData>
</c:chartSpace>
</file>

<file path=word/charts/chart3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5913235621926575"/>
          <c:y val="5.0925925925925923E-2"/>
          <c:w val="0.81996795480760154"/>
          <c:h val="0.668322761738116"/>
        </c:manualLayout>
      </c:layout>
      <c:lineChart>
        <c:grouping val="standard"/>
        <c:varyColors val="0"/>
        <c:ser>
          <c:idx val="0"/>
          <c:order val="0"/>
          <c:tx>
            <c:strRef>
              <c:f>'w25'!$C$6</c:f>
              <c:strCache>
                <c:ptCount val="1"/>
                <c:pt idx="0">
                  <c:v>wartość rzeczywista</c:v>
                </c:pt>
              </c:strCache>
            </c:strRef>
          </c:tx>
          <c:spPr>
            <a:ln w="28575" cap="rnd">
              <a:solidFill>
                <a:schemeClr val="accent1"/>
              </a:solidFill>
              <a:round/>
            </a:ln>
            <a:effectLst/>
          </c:spPr>
          <c:marker>
            <c:symbol val="none"/>
          </c:marker>
          <c:dLbls>
            <c:dLbl>
              <c:idx val="0"/>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443A-4E4C-9F8A-79B18FE2A2DF}"/>
                </c:ext>
              </c:extLst>
            </c:dLbl>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'w25'!$D$5:$X$5</c:f>
              <c:numCache>
                <c:formatCode>General</c:formatCode>
                <c:ptCount val="21"/>
                <c:pt idx="0">
                  <c:v>2010</c:v>
                </c:pt>
                <c:pt idx="1">
                  <c:v>2011</c:v>
                </c:pt>
                <c:pt idx="2">
                  <c:v>2012</c:v>
                </c:pt>
                <c:pt idx="3">
                  <c:v>2013</c:v>
                </c:pt>
                <c:pt idx="4">
                  <c:v>2014</c:v>
                </c:pt>
                <c:pt idx="5">
                  <c:v>2015</c:v>
                </c:pt>
                <c:pt idx="6">
                  <c:v>2016</c:v>
                </c:pt>
                <c:pt idx="7">
                  <c:v>2017</c:v>
                </c:pt>
                <c:pt idx="8">
                  <c:v>2018</c:v>
                </c:pt>
                <c:pt idx="9">
                  <c:v>2019</c:v>
                </c:pt>
                <c:pt idx="10">
                  <c:v>2020</c:v>
                </c:pt>
                <c:pt idx="11">
                  <c:v>2021</c:v>
                </c:pt>
                <c:pt idx="12">
                  <c:v>2022</c:v>
                </c:pt>
                <c:pt idx="13">
                  <c:v>2023</c:v>
                </c:pt>
                <c:pt idx="14">
                  <c:v>2024</c:v>
                </c:pt>
                <c:pt idx="15">
                  <c:v>2025</c:v>
                </c:pt>
                <c:pt idx="16">
                  <c:v>2026</c:v>
                </c:pt>
                <c:pt idx="17">
                  <c:v>2027</c:v>
                </c:pt>
                <c:pt idx="18">
                  <c:v>2028</c:v>
                </c:pt>
                <c:pt idx="19">
                  <c:v>2029</c:v>
                </c:pt>
                <c:pt idx="20">
                  <c:v>2030</c:v>
                </c:pt>
              </c:numCache>
            </c:numRef>
          </c:cat>
          <c:val>
            <c:numRef>
              <c:f>'w25'!$D$6:$X$6</c:f>
              <c:numCache>
                <c:formatCode>General</c:formatCode>
                <c:ptCount val="21"/>
                <c:pt idx="0">
                  <c:v>1.17</c:v>
                </c:pt>
                <c:pt idx="1">
                  <c:v>1.37</c:v>
                </c:pt>
                <c:pt idx="2">
                  <c:v>1.62</c:v>
                </c:pt>
                <c:pt idx="3">
                  <c:v>1.85</c:v>
                </c:pt>
                <c:pt idx="4">
                  <c:v>2.09</c:v>
                </c:pt>
                <c:pt idx="5">
                  <c:v>1.76</c:v>
                </c:pt>
                <c:pt idx="6">
                  <c:v>1.39</c:v>
                </c:pt>
                <c:pt idx="7">
                  <c:v>1.1100000000000001</c:v>
                </c:pt>
                <c:pt idx="8">
                  <c:v>1.06</c:v>
                </c:pt>
                <c:pt idx="9">
                  <c:v>1.17</c:v>
                </c:pt>
                <c:pt idx="10">
                  <c:v>2.1023000000000001</c:v>
                </c:pt>
              </c:numCache>
            </c:numRef>
          </c:val>
          <c:smooth val="0"/>
          <c:extLst>
            <c:ext xmlns:c16="http://schemas.microsoft.com/office/drawing/2014/chart" uri="{C3380CC4-5D6E-409C-BE32-E72D297353CC}">
              <c16:uniqueId val="{00000001-443A-4E4C-9F8A-79B18FE2A2DF}"/>
            </c:ext>
          </c:extLst>
        </c:ser>
        <c:ser>
          <c:idx val="1"/>
          <c:order val="1"/>
          <c:tx>
            <c:strRef>
              <c:f>'w25'!$C$7</c:f>
              <c:strCache>
                <c:ptCount val="1"/>
                <c:pt idx="0">
                  <c:v>wartość prognozowana</c:v>
                </c:pt>
              </c:strCache>
            </c:strRef>
          </c:tx>
          <c:spPr>
            <a:ln w="28575" cap="rnd">
              <a:solidFill>
                <a:schemeClr val="accent2"/>
              </a:solidFill>
              <a:prstDash val="sysDot"/>
              <a:round/>
            </a:ln>
            <a:effectLst/>
          </c:spPr>
          <c:marker>
            <c:symbol val="none"/>
          </c:marker>
          <c:dLbls>
            <c:dLbl>
              <c:idx val="20"/>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443A-4E4C-9F8A-79B18FE2A2DF}"/>
                </c:ext>
              </c:extLst>
            </c:dLbl>
            <c:numFmt formatCode="#,##0.00" sourceLinked="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'w25'!$D$5:$X$5</c:f>
              <c:numCache>
                <c:formatCode>General</c:formatCode>
                <c:ptCount val="21"/>
                <c:pt idx="0">
                  <c:v>2010</c:v>
                </c:pt>
                <c:pt idx="1">
                  <c:v>2011</c:v>
                </c:pt>
                <c:pt idx="2">
                  <c:v>2012</c:v>
                </c:pt>
                <c:pt idx="3">
                  <c:v>2013</c:v>
                </c:pt>
                <c:pt idx="4">
                  <c:v>2014</c:v>
                </c:pt>
                <c:pt idx="5">
                  <c:v>2015</c:v>
                </c:pt>
                <c:pt idx="6">
                  <c:v>2016</c:v>
                </c:pt>
                <c:pt idx="7">
                  <c:v>2017</c:v>
                </c:pt>
                <c:pt idx="8">
                  <c:v>2018</c:v>
                </c:pt>
                <c:pt idx="9">
                  <c:v>2019</c:v>
                </c:pt>
                <c:pt idx="10">
                  <c:v>2020</c:v>
                </c:pt>
                <c:pt idx="11">
                  <c:v>2021</c:v>
                </c:pt>
                <c:pt idx="12">
                  <c:v>2022</c:v>
                </c:pt>
                <c:pt idx="13">
                  <c:v>2023</c:v>
                </c:pt>
                <c:pt idx="14">
                  <c:v>2024</c:v>
                </c:pt>
                <c:pt idx="15">
                  <c:v>2025</c:v>
                </c:pt>
                <c:pt idx="16">
                  <c:v>2026</c:v>
                </c:pt>
                <c:pt idx="17">
                  <c:v>2027</c:v>
                </c:pt>
                <c:pt idx="18">
                  <c:v>2028</c:v>
                </c:pt>
                <c:pt idx="19">
                  <c:v>2029</c:v>
                </c:pt>
                <c:pt idx="20">
                  <c:v>2030</c:v>
                </c:pt>
              </c:numCache>
            </c:numRef>
          </c:cat>
          <c:val>
            <c:numRef>
              <c:f>'w25'!$D$7:$X$7</c:f>
              <c:numCache>
                <c:formatCode>General</c:formatCode>
                <c:ptCount val="21"/>
                <c:pt idx="10">
                  <c:v>2.1023000000000001</c:v>
                </c:pt>
                <c:pt idx="11">
                  <c:v>2.1413000000000002</c:v>
                </c:pt>
                <c:pt idx="12">
                  <c:v>2.1802999999999999</c:v>
                </c:pt>
                <c:pt idx="13">
                  <c:v>2.2193000000000001</c:v>
                </c:pt>
                <c:pt idx="14">
                  <c:v>2.2583000000000002</c:v>
                </c:pt>
                <c:pt idx="15">
                  <c:v>2.2972999999999999</c:v>
                </c:pt>
                <c:pt idx="16">
                  <c:v>2.3368000000000002</c:v>
                </c:pt>
                <c:pt idx="17">
                  <c:v>2.3763000000000001</c:v>
                </c:pt>
                <c:pt idx="18">
                  <c:v>2.4157999999999999</c:v>
                </c:pt>
                <c:pt idx="19">
                  <c:v>2.4555000000000002</c:v>
                </c:pt>
                <c:pt idx="20">
                  <c:v>2.4955000000000003</c:v>
                </c:pt>
              </c:numCache>
            </c:numRef>
          </c:val>
          <c:smooth val="0"/>
          <c:extLst>
            <c:ext xmlns:c16="http://schemas.microsoft.com/office/drawing/2014/chart" uri="{C3380CC4-5D6E-409C-BE32-E72D297353CC}">
              <c16:uniqueId val="{00000003-443A-4E4C-9F8A-79B18FE2A2DF}"/>
            </c:ext>
          </c:extLst>
        </c:ser>
        <c:dLbls>
          <c:showLegendKey val="0"/>
          <c:showVal val="0"/>
          <c:showCatName val="0"/>
          <c:showSerName val="0"/>
          <c:showPercent val="0"/>
          <c:showBubbleSize val="0"/>
        </c:dLbls>
        <c:smooth val="0"/>
        <c:axId val="783745344"/>
        <c:axId val="783743048"/>
      </c:lineChart>
      <c:catAx>
        <c:axId val="783745344"/>
        <c:scaling>
          <c:orientation val="minMax"/>
        </c:scaling>
        <c:delete val="0"/>
        <c:axPos val="b"/>
        <c:title>
          <c:tx>
            <c:rich>
              <a:bodyPr rot="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pl-PL"/>
                  <a:t>rok</a:t>
                </a:r>
              </a:p>
            </c:rich>
          </c:tx>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title>
        <c:numFmt formatCode="General" sourceLinked="1"/>
        <c:majorTickMark val="none"/>
        <c:minorTickMark val="none"/>
        <c:tickLblPos val="nextTo"/>
        <c:spPr>
          <a:noFill/>
          <a:ln w="12700" cap="flat" cmpd="sng" algn="ctr">
            <a:solidFill>
              <a:schemeClr val="tx1"/>
            </a:solidFill>
            <a:round/>
          </a:ln>
          <a:effectLst/>
        </c:spPr>
        <c:txPr>
          <a:bodyPr rot="-2700000" spcFirstLastPara="1" vertOverflow="ellipsis"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crossAx val="783743048"/>
        <c:crosses val="autoZero"/>
        <c:auto val="1"/>
        <c:lblAlgn val="ctr"/>
        <c:lblOffset val="100"/>
        <c:noMultiLvlLbl val="0"/>
      </c:catAx>
      <c:valAx>
        <c:axId val="783743048"/>
        <c:scaling>
          <c:orientation val="minMax"/>
        </c:scaling>
        <c:delete val="0"/>
        <c:axPos val="l"/>
        <c:majorGridlines>
          <c:spPr>
            <a:ln w="9525" cap="flat" cmpd="sng" algn="ctr">
              <a:solidFill>
                <a:schemeClr val="tx1">
                  <a:lumMod val="15000"/>
                  <a:lumOff val="85000"/>
                </a:schemeClr>
              </a:solidFill>
              <a:round/>
            </a:ln>
            <a:effectLst/>
          </c:spPr>
        </c:majorGridlines>
        <c:title>
          <c:tx>
            <c:strRef>
              <c:f>'w25'!$B$4</c:f>
              <c:strCache>
                <c:ptCount val="1"/>
                <c:pt idx="0">
                  <c:v>Ekologiczne gospodarstwa rolne z certyfikatem - udział powierzchni użytków rolnych w użytkach rolnych ogółem, %</c:v>
                </c:pt>
              </c:strCache>
            </c:strRef>
          </c:tx>
          <c:overlay val="0"/>
          <c:spPr>
            <a:noFill/>
            <a:ln>
              <a:noFill/>
            </a:ln>
            <a:effectLst/>
          </c:spPr>
          <c:txPr>
            <a:bodyPr rot="-54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title>
        <c:numFmt formatCode="General" sourceLinked="1"/>
        <c:majorTickMark val="none"/>
        <c:minorTickMark val="none"/>
        <c:tickLblPos val="nextTo"/>
        <c:spPr>
          <a:noFill/>
          <a:ln w="12700">
            <a:solidFill>
              <a:schemeClr val="tx1"/>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crossAx val="78374534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sz="900">
          <a:solidFill>
            <a:sysClr val="windowText" lastClr="000000"/>
          </a:solidFill>
          <a:latin typeface="Arial" panose="020B0604020202020204" pitchFamily="34" charset="0"/>
          <a:cs typeface="Arial" panose="020B0604020202020204" pitchFamily="34" charset="0"/>
        </a:defRPr>
      </a:pPr>
      <a:endParaRPr lang="pl-PL"/>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42566120207196312"/>
          <c:y val="6.6494738037553E-2"/>
          <c:w val="0.52560027218819882"/>
          <c:h val="0.89390205431051883"/>
        </c:manualLayout>
      </c:layout>
      <c:barChart>
        <c:barDir val="bar"/>
        <c:grouping val="clustered"/>
        <c:varyColors val="0"/>
        <c:ser>
          <c:idx val="0"/>
          <c:order val="0"/>
          <c:spPr>
            <a:solidFill>
              <a:srgbClr val="173457"/>
            </a:solidFill>
            <a:ln>
              <a:solidFill>
                <a:srgbClr val="51BBB6"/>
              </a:solid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'B3'!$B$5:$B$14</c:f>
              <c:strCache>
                <c:ptCount val="9"/>
                <c:pt idx="0">
                  <c:v>Fotowoltaika</c:v>
                </c:pt>
                <c:pt idx="1">
                  <c:v>Poszukiwanie i dopasowywanie opakowań i materiałów opakowaniowych</c:v>
                </c:pt>
                <c:pt idx="2">
                  <c:v>Nowa linia produkcyjna</c:v>
                </c:pt>
                <c:pt idx="3">
                  <c:v>Automatyzacja i/lub robotyzacja</c:v>
                </c:pt>
                <c:pt idx="4">
                  <c:v>Usprawnienie procesu wyboru wykonawców/dostawców</c:v>
                </c:pt>
                <c:pt idx="5">
                  <c:v>Zatrudnienie/zaangazowanie wysoko wyspecjalizowanej kadry</c:v>
                </c:pt>
                <c:pt idx="6">
                  <c:v>Wprowadzenie nowych usług/produktów</c:v>
                </c:pt>
                <c:pt idx="7">
                  <c:v>Wprowadzenie nowego lub usprawnienie obecnego procesu produkcyjnego</c:v>
                </c:pt>
                <c:pt idx="8">
                  <c:v>Wprowadzenie nowego lub usprawnienie obecnego procesu technologicznego</c:v>
                </c:pt>
              </c:strCache>
            </c:strRef>
          </c:cat>
          <c:val>
            <c:numRef>
              <c:f>'B3'!$D$5:$D$13</c:f>
              <c:numCache>
                <c:formatCode>0.0%</c:formatCode>
                <c:ptCount val="9"/>
                <c:pt idx="0">
                  <c:v>2.3809523809523808E-2</c:v>
                </c:pt>
                <c:pt idx="1">
                  <c:v>2.3809523809523808E-2</c:v>
                </c:pt>
                <c:pt idx="2">
                  <c:v>2.3809523809523808E-2</c:v>
                </c:pt>
                <c:pt idx="3">
                  <c:v>7.1428571428571438E-2</c:v>
                </c:pt>
                <c:pt idx="4">
                  <c:v>7.1428571428571438E-2</c:v>
                </c:pt>
                <c:pt idx="5">
                  <c:v>0.11904761904761905</c:v>
                </c:pt>
                <c:pt idx="6">
                  <c:v>0.16666666666666669</c:v>
                </c:pt>
                <c:pt idx="7">
                  <c:v>0.19047619047619047</c:v>
                </c:pt>
                <c:pt idx="8">
                  <c:v>0.28571428571428575</c:v>
                </c:pt>
              </c:numCache>
            </c:numRef>
          </c:val>
          <c:extLst>
            <c:ext xmlns:c16="http://schemas.microsoft.com/office/drawing/2014/chart" uri="{C3380CC4-5D6E-409C-BE32-E72D297353CC}">
              <c16:uniqueId val="{00000000-093C-4E1C-92CE-1901ED222D66}"/>
            </c:ext>
          </c:extLst>
        </c:ser>
        <c:dLbls>
          <c:dLblPos val="outEnd"/>
          <c:showLegendKey val="0"/>
          <c:showVal val="1"/>
          <c:showCatName val="0"/>
          <c:showSerName val="0"/>
          <c:showPercent val="0"/>
          <c:showBubbleSize val="0"/>
        </c:dLbls>
        <c:gapWidth val="182"/>
        <c:axId val="-1001885168"/>
        <c:axId val="-1001884624"/>
      </c:barChart>
      <c:catAx>
        <c:axId val="-1001885168"/>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crossAx val="-1001884624"/>
        <c:crosses val="autoZero"/>
        <c:auto val="1"/>
        <c:lblAlgn val="ctr"/>
        <c:lblOffset val="100"/>
        <c:noMultiLvlLbl val="0"/>
      </c:catAx>
      <c:valAx>
        <c:axId val="-1001884624"/>
        <c:scaling>
          <c:orientation val="minMax"/>
        </c:scaling>
        <c:delete val="1"/>
        <c:axPos val="b"/>
        <c:majorGridlines>
          <c:spPr>
            <a:ln w="9525" cap="flat" cmpd="sng" algn="ctr">
              <a:noFill/>
              <a:round/>
            </a:ln>
            <a:effectLst/>
          </c:spPr>
        </c:majorGridlines>
        <c:numFmt formatCode="0%" sourceLinked="0"/>
        <c:majorTickMark val="none"/>
        <c:minorTickMark val="none"/>
        <c:tickLblPos val="nextTo"/>
        <c:crossAx val="-1001885168"/>
        <c:crosses val="autoZero"/>
        <c:crossBetween val="between"/>
        <c:majorUnit val="0.1"/>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800">
          <a:solidFill>
            <a:sysClr val="windowText" lastClr="000000"/>
          </a:solidFill>
          <a:latin typeface="Arial" panose="020B0604020202020204" pitchFamily="34" charset="0"/>
          <a:cs typeface="Arial" panose="020B0604020202020204" pitchFamily="34" charset="0"/>
        </a:defRPr>
      </a:pPr>
      <a:endParaRPr lang="pl-PL"/>
    </a:p>
  </c:txPr>
  <c:externalData r:id="rId3">
    <c:autoUpdate val="0"/>
  </c:externalData>
</c:chartSpace>
</file>

<file path=word/charts/chart4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1913096845117044"/>
          <c:y val="6.3764144706471432E-2"/>
          <c:w val="0.86176733275386685"/>
          <c:h val="0.668322761738116"/>
        </c:manualLayout>
      </c:layout>
      <c:lineChart>
        <c:grouping val="standard"/>
        <c:varyColors val="0"/>
        <c:ser>
          <c:idx val="0"/>
          <c:order val="0"/>
          <c:tx>
            <c:strRef>
              <c:f>'[Wskazniki dla powiatów_PO_v21(1).xlsx]w24'!$C$6</c:f>
              <c:strCache>
                <c:ptCount val="1"/>
                <c:pt idx="0">
                  <c:v>wartość rzeczywista</c:v>
                </c:pt>
              </c:strCache>
            </c:strRef>
          </c:tx>
          <c:spPr>
            <a:ln w="28575" cap="rnd">
              <a:solidFill>
                <a:srgbClr val="51BBB6"/>
              </a:solidFill>
              <a:round/>
            </a:ln>
            <a:effectLst/>
          </c:spPr>
          <c:marker>
            <c:symbol val="none"/>
          </c:marker>
          <c:dLbls>
            <c:dLbl>
              <c:idx val="0"/>
              <c:layout>
                <c:manualLayout>
                  <c:x val="-2.8686574189170169E-2"/>
                  <c:y val="2.921448525818663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ABDD-4AF6-90E0-0961D19DE88B}"/>
                </c:ext>
              </c:extLst>
            </c:dLbl>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'[Wskazniki dla powiatów_PO_v21(1).xlsx]w24'!$D$5:$X$5</c:f>
              <c:numCache>
                <c:formatCode>General</c:formatCode>
                <c:ptCount val="21"/>
                <c:pt idx="0">
                  <c:v>2010</c:v>
                </c:pt>
                <c:pt idx="1">
                  <c:v>2011</c:v>
                </c:pt>
                <c:pt idx="2">
                  <c:v>2012</c:v>
                </c:pt>
                <c:pt idx="3">
                  <c:v>2013</c:v>
                </c:pt>
                <c:pt idx="4">
                  <c:v>2014</c:v>
                </c:pt>
                <c:pt idx="5">
                  <c:v>2015</c:v>
                </c:pt>
                <c:pt idx="6">
                  <c:v>2016</c:v>
                </c:pt>
                <c:pt idx="7">
                  <c:v>2017</c:v>
                </c:pt>
                <c:pt idx="8">
                  <c:v>2018</c:v>
                </c:pt>
                <c:pt idx="9">
                  <c:v>2019</c:v>
                </c:pt>
                <c:pt idx="10">
                  <c:v>2020</c:v>
                </c:pt>
                <c:pt idx="11">
                  <c:v>2021</c:v>
                </c:pt>
                <c:pt idx="12">
                  <c:v>2022</c:v>
                </c:pt>
                <c:pt idx="13">
                  <c:v>2023</c:v>
                </c:pt>
                <c:pt idx="14">
                  <c:v>2024</c:v>
                </c:pt>
                <c:pt idx="15">
                  <c:v>2025</c:v>
                </c:pt>
                <c:pt idx="16">
                  <c:v>2026</c:v>
                </c:pt>
                <c:pt idx="17">
                  <c:v>2027</c:v>
                </c:pt>
                <c:pt idx="18">
                  <c:v>2028</c:v>
                </c:pt>
                <c:pt idx="19">
                  <c:v>2029</c:v>
                </c:pt>
                <c:pt idx="20">
                  <c:v>2030</c:v>
                </c:pt>
              </c:numCache>
            </c:numRef>
          </c:cat>
          <c:val>
            <c:numRef>
              <c:f>'[Wskazniki dla powiatów_PO_v21(1).xlsx]w24'!$D$6:$X$6</c:f>
              <c:numCache>
                <c:formatCode>General</c:formatCode>
                <c:ptCount val="21"/>
                <c:pt idx="0" formatCode="0.00">
                  <c:v>32.512799999999999</c:v>
                </c:pt>
                <c:pt idx="1">
                  <c:v>38.4343</c:v>
                </c:pt>
                <c:pt idx="2">
                  <c:v>41.478999999999999</c:v>
                </c:pt>
                <c:pt idx="3">
                  <c:v>41.616999999999997</c:v>
                </c:pt>
                <c:pt idx="4">
                  <c:v>42.070999999999998</c:v>
                </c:pt>
                <c:pt idx="5">
                  <c:v>34.523000000000003</c:v>
                </c:pt>
                <c:pt idx="6">
                  <c:v>29.170999999999999</c:v>
                </c:pt>
                <c:pt idx="7">
                  <c:v>25.388999999999999</c:v>
                </c:pt>
                <c:pt idx="8">
                  <c:v>25.994</c:v>
                </c:pt>
                <c:pt idx="9">
                  <c:v>27.734000000000002</c:v>
                </c:pt>
                <c:pt idx="10">
                  <c:v>45.134999999999998</c:v>
                </c:pt>
              </c:numCache>
            </c:numRef>
          </c:val>
          <c:smooth val="0"/>
          <c:extLst>
            <c:ext xmlns:c16="http://schemas.microsoft.com/office/drawing/2014/chart" uri="{C3380CC4-5D6E-409C-BE32-E72D297353CC}">
              <c16:uniqueId val="{00000001-ABDD-4AF6-90E0-0961D19DE88B}"/>
            </c:ext>
          </c:extLst>
        </c:ser>
        <c:ser>
          <c:idx val="1"/>
          <c:order val="1"/>
          <c:tx>
            <c:strRef>
              <c:f>'[Wskazniki dla powiatów_PO_v21(1).xlsx]w24'!$C$7</c:f>
              <c:strCache>
                <c:ptCount val="1"/>
                <c:pt idx="0">
                  <c:v>wartość prognozowana</c:v>
                </c:pt>
              </c:strCache>
            </c:strRef>
          </c:tx>
          <c:spPr>
            <a:ln w="28575" cap="rnd">
              <a:solidFill>
                <a:srgbClr val="CCA879"/>
              </a:solidFill>
              <a:prstDash val="sysDot"/>
              <a:round/>
            </a:ln>
            <a:effectLst/>
          </c:spPr>
          <c:marker>
            <c:symbol val="none"/>
          </c:marker>
          <c:dLbls>
            <c:dLbl>
              <c:idx val="20"/>
              <c:layout>
                <c:manualLayout>
                  <c:x val="-1.7929108868231486E-2"/>
                  <c:y val="5.42554726223467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ABDD-4AF6-90E0-0961D19DE88B}"/>
                </c:ext>
              </c:extLst>
            </c:dLbl>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'[Wskazniki dla powiatów_PO_v21(1).xlsx]w24'!$D$5:$X$5</c:f>
              <c:numCache>
                <c:formatCode>General</c:formatCode>
                <c:ptCount val="21"/>
                <c:pt idx="0">
                  <c:v>2010</c:v>
                </c:pt>
                <c:pt idx="1">
                  <c:v>2011</c:v>
                </c:pt>
                <c:pt idx="2">
                  <c:v>2012</c:v>
                </c:pt>
                <c:pt idx="3">
                  <c:v>2013</c:v>
                </c:pt>
                <c:pt idx="4">
                  <c:v>2014</c:v>
                </c:pt>
                <c:pt idx="5">
                  <c:v>2015</c:v>
                </c:pt>
                <c:pt idx="6">
                  <c:v>2016</c:v>
                </c:pt>
                <c:pt idx="7">
                  <c:v>2017</c:v>
                </c:pt>
                <c:pt idx="8">
                  <c:v>2018</c:v>
                </c:pt>
                <c:pt idx="9">
                  <c:v>2019</c:v>
                </c:pt>
                <c:pt idx="10">
                  <c:v>2020</c:v>
                </c:pt>
                <c:pt idx="11">
                  <c:v>2021</c:v>
                </c:pt>
                <c:pt idx="12">
                  <c:v>2022</c:v>
                </c:pt>
                <c:pt idx="13">
                  <c:v>2023</c:v>
                </c:pt>
                <c:pt idx="14">
                  <c:v>2024</c:v>
                </c:pt>
                <c:pt idx="15">
                  <c:v>2025</c:v>
                </c:pt>
                <c:pt idx="16">
                  <c:v>2026</c:v>
                </c:pt>
                <c:pt idx="17">
                  <c:v>2027</c:v>
                </c:pt>
                <c:pt idx="18">
                  <c:v>2028</c:v>
                </c:pt>
                <c:pt idx="19">
                  <c:v>2029</c:v>
                </c:pt>
                <c:pt idx="20">
                  <c:v>2030</c:v>
                </c:pt>
              </c:numCache>
            </c:numRef>
          </c:cat>
          <c:val>
            <c:numRef>
              <c:f>'[Wskazniki dla powiatów_PO_v21(1).xlsx]w24'!$D$7:$X$7</c:f>
              <c:numCache>
                <c:formatCode>General</c:formatCode>
                <c:ptCount val="21"/>
                <c:pt idx="10">
                  <c:v>45.134999999999998</c:v>
                </c:pt>
                <c:pt idx="11">
                  <c:v>45.383000000000003</c:v>
                </c:pt>
                <c:pt idx="12">
                  <c:v>45.631</c:v>
                </c:pt>
                <c:pt idx="13">
                  <c:v>45.878999999999998</c:v>
                </c:pt>
                <c:pt idx="14">
                  <c:v>46.127000000000002</c:v>
                </c:pt>
                <c:pt idx="15">
                  <c:v>46.375</c:v>
                </c:pt>
                <c:pt idx="16">
                  <c:v>46.622999999999998</c:v>
                </c:pt>
                <c:pt idx="17">
                  <c:v>46.871000000000002</c:v>
                </c:pt>
                <c:pt idx="18">
                  <c:v>47.119</c:v>
                </c:pt>
                <c:pt idx="19">
                  <c:v>47.366999999999997</c:v>
                </c:pt>
                <c:pt idx="20" formatCode="0.00">
                  <c:v>47.615000000000002</c:v>
                </c:pt>
              </c:numCache>
            </c:numRef>
          </c:val>
          <c:smooth val="0"/>
          <c:extLst>
            <c:ext xmlns:c16="http://schemas.microsoft.com/office/drawing/2014/chart" uri="{C3380CC4-5D6E-409C-BE32-E72D297353CC}">
              <c16:uniqueId val="{00000003-ABDD-4AF6-90E0-0961D19DE88B}"/>
            </c:ext>
          </c:extLst>
        </c:ser>
        <c:dLbls>
          <c:showLegendKey val="0"/>
          <c:showVal val="0"/>
          <c:showCatName val="0"/>
          <c:showSerName val="0"/>
          <c:showPercent val="0"/>
          <c:showBubbleSize val="0"/>
        </c:dLbls>
        <c:smooth val="0"/>
        <c:axId val="783745344"/>
        <c:axId val="783743048"/>
      </c:lineChart>
      <c:catAx>
        <c:axId val="783745344"/>
        <c:scaling>
          <c:orientation val="minMax"/>
        </c:scaling>
        <c:delete val="0"/>
        <c:axPos val="b"/>
        <c:title>
          <c:tx>
            <c:rich>
              <a:bodyPr rot="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pl-PL"/>
                  <a:t>rok</a:t>
                </a:r>
              </a:p>
            </c:rich>
          </c:tx>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title>
        <c:numFmt formatCode="General" sourceLinked="1"/>
        <c:majorTickMark val="none"/>
        <c:minorTickMark val="none"/>
        <c:tickLblPos val="nextTo"/>
        <c:spPr>
          <a:noFill/>
          <a:ln w="12700" cap="flat" cmpd="sng" algn="ctr">
            <a:solidFill>
              <a:schemeClr val="tx1"/>
            </a:solidFill>
            <a:round/>
          </a:ln>
          <a:effectLst/>
        </c:spPr>
        <c:txPr>
          <a:bodyPr rot="-2700000" spcFirstLastPara="1" vertOverflow="ellipsis"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crossAx val="783743048"/>
        <c:crosses val="autoZero"/>
        <c:auto val="1"/>
        <c:lblAlgn val="ctr"/>
        <c:lblOffset val="100"/>
        <c:noMultiLvlLbl val="0"/>
      </c:catAx>
      <c:valAx>
        <c:axId val="783743048"/>
        <c:scaling>
          <c:orientation val="minMax"/>
          <c:max val="60"/>
          <c:min val="0"/>
        </c:scaling>
        <c:delete val="0"/>
        <c:axPos val="l"/>
        <c:majorGridlines>
          <c:spPr>
            <a:ln w="9525" cap="flat" cmpd="sng" algn="ctr">
              <a:solidFill>
                <a:schemeClr val="tx1">
                  <a:lumMod val="15000"/>
                  <a:lumOff val="85000"/>
                </a:schemeClr>
              </a:solidFill>
              <a:round/>
            </a:ln>
            <a:effectLst/>
          </c:spPr>
        </c:majorGridlines>
        <c:title>
          <c:tx>
            <c:strRef>
              <c:f>'[Wskazniki dla powiatów_PO_v21(1).xlsx]w24'!$B$4</c:f>
              <c:strCache>
                <c:ptCount val="1"/>
                <c:pt idx="0">
                  <c:v>Ekologiczne gospodarstwa rolne, tys. ha</c:v>
                </c:pt>
              </c:strCache>
            </c:strRef>
          </c:tx>
          <c:layout>
            <c:manualLayout>
              <c:xMode val="edge"/>
              <c:yMode val="edge"/>
              <c:x val="1.2736543476322451E-2"/>
              <c:y val="5.092591829162716E-2"/>
            </c:manualLayout>
          </c:layout>
          <c:overlay val="0"/>
          <c:spPr>
            <a:noFill/>
            <a:ln>
              <a:noFill/>
            </a:ln>
            <a:effectLst/>
          </c:spPr>
          <c:txPr>
            <a:bodyPr rot="-54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title>
        <c:numFmt formatCode="#,##0" sourceLinked="0"/>
        <c:majorTickMark val="none"/>
        <c:minorTickMark val="none"/>
        <c:tickLblPos val="nextTo"/>
        <c:spPr>
          <a:noFill/>
          <a:ln w="12700">
            <a:solidFill>
              <a:schemeClr val="tx1"/>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crossAx val="78374534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sz="900">
          <a:solidFill>
            <a:sysClr val="windowText" lastClr="000000"/>
          </a:solidFill>
          <a:latin typeface="Arial" panose="020B0604020202020204" pitchFamily="34" charset="0"/>
          <a:cs typeface="Arial" panose="020B0604020202020204" pitchFamily="34" charset="0"/>
        </a:defRPr>
      </a:pPr>
      <a:endParaRPr lang="pl-PL"/>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solidFill>
              <a:srgbClr val="173457"/>
            </a:solidFill>
            <a:ln>
              <a:solidFill>
                <a:srgbClr val="51BBB6"/>
              </a:solid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'B4'!$B$5:$B$10</c:f>
              <c:strCache>
                <c:ptCount val="5"/>
                <c:pt idx="0">
                  <c:v>Know-how</c:v>
                </c:pt>
                <c:pt idx="1">
                  <c:v>Nowoczesna infrastruktura</c:v>
                </c:pt>
                <c:pt idx="2">
                  <c:v>Działalność badawczo-rozwojowa
i/lub o charakterze innowacyjnym</c:v>
                </c:pt>
                <c:pt idx="3">
                  <c:v>Park maszynowy</c:v>
                </c:pt>
                <c:pt idx="4">
                  <c:v>Infrastruktura technologii produkcji</c:v>
                </c:pt>
              </c:strCache>
            </c:strRef>
          </c:cat>
          <c:val>
            <c:numRef>
              <c:f>'B4'!$D$5:$D$9</c:f>
              <c:numCache>
                <c:formatCode>0.0%</c:formatCode>
                <c:ptCount val="5"/>
                <c:pt idx="0">
                  <c:v>9.0909090909090912E-2</c:v>
                </c:pt>
                <c:pt idx="1">
                  <c:v>0.18181818181818182</c:v>
                </c:pt>
                <c:pt idx="2">
                  <c:v>0.2121212121212121</c:v>
                </c:pt>
                <c:pt idx="3">
                  <c:v>0.2121212121212121</c:v>
                </c:pt>
                <c:pt idx="4">
                  <c:v>0.27272727272727271</c:v>
                </c:pt>
              </c:numCache>
            </c:numRef>
          </c:val>
          <c:extLst>
            <c:ext xmlns:c16="http://schemas.microsoft.com/office/drawing/2014/chart" uri="{C3380CC4-5D6E-409C-BE32-E72D297353CC}">
              <c16:uniqueId val="{00000000-8C41-4328-A55F-AA2B21FE9029}"/>
            </c:ext>
          </c:extLst>
        </c:ser>
        <c:dLbls>
          <c:dLblPos val="outEnd"/>
          <c:showLegendKey val="0"/>
          <c:showVal val="1"/>
          <c:showCatName val="0"/>
          <c:showSerName val="0"/>
          <c:showPercent val="0"/>
          <c:showBubbleSize val="0"/>
        </c:dLbls>
        <c:gapWidth val="182"/>
        <c:axId val="-1001884080"/>
        <c:axId val="-1001891152"/>
      </c:barChart>
      <c:catAx>
        <c:axId val="-100188408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crossAx val="-1001891152"/>
        <c:crosses val="autoZero"/>
        <c:auto val="1"/>
        <c:lblAlgn val="ctr"/>
        <c:lblOffset val="100"/>
        <c:noMultiLvlLbl val="0"/>
      </c:catAx>
      <c:valAx>
        <c:axId val="-1001891152"/>
        <c:scaling>
          <c:orientation val="minMax"/>
        </c:scaling>
        <c:delete val="1"/>
        <c:axPos val="b"/>
        <c:majorGridlines>
          <c:spPr>
            <a:ln w="9525" cap="flat" cmpd="sng" algn="ctr">
              <a:noFill/>
              <a:round/>
            </a:ln>
            <a:effectLst/>
          </c:spPr>
        </c:majorGridlines>
        <c:numFmt formatCode="0%" sourceLinked="0"/>
        <c:majorTickMark val="none"/>
        <c:minorTickMark val="none"/>
        <c:tickLblPos val="nextTo"/>
        <c:crossAx val="-1001884080"/>
        <c:crosses val="autoZero"/>
        <c:crossBetween val="between"/>
        <c:majorUnit val="0.1"/>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800">
          <a:solidFill>
            <a:sysClr val="windowText" lastClr="000000"/>
          </a:solidFill>
          <a:latin typeface="Arial" panose="020B0604020202020204" pitchFamily="34" charset="0"/>
          <a:cs typeface="Arial" panose="020B0604020202020204" pitchFamily="34" charset="0"/>
        </a:defRPr>
      </a:pPr>
      <a:endParaRPr lang="pl-PL"/>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solidFill>
              <a:srgbClr val="173457"/>
            </a:solidFill>
            <a:ln>
              <a:solidFill>
                <a:srgbClr val="51BBB6"/>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'B8 '!$B$5:$B$12</c:f>
              <c:strCache>
                <c:ptCount val="6"/>
                <c:pt idx="0">
                  <c:v>Magazynowanie</c:v>
                </c:pt>
                <c:pt idx="1">
                  <c:v>Reszta w własnym zakresie</c:v>
                </c:pt>
                <c:pt idx="2">
                  <c:v>B+R</c:v>
                </c:pt>
                <c:pt idx="3">
                  <c:v>Wspólne prace B+R</c:v>
                </c:pt>
                <c:pt idx="4">
                  <c:v>Logistyka</c:v>
                </c:pt>
                <c:pt idx="5">
                  <c:v>Wspólne działania promocyjne</c:v>
                </c:pt>
              </c:strCache>
            </c:strRef>
          </c:cat>
          <c:val>
            <c:numRef>
              <c:f>'B8 '!$D$5:$D$10</c:f>
              <c:numCache>
                <c:formatCode>0.0%</c:formatCode>
                <c:ptCount val="6"/>
                <c:pt idx="0">
                  <c:v>8.6956521739130432E-2</c:v>
                </c:pt>
                <c:pt idx="1">
                  <c:v>8.6956521739130432E-2</c:v>
                </c:pt>
                <c:pt idx="2">
                  <c:v>0.13043478260869565</c:v>
                </c:pt>
                <c:pt idx="3">
                  <c:v>0.17391304347826086</c:v>
                </c:pt>
                <c:pt idx="4">
                  <c:v>0.2608695652173913</c:v>
                </c:pt>
                <c:pt idx="5">
                  <c:v>0.2608695652173913</c:v>
                </c:pt>
              </c:numCache>
            </c:numRef>
          </c:val>
          <c:extLst>
            <c:ext xmlns:c16="http://schemas.microsoft.com/office/drawing/2014/chart" uri="{C3380CC4-5D6E-409C-BE32-E72D297353CC}">
              <c16:uniqueId val="{00000000-CB6F-4B49-A38C-D591DC58D94F}"/>
            </c:ext>
          </c:extLst>
        </c:ser>
        <c:dLbls>
          <c:dLblPos val="outEnd"/>
          <c:showLegendKey val="0"/>
          <c:showVal val="1"/>
          <c:showCatName val="0"/>
          <c:showSerName val="0"/>
          <c:showPercent val="0"/>
          <c:showBubbleSize val="0"/>
        </c:dLbls>
        <c:gapWidth val="182"/>
        <c:axId val="-1001890608"/>
        <c:axId val="-460582048"/>
      </c:barChart>
      <c:catAx>
        <c:axId val="-1001890608"/>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crossAx val="-460582048"/>
        <c:crosses val="autoZero"/>
        <c:auto val="1"/>
        <c:lblAlgn val="ctr"/>
        <c:lblOffset val="100"/>
        <c:noMultiLvlLbl val="0"/>
      </c:catAx>
      <c:valAx>
        <c:axId val="-460582048"/>
        <c:scaling>
          <c:orientation val="minMax"/>
        </c:scaling>
        <c:delete val="1"/>
        <c:axPos val="b"/>
        <c:majorGridlines>
          <c:spPr>
            <a:ln w="9525" cap="flat" cmpd="sng" algn="ctr">
              <a:noFill/>
              <a:round/>
            </a:ln>
            <a:effectLst/>
          </c:spPr>
        </c:majorGridlines>
        <c:numFmt formatCode="0%" sourceLinked="0"/>
        <c:majorTickMark val="none"/>
        <c:minorTickMark val="none"/>
        <c:tickLblPos val="nextTo"/>
        <c:crossAx val="-1001890608"/>
        <c:crosses val="autoZero"/>
        <c:crossBetween val="between"/>
        <c:majorUnit val="0.1"/>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solidFill>
              <a:srgbClr val="173457"/>
            </a:solidFill>
            <a:ln>
              <a:solidFill>
                <a:srgbClr val="51BBB6"/>
              </a:solid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'B6'!$C$5:$C$12</c:f>
              <c:strCache>
                <c:ptCount val="7"/>
                <c:pt idx="0">
                  <c:v>Firmy wystawiennicze, klienci indywidualni</c:v>
                </c:pt>
                <c:pt idx="1">
                  <c:v>Instytucje otoczenia biznasu</c:v>
                </c:pt>
                <c:pt idx="2">
                  <c:v>Podmioty publiczne </c:v>
                </c:pt>
                <c:pt idx="3">
                  <c:v>Firmy międzynarodowe</c:v>
                </c:pt>
                <c:pt idx="4">
                  <c:v>Jednostki naukowe</c:v>
                </c:pt>
                <c:pt idx="5">
                  <c:v>Firmy krajowe</c:v>
                </c:pt>
                <c:pt idx="6">
                  <c:v>Firmy lokalne</c:v>
                </c:pt>
              </c:strCache>
            </c:strRef>
          </c:cat>
          <c:val>
            <c:numRef>
              <c:f>'B6'!$E$5:$E$11</c:f>
              <c:numCache>
                <c:formatCode>0.0%</c:formatCode>
                <c:ptCount val="7"/>
                <c:pt idx="0">
                  <c:v>3.125E-2</c:v>
                </c:pt>
                <c:pt idx="1">
                  <c:v>6.25E-2</c:v>
                </c:pt>
                <c:pt idx="2">
                  <c:v>9.375E-2</c:v>
                </c:pt>
                <c:pt idx="3">
                  <c:v>0.15625</c:v>
                </c:pt>
                <c:pt idx="4">
                  <c:v>0.15625</c:v>
                </c:pt>
                <c:pt idx="5">
                  <c:v>0.21875</c:v>
                </c:pt>
                <c:pt idx="6">
                  <c:v>0.25</c:v>
                </c:pt>
              </c:numCache>
            </c:numRef>
          </c:val>
          <c:extLst>
            <c:ext xmlns:c16="http://schemas.microsoft.com/office/drawing/2014/chart" uri="{C3380CC4-5D6E-409C-BE32-E72D297353CC}">
              <c16:uniqueId val="{00000000-FBC3-43A3-ABB8-A3193D9482AB}"/>
            </c:ext>
          </c:extLst>
        </c:ser>
        <c:dLbls>
          <c:dLblPos val="outEnd"/>
          <c:showLegendKey val="0"/>
          <c:showVal val="1"/>
          <c:showCatName val="0"/>
          <c:showSerName val="0"/>
          <c:showPercent val="0"/>
          <c:showBubbleSize val="0"/>
        </c:dLbls>
        <c:gapWidth val="219"/>
        <c:axId val="-460579872"/>
        <c:axId val="-460580960"/>
      </c:barChart>
      <c:catAx>
        <c:axId val="-460579872"/>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crossAx val="-460580960"/>
        <c:crosses val="autoZero"/>
        <c:auto val="1"/>
        <c:lblAlgn val="ctr"/>
        <c:lblOffset val="100"/>
        <c:noMultiLvlLbl val="0"/>
      </c:catAx>
      <c:valAx>
        <c:axId val="-460580960"/>
        <c:scaling>
          <c:orientation val="minMax"/>
        </c:scaling>
        <c:delete val="1"/>
        <c:axPos val="b"/>
        <c:majorGridlines>
          <c:spPr>
            <a:ln w="9525" cap="flat" cmpd="sng" algn="ctr">
              <a:noFill/>
              <a:round/>
            </a:ln>
            <a:effectLst/>
          </c:spPr>
        </c:majorGridlines>
        <c:numFmt formatCode="0%" sourceLinked="0"/>
        <c:majorTickMark val="none"/>
        <c:minorTickMark val="none"/>
        <c:tickLblPos val="nextTo"/>
        <c:crossAx val="-460579872"/>
        <c:crosses val="autoZero"/>
        <c:crossBetween val="between"/>
        <c:majorUnit val="0.1"/>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800">
          <a:solidFill>
            <a:sysClr val="windowText" lastClr="000000"/>
          </a:solidFill>
          <a:latin typeface="Arial" panose="020B0604020202020204" pitchFamily="34" charset="0"/>
          <a:cs typeface="Arial" panose="020B0604020202020204" pitchFamily="34" charset="0"/>
        </a:defRPr>
      </a:pPr>
      <a:endParaRPr lang="pl-PL"/>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solidFill>
              <a:srgbClr val="173457"/>
            </a:solidFill>
            <a:ln>
              <a:solidFill>
                <a:srgbClr val="51BBB6"/>
              </a:solid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'B7'!$B$9:$B$14</c:f>
              <c:strCache>
                <c:ptCount val="5"/>
                <c:pt idx="0">
                  <c:v>Produkcja, przetwórstwo tworzyw</c:v>
                </c:pt>
                <c:pt idx="1">
                  <c:v>Marketing</c:v>
                </c:pt>
                <c:pt idx="2">
                  <c:v>B + R</c:v>
                </c:pt>
                <c:pt idx="3">
                  <c:v>Produkcja</c:v>
                </c:pt>
                <c:pt idx="4">
                  <c:v>Dystrybucja</c:v>
                </c:pt>
              </c:strCache>
            </c:strRef>
          </c:cat>
          <c:val>
            <c:numRef>
              <c:f>'B7'!$D$9:$D$13</c:f>
              <c:numCache>
                <c:formatCode>0.0%</c:formatCode>
                <c:ptCount val="5"/>
                <c:pt idx="0">
                  <c:v>5.2631578947368425E-2</c:v>
                </c:pt>
                <c:pt idx="1">
                  <c:v>5.2631578947368425E-2</c:v>
                </c:pt>
                <c:pt idx="2">
                  <c:v>0.10526315789473685</c:v>
                </c:pt>
                <c:pt idx="3">
                  <c:v>0.36842105263157898</c:v>
                </c:pt>
                <c:pt idx="4">
                  <c:v>0.36842105263157898</c:v>
                </c:pt>
              </c:numCache>
            </c:numRef>
          </c:val>
          <c:extLst>
            <c:ext xmlns:c16="http://schemas.microsoft.com/office/drawing/2014/chart" uri="{C3380CC4-5D6E-409C-BE32-E72D297353CC}">
              <c16:uniqueId val="{00000000-EF75-4E05-BBEE-60494CB58B83}"/>
            </c:ext>
          </c:extLst>
        </c:ser>
        <c:dLbls>
          <c:dLblPos val="outEnd"/>
          <c:showLegendKey val="0"/>
          <c:showVal val="1"/>
          <c:showCatName val="0"/>
          <c:showSerName val="0"/>
          <c:showPercent val="0"/>
          <c:showBubbleSize val="0"/>
        </c:dLbls>
        <c:gapWidth val="182"/>
        <c:axId val="-460580416"/>
        <c:axId val="-460579328"/>
      </c:barChart>
      <c:catAx>
        <c:axId val="-460580416"/>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crossAx val="-460579328"/>
        <c:crosses val="autoZero"/>
        <c:auto val="1"/>
        <c:lblAlgn val="ctr"/>
        <c:lblOffset val="100"/>
        <c:noMultiLvlLbl val="0"/>
      </c:catAx>
      <c:valAx>
        <c:axId val="-460579328"/>
        <c:scaling>
          <c:orientation val="minMax"/>
        </c:scaling>
        <c:delete val="1"/>
        <c:axPos val="b"/>
        <c:majorGridlines>
          <c:spPr>
            <a:ln w="9525" cap="flat" cmpd="sng" algn="ctr">
              <a:noFill/>
              <a:round/>
            </a:ln>
            <a:effectLst/>
          </c:spPr>
        </c:majorGridlines>
        <c:numFmt formatCode="0%" sourceLinked="0"/>
        <c:majorTickMark val="none"/>
        <c:minorTickMark val="none"/>
        <c:tickLblPos val="nextTo"/>
        <c:crossAx val="-460580416"/>
        <c:crosses val="autoZero"/>
        <c:crossBetween val="between"/>
        <c:majorUnit val="0.1"/>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800">
          <a:solidFill>
            <a:sysClr val="windowText" lastClr="000000"/>
          </a:solidFill>
          <a:latin typeface="Arial" panose="020B0604020202020204" pitchFamily="34" charset="0"/>
          <a:cs typeface="Arial" panose="020B0604020202020204" pitchFamily="34" charset="0"/>
        </a:defRPr>
      </a:pPr>
      <a:endParaRPr lang="pl-PL"/>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solidFill>
              <a:srgbClr val="173457"/>
            </a:solidFill>
            <a:ln>
              <a:solidFill>
                <a:srgbClr val="51BBB6"/>
              </a:solid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'B10'!$B$6:$B$15</c:f>
              <c:strCache>
                <c:ptCount val="10"/>
                <c:pt idx="0">
                  <c:v>Pełne dane dotyczące zużycia wody będą dostępne pod koniec roku</c:v>
                </c:pt>
                <c:pt idx="1">
                  <c:v>Utworzenie nowych miejsc pracy</c:v>
                </c:pt>
                <c:pt idx="2">
                  <c:v>Zwiększenie nakładów inwestycyjnych, w tym na B+R</c:v>
                </c:pt>
                <c:pt idx="3">
                  <c:v>Redukcja wygenerowanych ścieków</c:v>
                </c:pt>
                <c:pt idx="4">
                  <c:v>Redukcja zużywanej wody</c:v>
                </c:pt>
                <c:pt idx="5">
                  <c:v>Obniżenie kosztów działalności</c:v>
                </c:pt>
                <c:pt idx="6">
                  <c:v>Zwiększenie wielkości produkcji</c:v>
                </c:pt>
                <c:pt idx="7">
                  <c:v>Redukcja zużywanej energii</c:v>
                </c:pt>
                <c:pt idx="8">
                  <c:v>Wzrost dochodów z działalności</c:v>
                </c:pt>
                <c:pt idx="9">
                  <c:v>Redukcja wygenerowanych odpadów</c:v>
                </c:pt>
              </c:strCache>
            </c:strRef>
          </c:cat>
          <c:val>
            <c:numRef>
              <c:f>'B10'!$D$6:$D$15</c:f>
              <c:numCache>
                <c:formatCode>0%</c:formatCode>
                <c:ptCount val="10"/>
                <c:pt idx="0" formatCode="0.0%">
                  <c:v>1.5151515151515152E-2</c:v>
                </c:pt>
                <c:pt idx="1">
                  <c:v>3.0303030303030304E-2</c:v>
                </c:pt>
                <c:pt idx="2" formatCode="0.0%">
                  <c:v>7.575757575757576E-2</c:v>
                </c:pt>
                <c:pt idx="3" formatCode="0.0%">
                  <c:v>7.575757575757576E-2</c:v>
                </c:pt>
                <c:pt idx="4" formatCode="0.0%">
                  <c:v>9.0909090909090912E-2</c:v>
                </c:pt>
                <c:pt idx="5" formatCode="0.0%">
                  <c:v>0.12121212121212122</c:v>
                </c:pt>
                <c:pt idx="6" formatCode="0.0%">
                  <c:v>0.12121212121212122</c:v>
                </c:pt>
                <c:pt idx="7" formatCode="0.0%">
                  <c:v>0.13636363636363635</c:v>
                </c:pt>
                <c:pt idx="8" formatCode="0.0%">
                  <c:v>0.16666666666666669</c:v>
                </c:pt>
                <c:pt idx="9" formatCode="0.0%">
                  <c:v>0.16666666666666669</c:v>
                </c:pt>
              </c:numCache>
            </c:numRef>
          </c:val>
          <c:extLst>
            <c:ext xmlns:c16="http://schemas.microsoft.com/office/drawing/2014/chart" uri="{C3380CC4-5D6E-409C-BE32-E72D297353CC}">
              <c16:uniqueId val="{00000000-4712-4399-AF8D-671878EAE875}"/>
            </c:ext>
          </c:extLst>
        </c:ser>
        <c:dLbls>
          <c:dLblPos val="outEnd"/>
          <c:showLegendKey val="0"/>
          <c:showVal val="1"/>
          <c:showCatName val="0"/>
          <c:showSerName val="0"/>
          <c:showPercent val="0"/>
          <c:showBubbleSize val="0"/>
        </c:dLbls>
        <c:gapWidth val="182"/>
        <c:axId val="-460578784"/>
        <c:axId val="-460577696"/>
      </c:barChart>
      <c:catAx>
        <c:axId val="-460578784"/>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crossAx val="-460577696"/>
        <c:crosses val="autoZero"/>
        <c:auto val="1"/>
        <c:lblAlgn val="ctr"/>
        <c:lblOffset val="100"/>
        <c:noMultiLvlLbl val="0"/>
      </c:catAx>
      <c:valAx>
        <c:axId val="-460577696"/>
        <c:scaling>
          <c:orientation val="minMax"/>
        </c:scaling>
        <c:delete val="1"/>
        <c:axPos val="b"/>
        <c:majorGridlines>
          <c:spPr>
            <a:ln w="9525" cap="flat" cmpd="sng" algn="ctr">
              <a:noFill/>
              <a:round/>
            </a:ln>
            <a:effectLst/>
          </c:spPr>
        </c:majorGridlines>
        <c:numFmt formatCode="0%" sourceLinked="0"/>
        <c:majorTickMark val="none"/>
        <c:minorTickMark val="none"/>
        <c:tickLblPos val="nextTo"/>
        <c:crossAx val="-460578784"/>
        <c:crosses val="autoZero"/>
        <c:crossBetween val="between"/>
        <c:majorUnit val="0.1"/>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800">
          <a:solidFill>
            <a:sysClr val="windowText" lastClr="000000"/>
          </a:solidFill>
          <a:latin typeface="Arial" panose="020B0604020202020204" pitchFamily="34" charset="0"/>
          <a:cs typeface="Arial" panose="020B0604020202020204" pitchFamily="34" charset="0"/>
        </a:defRPr>
      </a:pPr>
      <a:endParaRPr lang="pl-PL"/>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2.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3.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4.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5.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6.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7.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8.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9.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0.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1.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2.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3.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4.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5.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6.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7.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8.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9.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0.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1.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2.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3.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4.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5.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6.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iagrams/_rels/data2.xml.rels><?xml version="1.0" encoding="UTF-8" standalone="yes"?>
<Relationships xmlns="http://schemas.openxmlformats.org/package/2006/relationships"><Relationship Id="rId1" Type="http://schemas.openxmlformats.org/officeDocument/2006/relationships/image" Target="../media/image16.png"/></Relationships>
</file>

<file path=word/diagrams/_rels/drawing2.xml.rels><?xml version="1.0" encoding="UTF-8" standalone="yes"?>
<Relationships xmlns="http://schemas.openxmlformats.org/package/2006/relationships"><Relationship Id="rId1" Type="http://schemas.openxmlformats.org/officeDocument/2006/relationships/image" Target="../media/image16.png"/></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4.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96CEB6E9-0923-424F-AA61-67643DB5D513}" type="doc">
      <dgm:prSet loTypeId="urn:microsoft.com/office/officeart/2005/8/layout/hierarchy3" loCatId="hierarchy" qsTypeId="urn:microsoft.com/office/officeart/2005/8/quickstyle/simple1" qsCatId="simple" csTypeId="urn:microsoft.com/office/officeart/2005/8/colors/accent1_2" csCatId="accent1" phldr="1"/>
      <dgm:spPr/>
      <dgm:t>
        <a:bodyPr/>
        <a:lstStyle/>
        <a:p>
          <a:endParaRPr lang="pl-PL"/>
        </a:p>
      </dgm:t>
    </dgm:pt>
    <dgm:pt modelId="{1B4B88E4-B300-4B36-8184-8D5994387B65}">
      <dgm:prSet phldrT="[Tekst]" custT="1"/>
      <dgm:spPr>
        <a:solidFill>
          <a:srgbClr val="173457"/>
        </a:solidFill>
      </dgm:spPr>
      <dgm:t>
        <a:bodyPr/>
        <a:lstStyle/>
        <a:p>
          <a:pPr algn="ctr"/>
          <a:r>
            <a:rPr lang="pl-PL" sz="800">
              <a:latin typeface="Arial" panose="020B0604020202020204" pitchFamily="34" charset="0"/>
              <a:cs typeface="Arial" panose="020B0604020202020204" pitchFamily="34" charset="0"/>
            </a:rPr>
            <a:t>Zrównoważona produkcja przemysłowa</a:t>
          </a:r>
        </a:p>
      </dgm:t>
    </dgm:pt>
    <dgm:pt modelId="{072D1774-C9D9-42F7-AD24-04E494839573}" type="parTrans" cxnId="{8AB26858-EF23-44AC-B676-6D838BC45A0D}">
      <dgm:prSet/>
      <dgm:spPr/>
      <dgm:t>
        <a:bodyPr/>
        <a:lstStyle/>
        <a:p>
          <a:pPr algn="just"/>
          <a:endParaRPr lang="pl-PL" sz="900">
            <a:latin typeface="Arial" panose="020B0604020202020204" pitchFamily="34" charset="0"/>
            <a:cs typeface="Arial" panose="020B0604020202020204" pitchFamily="34" charset="0"/>
          </a:endParaRPr>
        </a:p>
      </dgm:t>
    </dgm:pt>
    <dgm:pt modelId="{FCB5D27E-B6B0-444E-AA1D-77A596B1A7BB}" type="sibTrans" cxnId="{8AB26858-EF23-44AC-B676-6D838BC45A0D}">
      <dgm:prSet/>
      <dgm:spPr/>
      <dgm:t>
        <a:bodyPr/>
        <a:lstStyle/>
        <a:p>
          <a:pPr algn="just"/>
          <a:endParaRPr lang="pl-PL" sz="900">
            <a:latin typeface="Arial" panose="020B0604020202020204" pitchFamily="34" charset="0"/>
            <a:cs typeface="Arial" panose="020B0604020202020204" pitchFamily="34" charset="0"/>
          </a:endParaRPr>
        </a:p>
      </dgm:t>
    </dgm:pt>
    <dgm:pt modelId="{293F738A-9E6F-41E9-BA2C-774DDC7BBD2C}">
      <dgm:prSet phldrT="[Tekst]" custT="1"/>
      <dgm:spPr>
        <a:solidFill>
          <a:srgbClr val="51BBB6">
            <a:alpha val="90000"/>
          </a:srgbClr>
        </a:solidFill>
      </dgm:spPr>
      <dgm:t>
        <a:bodyPr/>
        <a:lstStyle/>
        <a:p>
          <a:pPr algn="l"/>
          <a:r>
            <a:rPr lang="pl-PL" sz="700">
              <a:latin typeface="Arial" panose="020B0604020202020204" pitchFamily="34" charset="0"/>
              <a:cs typeface="Arial" panose="020B0604020202020204" pitchFamily="34" charset="0"/>
            </a:rPr>
            <a:t>Odpady </a:t>
          </a:r>
          <a:br>
            <a:rPr lang="pl-PL" sz="700">
              <a:latin typeface="Arial" panose="020B0604020202020204" pitchFamily="34" charset="0"/>
              <a:cs typeface="Arial" panose="020B0604020202020204" pitchFamily="34" charset="0"/>
            </a:rPr>
          </a:br>
          <a:r>
            <a:rPr lang="pl-PL" sz="700">
              <a:latin typeface="Arial" panose="020B0604020202020204" pitchFamily="34" charset="0"/>
              <a:cs typeface="Arial" panose="020B0604020202020204" pitchFamily="34" charset="0"/>
            </a:rPr>
            <a:t>z górnictwa, przemysłu przetwórczego </a:t>
          </a:r>
          <a:br>
            <a:rPr lang="pl-PL" sz="700">
              <a:latin typeface="Arial" panose="020B0604020202020204" pitchFamily="34" charset="0"/>
              <a:cs typeface="Arial" panose="020B0604020202020204" pitchFamily="34" charset="0"/>
            </a:rPr>
          </a:br>
          <a:r>
            <a:rPr lang="pl-PL" sz="700">
              <a:latin typeface="Arial" panose="020B0604020202020204" pitchFamily="34" charset="0"/>
              <a:cs typeface="Arial" panose="020B0604020202020204" pitchFamily="34" charset="0"/>
            </a:rPr>
            <a:t>i energetyki</a:t>
          </a:r>
        </a:p>
      </dgm:t>
    </dgm:pt>
    <dgm:pt modelId="{A10473C3-78D7-4119-9251-BBA2FC0001E8}" type="parTrans" cxnId="{7354180B-EB92-416F-AE16-87A5B4BB8542}">
      <dgm:prSet/>
      <dgm:spPr/>
      <dgm:t>
        <a:bodyPr/>
        <a:lstStyle/>
        <a:p>
          <a:pPr algn="just"/>
          <a:endParaRPr lang="pl-PL" sz="900">
            <a:latin typeface="Arial" panose="020B0604020202020204" pitchFamily="34" charset="0"/>
            <a:cs typeface="Arial" panose="020B0604020202020204" pitchFamily="34" charset="0"/>
          </a:endParaRPr>
        </a:p>
      </dgm:t>
    </dgm:pt>
    <dgm:pt modelId="{85F8CEF9-6D20-424D-A42B-943CA5E45C83}" type="sibTrans" cxnId="{7354180B-EB92-416F-AE16-87A5B4BB8542}">
      <dgm:prSet/>
      <dgm:spPr/>
      <dgm:t>
        <a:bodyPr/>
        <a:lstStyle/>
        <a:p>
          <a:pPr algn="just"/>
          <a:endParaRPr lang="pl-PL" sz="900">
            <a:latin typeface="Arial" panose="020B0604020202020204" pitchFamily="34" charset="0"/>
            <a:cs typeface="Arial" panose="020B0604020202020204" pitchFamily="34" charset="0"/>
          </a:endParaRPr>
        </a:p>
      </dgm:t>
    </dgm:pt>
    <dgm:pt modelId="{D76DB866-2F2B-4566-B878-C7AC5BEDF409}">
      <dgm:prSet phldrT="[Tekst]" custT="1"/>
      <dgm:spPr>
        <a:solidFill>
          <a:srgbClr val="173457"/>
        </a:solidFill>
      </dgm:spPr>
      <dgm:t>
        <a:bodyPr/>
        <a:lstStyle/>
        <a:p>
          <a:pPr algn="ctr"/>
          <a:r>
            <a:rPr lang="pl-PL" sz="800">
              <a:latin typeface="Arial" panose="020B0604020202020204" pitchFamily="34" charset="0"/>
              <a:cs typeface="Arial" panose="020B0604020202020204" pitchFamily="34" charset="0"/>
            </a:rPr>
            <a:t>Zrównoważona konsumpcja</a:t>
          </a:r>
        </a:p>
      </dgm:t>
    </dgm:pt>
    <dgm:pt modelId="{C91CA75C-D684-48E9-A9D3-B2017DAE0CA8}" type="sibTrans" cxnId="{7B3662BE-CA4A-41EA-8AC4-7CEA7BCA1E14}">
      <dgm:prSet/>
      <dgm:spPr/>
      <dgm:t>
        <a:bodyPr/>
        <a:lstStyle/>
        <a:p>
          <a:pPr algn="just"/>
          <a:endParaRPr lang="pl-PL" sz="900">
            <a:latin typeface="Arial" panose="020B0604020202020204" pitchFamily="34" charset="0"/>
            <a:cs typeface="Arial" panose="020B0604020202020204" pitchFamily="34" charset="0"/>
          </a:endParaRPr>
        </a:p>
      </dgm:t>
    </dgm:pt>
    <dgm:pt modelId="{35EFB9E7-765D-4EC0-BB7E-F58DE72A0D7E}" type="parTrans" cxnId="{7B3662BE-CA4A-41EA-8AC4-7CEA7BCA1E14}">
      <dgm:prSet/>
      <dgm:spPr/>
      <dgm:t>
        <a:bodyPr/>
        <a:lstStyle/>
        <a:p>
          <a:pPr algn="just"/>
          <a:endParaRPr lang="pl-PL" sz="900">
            <a:latin typeface="Arial" panose="020B0604020202020204" pitchFamily="34" charset="0"/>
            <a:cs typeface="Arial" panose="020B0604020202020204" pitchFamily="34" charset="0"/>
          </a:endParaRPr>
        </a:p>
      </dgm:t>
    </dgm:pt>
    <dgm:pt modelId="{64188A00-FAD5-47E7-81F7-D59508CF0678}">
      <dgm:prSet phldrT="[Tekst]" custT="1"/>
      <dgm:spPr>
        <a:solidFill>
          <a:srgbClr val="173457"/>
        </a:solidFill>
      </dgm:spPr>
      <dgm:t>
        <a:bodyPr/>
        <a:lstStyle/>
        <a:p>
          <a:pPr algn="ctr"/>
          <a:r>
            <a:rPr lang="pl-PL" sz="800">
              <a:latin typeface="Arial" panose="020B0604020202020204" pitchFamily="34" charset="0"/>
              <a:cs typeface="Arial" panose="020B0604020202020204" pitchFamily="34" charset="0"/>
            </a:rPr>
            <a:t>Biogospodarka</a:t>
          </a:r>
        </a:p>
      </dgm:t>
    </dgm:pt>
    <dgm:pt modelId="{D4C3AB0F-887A-4575-8377-2AFC740B964D}" type="parTrans" cxnId="{64EF25D0-D398-4D28-840B-7D3FC9E23624}">
      <dgm:prSet/>
      <dgm:spPr/>
      <dgm:t>
        <a:bodyPr/>
        <a:lstStyle/>
        <a:p>
          <a:pPr algn="just"/>
          <a:endParaRPr lang="pl-PL" sz="900">
            <a:latin typeface="Arial" panose="020B0604020202020204" pitchFamily="34" charset="0"/>
            <a:cs typeface="Arial" panose="020B0604020202020204" pitchFamily="34" charset="0"/>
          </a:endParaRPr>
        </a:p>
      </dgm:t>
    </dgm:pt>
    <dgm:pt modelId="{F7B3B777-E43A-4ABC-AB8A-4869B9FA0390}" type="sibTrans" cxnId="{64EF25D0-D398-4D28-840B-7D3FC9E23624}">
      <dgm:prSet/>
      <dgm:spPr/>
      <dgm:t>
        <a:bodyPr/>
        <a:lstStyle/>
        <a:p>
          <a:pPr algn="just"/>
          <a:endParaRPr lang="pl-PL" sz="900">
            <a:latin typeface="Arial" panose="020B0604020202020204" pitchFamily="34" charset="0"/>
            <a:cs typeface="Arial" panose="020B0604020202020204" pitchFamily="34" charset="0"/>
          </a:endParaRPr>
        </a:p>
      </dgm:t>
    </dgm:pt>
    <dgm:pt modelId="{B59B2F1D-9500-426E-A3E6-FA6A120ED5AB}">
      <dgm:prSet phldrT="[Tekst]" custT="1"/>
      <dgm:spPr>
        <a:solidFill>
          <a:srgbClr val="173457"/>
        </a:solidFill>
      </dgm:spPr>
      <dgm:t>
        <a:bodyPr/>
        <a:lstStyle/>
        <a:p>
          <a:pPr algn="ctr"/>
          <a:r>
            <a:rPr lang="pl-PL" sz="800">
              <a:latin typeface="Arial" panose="020B0604020202020204" pitchFamily="34" charset="0"/>
              <a:cs typeface="Arial" panose="020B0604020202020204" pitchFamily="34" charset="0"/>
            </a:rPr>
            <a:t>Nowe modele biznesowe</a:t>
          </a:r>
        </a:p>
      </dgm:t>
    </dgm:pt>
    <dgm:pt modelId="{0290AD05-B126-4F22-82F2-3EDAE4D6524C}" type="parTrans" cxnId="{1D290C3E-FAF7-4C8A-883C-EDFF860C11B5}">
      <dgm:prSet/>
      <dgm:spPr/>
      <dgm:t>
        <a:bodyPr/>
        <a:lstStyle/>
        <a:p>
          <a:pPr algn="just"/>
          <a:endParaRPr lang="pl-PL" sz="900">
            <a:latin typeface="Arial" panose="020B0604020202020204" pitchFamily="34" charset="0"/>
            <a:cs typeface="Arial" panose="020B0604020202020204" pitchFamily="34" charset="0"/>
          </a:endParaRPr>
        </a:p>
      </dgm:t>
    </dgm:pt>
    <dgm:pt modelId="{4D40839E-EEF9-4A3B-9C23-6150ED445137}" type="sibTrans" cxnId="{1D290C3E-FAF7-4C8A-883C-EDFF860C11B5}">
      <dgm:prSet/>
      <dgm:spPr/>
      <dgm:t>
        <a:bodyPr/>
        <a:lstStyle/>
        <a:p>
          <a:pPr algn="just"/>
          <a:endParaRPr lang="pl-PL" sz="900">
            <a:latin typeface="Arial" panose="020B0604020202020204" pitchFamily="34" charset="0"/>
            <a:cs typeface="Arial" panose="020B0604020202020204" pitchFamily="34" charset="0"/>
          </a:endParaRPr>
        </a:p>
      </dgm:t>
    </dgm:pt>
    <dgm:pt modelId="{C4CDCB8B-7F46-42F4-A0D6-CC8C57D3E996}">
      <dgm:prSet phldrT="[Tekst]" custT="1"/>
      <dgm:spPr>
        <a:solidFill>
          <a:srgbClr val="173457"/>
        </a:solidFill>
      </dgm:spPr>
      <dgm:t>
        <a:bodyPr/>
        <a:lstStyle/>
        <a:p>
          <a:pPr algn="ctr"/>
          <a:r>
            <a:rPr lang="pl-PL" sz="800">
              <a:latin typeface="Arial" panose="020B0604020202020204" pitchFamily="34" charset="0"/>
              <a:cs typeface="Arial" panose="020B0604020202020204" pitchFamily="34" charset="0"/>
            </a:rPr>
            <a:t>Wdrażanie, monitorowanie </a:t>
          </a:r>
          <a:br>
            <a:rPr lang="pl-PL" sz="800">
              <a:latin typeface="Arial" panose="020B0604020202020204" pitchFamily="34" charset="0"/>
              <a:cs typeface="Arial" panose="020B0604020202020204" pitchFamily="34" charset="0"/>
            </a:rPr>
          </a:br>
          <a:r>
            <a:rPr lang="pl-PL" sz="800">
              <a:latin typeface="Arial" panose="020B0604020202020204" pitchFamily="34" charset="0"/>
              <a:cs typeface="Arial" panose="020B0604020202020204" pitchFamily="34" charset="0"/>
            </a:rPr>
            <a:t>i finansowanie GOZ</a:t>
          </a:r>
        </a:p>
      </dgm:t>
    </dgm:pt>
    <dgm:pt modelId="{5A7159BE-ADCD-43EB-9CD1-E53007E50D5C}" type="parTrans" cxnId="{2EB2ACE6-86D7-4E8B-B555-08AC451C49C8}">
      <dgm:prSet/>
      <dgm:spPr/>
      <dgm:t>
        <a:bodyPr/>
        <a:lstStyle/>
        <a:p>
          <a:pPr algn="just"/>
          <a:endParaRPr lang="pl-PL" sz="900">
            <a:latin typeface="Arial" panose="020B0604020202020204" pitchFamily="34" charset="0"/>
            <a:cs typeface="Arial" panose="020B0604020202020204" pitchFamily="34" charset="0"/>
          </a:endParaRPr>
        </a:p>
      </dgm:t>
    </dgm:pt>
    <dgm:pt modelId="{7D8307CA-EA24-4FED-BB3C-43F7FCE383BE}" type="sibTrans" cxnId="{2EB2ACE6-86D7-4E8B-B555-08AC451C49C8}">
      <dgm:prSet/>
      <dgm:spPr/>
      <dgm:t>
        <a:bodyPr/>
        <a:lstStyle/>
        <a:p>
          <a:pPr algn="just"/>
          <a:endParaRPr lang="pl-PL" sz="900">
            <a:latin typeface="Arial" panose="020B0604020202020204" pitchFamily="34" charset="0"/>
            <a:cs typeface="Arial" panose="020B0604020202020204" pitchFamily="34" charset="0"/>
          </a:endParaRPr>
        </a:p>
      </dgm:t>
    </dgm:pt>
    <dgm:pt modelId="{4F6B7B5A-20DA-4B5C-B685-BFC32F27BE7E}">
      <dgm:prSet phldrT="[Tekst]" custT="1"/>
      <dgm:spPr>
        <a:solidFill>
          <a:srgbClr val="51BBB6">
            <a:alpha val="90000"/>
          </a:srgbClr>
        </a:solidFill>
      </dgm:spPr>
      <dgm:t>
        <a:bodyPr/>
        <a:lstStyle/>
        <a:p>
          <a:pPr algn="just"/>
          <a:r>
            <a:rPr lang="pl-PL" sz="700">
              <a:latin typeface="Arial" panose="020B0604020202020204" pitchFamily="34" charset="0"/>
              <a:cs typeface="Arial" panose="020B0604020202020204" pitchFamily="34" charset="0"/>
            </a:rPr>
            <a:t>Rozszerzona odpowiedzialność producenta</a:t>
          </a:r>
        </a:p>
      </dgm:t>
    </dgm:pt>
    <dgm:pt modelId="{367C8054-1802-4B85-8235-1D493C06244A}" type="sibTrans" cxnId="{DFAF3A1F-6CD6-4D57-8D22-5B0B28083E7D}">
      <dgm:prSet/>
      <dgm:spPr/>
      <dgm:t>
        <a:bodyPr/>
        <a:lstStyle/>
        <a:p>
          <a:pPr algn="just"/>
          <a:endParaRPr lang="pl-PL"/>
        </a:p>
      </dgm:t>
    </dgm:pt>
    <dgm:pt modelId="{743ECBC4-F93D-4E9F-9003-DF9D33CD0E2B}" type="parTrans" cxnId="{DFAF3A1F-6CD6-4D57-8D22-5B0B28083E7D}">
      <dgm:prSet/>
      <dgm:spPr/>
      <dgm:t>
        <a:bodyPr/>
        <a:lstStyle/>
        <a:p>
          <a:pPr algn="just"/>
          <a:endParaRPr lang="pl-PL"/>
        </a:p>
      </dgm:t>
    </dgm:pt>
    <dgm:pt modelId="{DCA9FC50-F063-4491-841E-91B6440100EB}">
      <dgm:prSet phldrT="[Tekst]" custT="1"/>
      <dgm:spPr>
        <a:solidFill>
          <a:srgbClr val="51BBB6">
            <a:alpha val="90000"/>
          </a:srgbClr>
        </a:solidFill>
      </dgm:spPr>
      <dgm:t>
        <a:bodyPr/>
        <a:lstStyle/>
        <a:p>
          <a:pPr algn="just"/>
          <a:r>
            <a:rPr lang="pl-PL" sz="700">
              <a:latin typeface="Arial" panose="020B0604020202020204" pitchFamily="34" charset="0"/>
              <a:cs typeface="Arial" panose="020B0604020202020204" pitchFamily="34" charset="0"/>
            </a:rPr>
            <a:t>Odpady komunalne</a:t>
          </a:r>
        </a:p>
      </dgm:t>
    </dgm:pt>
    <dgm:pt modelId="{A35B1F8D-5D78-4DAE-B9FD-697F1FFB154C}" type="parTrans" cxnId="{C1049FF6-1A93-4866-A4D5-15BF9DDBC32F}">
      <dgm:prSet/>
      <dgm:spPr/>
      <dgm:t>
        <a:bodyPr/>
        <a:lstStyle/>
        <a:p>
          <a:pPr algn="just"/>
          <a:endParaRPr lang="pl-PL"/>
        </a:p>
      </dgm:t>
    </dgm:pt>
    <dgm:pt modelId="{DBF44C16-A882-45D3-A407-DFA2F224B6FD}" type="sibTrans" cxnId="{C1049FF6-1A93-4866-A4D5-15BF9DDBC32F}">
      <dgm:prSet/>
      <dgm:spPr/>
      <dgm:t>
        <a:bodyPr/>
        <a:lstStyle/>
        <a:p>
          <a:pPr algn="just"/>
          <a:endParaRPr lang="pl-PL"/>
        </a:p>
      </dgm:t>
    </dgm:pt>
    <dgm:pt modelId="{16D03421-8BE1-44F2-A910-C9CAF38A741F}">
      <dgm:prSet phldrT="[Tekst]" custT="1"/>
      <dgm:spPr>
        <a:solidFill>
          <a:srgbClr val="51BBB6">
            <a:alpha val="90000"/>
          </a:srgbClr>
        </a:solidFill>
      </dgm:spPr>
      <dgm:t>
        <a:bodyPr/>
        <a:lstStyle/>
        <a:p>
          <a:pPr algn="just"/>
          <a:r>
            <a:rPr lang="pl-PL" sz="700">
              <a:latin typeface="Arial" panose="020B0604020202020204" pitchFamily="34" charset="0"/>
              <a:cs typeface="Arial" panose="020B0604020202020204" pitchFamily="34" charset="0"/>
            </a:rPr>
            <a:t>Marnotrawstwo żywności</a:t>
          </a:r>
        </a:p>
      </dgm:t>
    </dgm:pt>
    <dgm:pt modelId="{3C181116-DB24-4985-A9DA-F0D801CE0D38}" type="parTrans" cxnId="{C5963531-2355-443E-9DF3-60E31A9A8F97}">
      <dgm:prSet/>
      <dgm:spPr/>
      <dgm:t>
        <a:bodyPr/>
        <a:lstStyle/>
        <a:p>
          <a:pPr algn="just"/>
          <a:endParaRPr lang="pl-PL"/>
        </a:p>
      </dgm:t>
    </dgm:pt>
    <dgm:pt modelId="{EA65AC6A-82E6-4B11-8E5A-9F967A26F0D3}" type="sibTrans" cxnId="{C5963531-2355-443E-9DF3-60E31A9A8F97}">
      <dgm:prSet/>
      <dgm:spPr/>
      <dgm:t>
        <a:bodyPr/>
        <a:lstStyle/>
        <a:p>
          <a:pPr algn="just"/>
          <a:endParaRPr lang="pl-PL"/>
        </a:p>
      </dgm:t>
    </dgm:pt>
    <dgm:pt modelId="{CBDB3917-7708-4E7A-A1FA-6747EDCA3ADF}">
      <dgm:prSet phldrT="[Tekst]" custT="1"/>
      <dgm:spPr>
        <a:solidFill>
          <a:srgbClr val="51BBB6">
            <a:alpha val="90000"/>
          </a:srgbClr>
        </a:solidFill>
      </dgm:spPr>
      <dgm:t>
        <a:bodyPr/>
        <a:lstStyle/>
        <a:p>
          <a:pPr algn="just"/>
          <a:r>
            <a:rPr lang="pl-PL" sz="700">
              <a:latin typeface="Arial" panose="020B0604020202020204" pitchFamily="34" charset="0"/>
              <a:cs typeface="Arial" panose="020B0604020202020204" pitchFamily="34" charset="0"/>
            </a:rPr>
            <a:t>Środowiskowa</a:t>
          </a:r>
          <a:r>
            <a:rPr lang="pl-PL" sz="600">
              <a:latin typeface="Arial" panose="020B0604020202020204" pitchFamily="34" charset="0"/>
              <a:cs typeface="Arial" panose="020B0604020202020204" pitchFamily="34" charset="0"/>
            </a:rPr>
            <a:t> </a:t>
          </a:r>
          <a:r>
            <a:rPr lang="pl-PL" sz="700">
              <a:latin typeface="Arial" panose="020B0604020202020204" pitchFamily="34" charset="0"/>
              <a:cs typeface="Arial" panose="020B0604020202020204" pitchFamily="34" charset="0"/>
            </a:rPr>
            <a:t>ocena</a:t>
          </a:r>
          <a:r>
            <a:rPr lang="pl-PL" sz="600">
              <a:latin typeface="Arial" panose="020B0604020202020204" pitchFamily="34" charset="0"/>
              <a:cs typeface="Arial" panose="020B0604020202020204" pitchFamily="34" charset="0"/>
            </a:rPr>
            <a:t> </a:t>
          </a:r>
          <a:r>
            <a:rPr lang="pl-PL" sz="700">
              <a:latin typeface="Arial" panose="020B0604020202020204" pitchFamily="34" charset="0"/>
              <a:cs typeface="Arial" panose="020B0604020202020204" pitchFamily="34" charset="0"/>
            </a:rPr>
            <a:t>cyklu</a:t>
          </a:r>
          <a:r>
            <a:rPr lang="pl-PL" sz="600">
              <a:latin typeface="Arial" panose="020B0604020202020204" pitchFamily="34" charset="0"/>
              <a:cs typeface="Arial" panose="020B0604020202020204" pitchFamily="34" charset="0"/>
            </a:rPr>
            <a:t> </a:t>
          </a:r>
          <a:r>
            <a:rPr lang="pl-PL" sz="700">
              <a:latin typeface="Arial" panose="020B0604020202020204" pitchFamily="34" charset="0"/>
              <a:cs typeface="Arial" panose="020B0604020202020204" pitchFamily="34" charset="0"/>
            </a:rPr>
            <a:t>życia</a:t>
          </a:r>
        </a:p>
      </dgm:t>
    </dgm:pt>
    <dgm:pt modelId="{597E13E6-823C-4413-8EA9-7B3E7BB61678}" type="parTrans" cxnId="{33E352B4-ACC3-4030-82D8-B0C67B1EBA8D}">
      <dgm:prSet/>
      <dgm:spPr/>
      <dgm:t>
        <a:bodyPr/>
        <a:lstStyle/>
        <a:p>
          <a:pPr algn="just"/>
          <a:endParaRPr lang="pl-PL"/>
        </a:p>
      </dgm:t>
    </dgm:pt>
    <dgm:pt modelId="{437F1C6F-C959-4F29-9966-EB2B27C22741}" type="sibTrans" cxnId="{33E352B4-ACC3-4030-82D8-B0C67B1EBA8D}">
      <dgm:prSet/>
      <dgm:spPr/>
      <dgm:t>
        <a:bodyPr/>
        <a:lstStyle/>
        <a:p>
          <a:pPr algn="just"/>
          <a:endParaRPr lang="pl-PL"/>
        </a:p>
      </dgm:t>
    </dgm:pt>
    <dgm:pt modelId="{77641947-4F4B-48C7-956F-0D4FDAFED22B}">
      <dgm:prSet phldrT="[Tekst]" custT="1"/>
      <dgm:spPr>
        <a:solidFill>
          <a:srgbClr val="51BBB6">
            <a:alpha val="90000"/>
          </a:srgbClr>
        </a:solidFill>
      </dgm:spPr>
      <dgm:t>
        <a:bodyPr/>
        <a:lstStyle/>
        <a:p>
          <a:pPr algn="just"/>
          <a:r>
            <a:rPr lang="pl-PL" sz="700">
              <a:latin typeface="Arial" panose="020B0604020202020204" pitchFamily="34" charset="0"/>
              <a:cs typeface="Arial" panose="020B0604020202020204" pitchFamily="34" charset="0"/>
            </a:rPr>
            <a:t>Edukacja</a:t>
          </a:r>
        </a:p>
      </dgm:t>
    </dgm:pt>
    <dgm:pt modelId="{E4D6D7E8-FC3F-44CD-8A17-221CDABA162B}" type="parTrans" cxnId="{AA73525F-7549-4AC5-BF0E-3B7A8B5DA376}">
      <dgm:prSet/>
      <dgm:spPr/>
      <dgm:t>
        <a:bodyPr/>
        <a:lstStyle/>
        <a:p>
          <a:pPr algn="just"/>
          <a:endParaRPr lang="pl-PL"/>
        </a:p>
      </dgm:t>
    </dgm:pt>
    <dgm:pt modelId="{8137E30C-1347-4DCA-8642-7137E790E05C}" type="sibTrans" cxnId="{AA73525F-7549-4AC5-BF0E-3B7A8B5DA376}">
      <dgm:prSet/>
      <dgm:spPr/>
      <dgm:t>
        <a:bodyPr/>
        <a:lstStyle/>
        <a:p>
          <a:pPr algn="just"/>
          <a:endParaRPr lang="pl-PL"/>
        </a:p>
      </dgm:t>
    </dgm:pt>
    <dgm:pt modelId="{30BB7B47-3A63-44EE-8F87-F2B7A9A805E6}">
      <dgm:prSet phldrT="[Tekst]" custT="1"/>
      <dgm:spPr>
        <a:solidFill>
          <a:srgbClr val="51BBB6">
            <a:alpha val="90000"/>
          </a:srgbClr>
        </a:solidFill>
      </dgm:spPr>
      <dgm:t>
        <a:bodyPr/>
        <a:lstStyle/>
        <a:p>
          <a:pPr algn="l"/>
          <a:r>
            <a:rPr lang="pl-PL" sz="700">
              <a:latin typeface="Arial" panose="020B0604020202020204" pitchFamily="34" charset="0"/>
              <a:cs typeface="Arial" panose="020B0604020202020204" pitchFamily="34" charset="0"/>
            </a:rPr>
            <a:t>Działania kluczowe </a:t>
          </a:r>
          <a:br>
            <a:rPr lang="pl-PL" sz="700">
              <a:latin typeface="Arial" panose="020B0604020202020204" pitchFamily="34" charset="0"/>
              <a:cs typeface="Arial" panose="020B0604020202020204" pitchFamily="34" charset="0"/>
            </a:rPr>
          </a:br>
          <a:r>
            <a:rPr lang="pl-PL" sz="700">
              <a:latin typeface="Arial" panose="020B0604020202020204" pitchFamily="34" charset="0"/>
              <a:cs typeface="Arial" panose="020B0604020202020204" pitchFamily="34" charset="0"/>
            </a:rPr>
            <a:t>w obszarze tworzenia warunków dla rozwoju biogospodarki</a:t>
          </a:r>
        </a:p>
      </dgm:t>
    </dgm:pt>
    <dgm:pt modelId="{8C2C72AA-306A-4AF8-8BDB-1478DDE3A706}" type="sibTrans" cxnId="{21C9C1A6-22B6-4477-919C-F9B1BB2DD42F}">
      <dgm:prSet/>
      <dgm:spPr/>
      <dgm:t>
        <a:bodyPr/>
        <a:lstStyle/>
        <a:p>
          <a:pPr algn="just"/>
          <a:endParaRPr lang="pl-PL"/>
        </a:p>
      </dgm:t>
    </dgm:pt>
    <dgm:pt modelId="{15285828-092A-4E1C-AB62-0564F218FC80}" type="parTrans" cxnId="{21C9C1A6-22B6-4477-919C-F9B1BB2DD42F}">
      <dgm:prSet/>
      <dgm:spPr/>
      <dgm:t>
        <a:bodyPr/>
        <a:lstStyle/>
        <a:p>
          <a:pPr algn="just"/>
          <a:endParaRPr lang="pl-PL"/>
        </a:p>
      </dgm:t>
    </dgm:pt>
    <dgm:pt modelId="{BBAC1309-2EDA-4EFC-B055-44B56CAB39A0}">
      <dgm:prSet phldrT="[Tekst]" custT="1"/>
      <dgm:spPr>
        <a:solidFill>
          <a:srgbClr val="51BBB6">
            <a:alpha val="90000"/>
          </a:srgbClr>
        </a:solidFill>
      </dgm:spPr>
      <dgm:t>
        <a:bodyPr/>
        <a:lstStyle/>
        <a:p>
          <a:pPr algn="l"/>
          <a:r>
            <a:rPr lang="pl-PL" sz="700">
              <a:latin typeface="Arial" panose="020B0604020202020204" pitchFamily="34" charset="0"/>
              <a:cs typeface="Arial" panose="020B0604020202020204" pitchFamily="34" charset="0"/>
            </a:rPr>
            <a:t>Działania </a:t>
          </a:r>
          <a:br>
            <a:rPr lang="pl-PL" sz="700">
              <a:latin typeface="Arial" panose="020B0604020202020204" pitchFamily="34" charset="0"/>
              <a:cs typeface="Arial" panose="020B0604020202020204" pitchFamily="34" charset="0"/>
            </a:rPr>
          </a:br>
          <a:r>
            <a:rPr lang="pl-PL" sz="700">
              <a:latin typeface="Arial" panose="020B0604020202020204" pitchFamily="34" charset="0"/>
              <a:cs typeface="Arial" panose="020B0604020202020204" pitchFamily="34" charset="0"/>
            </a:rPr>
            <a:t>w obszarze budowy lokalnych łańcuchów wartości i bazy surowcowej</a:t>
          </a:r>
        </a:p>
      </dgm:t>
    </dgm:pt>
    <dgm:pt modelId="{F3D5C180-4098-464A-9680-2CB33A466014}" type="parTrans" cxnId="{A58010FF-78DF-424E-A1F0-BA2AD6D90701}">
      <dgm:prSet/>
      <dgm:spPr/>
      <dgm:t>
        <a:bodyPr/>
        <a:lstStyle/>
        <a:p>
          <a:pPr algn="just"/>
          <a:endParaRPr lang="pl-PL"/>
        </a:p>
      </dgm:t>
    </dgm:pt>
    <dgm:pt modelId="{1E3F12DF-6A10-4F79-A3E2-13155720ED64}" type="sibTrans" cxnId="{A58010FF-78DF-424E-A1F0-BA2AD6D90701}">
      <dgm:prSet/>
      <dgm:spPr/>
      <dgm:t>
        <a:bodyPr/>
        <a:lstStyle/>
        <a:p>
          <a:pPr algn="just"/>
          <a:endParaRPr lang="pl-PL"/>
        </a:p>
      </dgm:t>
    </dgm:pt>
    <dgm:pt modelId="{039ADFBA-B049-4DF9-A9DB-EAE862391295}">
      <dgm:prSet phldrT="[Tekst]" custT="1"/>
      <dgm:spPr>
        <a:solidFill>
          <a:srgbClr val="51BBB6">
            <a:alpha val="90000"/>
          </a:srgbClr>
        </a:solidFill>
      </dgm:spPr>
      <dgm:t>
        <a:bodyPr/>
        <a:lstStyle/>
        <a:p>
          <a:pPr algn="l"/>
          <a:r>
            <a:rPr lang="pl-PL" sz="700">
              <a:latin typeface="Arial" panose="020B0604020202020204" pitchFamily="34" charset="0"/>
              <a:cs typeface="Arial" panose="020B0604020202020204" pitchFamily="34" charset="0"/>
            </a:rPr>
            <a:t>Działania </a:t>
          </a:r>
          <a:br>
            <a:rPr lang="pl-PL" sz="700">
              <a:latin typeface="Arial" panose="020B0604020202020204" pitchFamily="34" charset="0"/>
              <a:cs typeface="Arial" panose="020B0604020202020204" pitchFamily="34" charset="0"/>
            </a:rPr>
          </a:br>
          <a:r>
            <a:rPr lang="pl-PL" sz="700">
              <a:latin typeface="Arial" panose="020B0604020202020204" pitchFamily="34" charset="0"/>
              <a:cs typeface="Arial" panose="020B0604020202020204" pitchFamily="34" charset="0"/>
            </a:rPr>
            <a:t>w obszarze energetyki</a:t>
          </a:r>
        </a:p>
      </dgm:t>
    </dgm:pt>
    <dgm:pt modelId="{637DE7D7-7498-476C-8676-3BCADF8C56DC}" type="parTrans" cxnId="{7FDEA4CF-E60B-4FAB-A131-FB051668C812}">
      <dgm:prSet/>
      <dgm:spPr/>
      <dgm:t>
        <a:bodyPr/>
        <a:lstStyle/>
        <a:p>
          <a:pPr algn="just"/>
          <a:endParaRPr lang="pl-PL"/>
        </a:p>
      </dgm:t>
    </dgm:pt>
    <dgm:pt modelId="{B35F6211-4CCC-421B-BD27-2F151FB568FA}" type="sibTrans" cxnId="{7FDEA4CF-E60B-4FAB-A131-FB051668C812}">
      <dgm:prSet/>
      <dgm:spPr/>
      <dgm:t>
        <a:bodyPr/>
        <a:lstStyle/>
        <a:p>
          <a:pPr algn="just"/>
          <a:endParaRPr lang="pl-PL"/>
        </a:p>
      </dgm:t>
    </dgm:pt>
    <dgm:pt modelId="{9020CC2C-CBC7-4487-B78A-ABD0783906BF}">
      <dgm:prSet phldrT="[Tekst]" custT="1"/>
      <dgm:spPr>
        <a:solidFill>
          <a:srgbClr val="51BBB6">
            <a:alpha val="90000"/>
          </a:srgbClr>
        </a:solidFill>
      </dgm:spPr>
      <dgm:t>
        <a:bodyPr/>
        <a:lstStyle/>
        <a:p>
          <a:pPr algn="l"/>
          <a:r>
            <a:rPr lang="pl-PL" sz="700">
              <a:latin typeface="Arial" panose="020B0604020202020204" pitchFamily="34" charset="0"/>
              <a:cs typeface="Arial" panose="020B0604020202020204" pitchFamily="34" charset="0"/>
            </a:rPr>
            <a:t>Działania </a:t>
          </a:r>
          <a:br>
            <a:rPr lang="pl-PL" sz="700">
              <a:latin typeface="Arial" panose="020B0604020202020204" pitchFamily="34" charset="0"/>
              <a:cs typeface="Arial" panose="020B0604020202020204" pitchFamily="34" charset="0"/>
            </a:rPr>
          </a:br>
          <a:r>
            <a:rPr lang="pl-PL" sz="700">
              <a:latin typeface="Arial" panose="020B0604020202020204" pitchFamily="34" charset="0"/>
              <a:cs typeface="Arial" panose="020B0604020202020204" pitchFamily="34" charset="0"/>
            </a:rPr>
            <a:t>w obszarze przemysłu</a:t>
          </a:r>
        </a:p>
      </dgm:t>
    </dgm:pt>
    <dgm:pt modelId="{B4D3C423-F187-4E91-8014-1D74E072CB9F}" type="parTrans" cxnId="{C5047C22-51F0-4130-857B-F907F765890C}">
      <dgm:prSet/>
      <dgm:spPr/>
      <dgm:t>
        <a:bodyPr/>
        <a:lstStyle/>
        <a:p>
          <a:pPr algn="just"/>
          <a:endParaRPr lang="pl-PL"/>
        </a:p>
      </dgm:t>
    </dgm:pt>
    <dgm:pt modelId="{04B55C4B-03AE-44AE-A8E2-A5D42CE7E4D8}" type="sibTrans" cxnId="{C5047C22-51F0-4130-857B-F907F765890C}">
      <dgm:prSet/>
      <dgm:spPr/>
      <dgm:t>
        <a:bodyPr/>
        <a:lstStyle/>
        <a:p>
          <a:pPr algn="just"/>
          <a:endParaRPr lang="pl-PL"/>
        </a:p>
      </dgm:t>
    </dgm:pt>
    <dgm:pt modelId="{8D9D30BA-5FB8-4DF2-9765-74CB9BF7F420}">
      <dgm:prSet phldrT="[Tekst]" custT="1"/>
      <dgm:spPr>
        <a:solidFill>
          <a:srgbClr val="51BBB6">
            <a:alpha val="90000"/>
          </a:srgbClr>
        </a:solidFill>
      </dgm:spPr>
      <dgm:t>
        <a:bodyPr/>
        <a:lstStyle/>
        <a:p>
          <a:pPr algn="l"/>
          <a:r>
            <a:rPr lang="pl-PL" sz="700">
              <a:latin typeface="Arial" panose="020B0604020202020204" pitchFamily="34" charset="0"/>
              <a:cs typeface="Arial" panose="020B0604020202020204" pitchFamily="34" charset="0"/>
            </a:rPr>
            <a:t>Dostarczanie wartości dla klienta</a:t>
          </a:r>
        </a:p>
      </dgm:t>
    </dgm:pt>
    <dgm:pt modelId="{91D67732-375D-4F04-9F83-A1E046F857BC}" type="parTrans" cxnId="{93970F76-7A28-4E4C-93D9-71BC5199F4ED}">
      <dgm:prSet/>
      <dgm:spPr/>
      <dgm:t>
        <a:bodyPr/>
        <a:lstStyle/>
        <a:p>
          <a:pPr algn="just"/>
          <a:endParaRPr lang="pl-PL"/>
        </a:p>
      </dgm:t>
    </dgm:pt>
    <dgm:pt modelId="{6C028942-75AA-443C-80C4-8F999583A63E}" type="sibTrans" cxnId="{93970F76-7A28-4E4C-93D9-71BC5199F4ED}">
      <dgm:prSet/>
      <dgm:spPr/>
      <dgm:t>
        <a:bodyPr/>
        <a:lstStyle/>
        <a:p>
          <a:pPr algn="just"/>
          <a:endParaRPr lang="pl-PL"/>
        </a:p>
      </dgm:t>
    </dgm:pt>
    <dgm:pt modelId="{89657275-CB6F-48C8-B885-E1643C97BB7C}">
      <dgm:prSet phldrT="[Tekst]" custT="1"/>
      <dgm:spPr>
        <a:solidFill>
          <a:srgbClr val="51BBB6">
            <a:alpha val="90000"/>
          </a:srgbClr>
        </a:solidFill>
      </dgm:spPr>
      <dgm:t>
        <a:bodyPr/>
        <a:lstStyle/>
        <a:p>
          <a:pPr algn="l"/>
          <a:r>
            <a:rPr lang="pl-PL" sz="700">
              <a:latin typeface="Arial" panose="020B0604020202020204" pitchFamily="34" charset="0"/>
              <a:cs typeface="Arial" panose="020B0604020202020204" pitchFamily="34" charset="0"/>
            </a:rPr>
            <a:t>Działanie </a:t>
          </a:r>
          <a:br>
            <a:rPr lang="pl-PL" sz="700">
              <a:latin typeface="Arial" panose="020B0604020202020204" pitchFamily="34" charset="0"/>
              <a:cs typeface="Arial" panose="020B0604020202020204" pitchFamily="34" charset="0"/>
            </a:rPr>
          </a:br>
          <a:r>
            <a:rPr lang="pl-PL" sz="700">
              <a:latin typeface="Arial" panose="020B0604020202020204" pitchFamily="34" charset="0"/>
              <a:cs typeface="Arial" panose="020B0604020202020204" pitchFamily="34" charset="0"/>
            </a:rPr>
            <a:t>w kierunku „zamykania obiegu”</a:t>
          </a:r>
        </a:p>
      </dgm:t>
    </dgm:pt>
    <dgm:pt modelId="{4CB80FCB-1EE0-4984-A03A-979581A0495B}" type="parTrans" cxnId="{6CB841E9-7D11-422C-8BE8-7E64563CEF4C}">
      <dgm:prSet/>
      <dgm:spPr/>
      <dgm:t>
        <a:bodyPr/>
        <a:lstStyle/>
        <a:p>
          <a:pPr algn="just"/>
          <a:endParaRPr lang="pl-PL"/>
        </a:p>
      </dgm:t>
    </dgm:pt>
    <dgm:pt modelId="{89C45F21-AFD2-4C60-BC95-EAFCCA9E77FE}" type="sibTrans" cxnId="{6CB841E9-7D11-422C-8BE8-7E64563CEF4C}">
      <dgm:prSet/>
      <dgm:spPr/>
      <dgm:t>
        <a:bodyPr/>
        <a:lstStyle/>
        <a:p>
          <a:pPr algn="just"/>
          <a:endParaRPr lang="pl-PL"/>
        </a:p>
      </dgm:t>
    </dgm:pt>
    <dgm:pt modelId="{314593C9-245B-4365-90D0-36A8CE6524AB}">
      <dgm:prSet phldrT="[Tekst]"/>
      <dgm:spPr>
        <a:solidFill>
          <a:srgbClr val="51BBB6">
            <a:alpha val="90000"/>
          </a:srgbClr>
        </a:solidFill>
      </dgm:spPr>
      <dgm:t>
        <a:bodyPr/>
        <a:lstStyle/>
        <a:p>
          <a:pPr algn="just"/>
          <a:r>
            <a:rPr lang="pl-PL">
              <a:latin typeface="Arial" panose="020B0604020202020204" pitchFamily="34" charset="0"/>
              <a:cs typeface="Arial" panose="020B0604020202020204" pitchFamily="34" charset="0"/>
            </a:rPr>
            <a:t>Wdrażanie GOZ</a:t>
          </a:r>
        </a:p>
      </dgm:t>
    </dgm:pt>
    <dgm:pt modelId="{7D561665-B31D-4A4F-A2BF-D7E2FB1B970C}" type="parTrans" cxnId="{A5A35626-27B3-4007-9AAB-3BC2B83E531D}">
      <dgm:prSet/>
      <dgm:spPr/>
      <dgm:t>
        <a:bodyPr/>
        <a:lstStyle/>
        <a:p>
          <a:pPr algn="just"/>
          <a:endParaRPr lang="pl-PL"/>
        </a:p>
      </dgm:t>
    </dgm:pt>
    <dgm:pt modelId="{8770391A-B6CE-4D8C-845F-4B15638DBF61}" type="sibTrans" cxnId="{A5A35626-27B3-4007-9AAB-3BC2B83E531D}">
      <dgm:prSet/>
      <dgm:spPr/>
      <dgm:t>
        <a:bodyPr/>
        <a:lstStyle/>
        <a:p>
          <a:pPr algn="just"/>
          <a:endParaRPr lang="pl-PL"/>
        </a:p>
      </dgm:t>
    </dgm:pt>
    <dgm:pt modelId="{C00911E9-6F47-48CB-A4CC-5E8A3E1DD42E}">
      <dgm:prSet phldrT="[Tekst]"/>
      <dgm:spPr>
        <a:solidFill>
          <a:srgbClr val="51BBB6">
            <a:alpha val="90000"/>
          </a:srgbClr>
        </a:solidFill>
      </dgm:spPr>
      <dgm:t>
        <a:bodyPr/>
        <a:lstStyle/>
        <a:p>
          <a:pPr algn="just"/>
          <a:r>
            <a:rPr lang="pl-PL">
              <a:latin typeface="Arial" panose="020B0604020202020204" pitchFamily="34" charset="0"/>
              <a:cs typeface="Arial" panose="020B0604020202020204" pitchFamily="34" charset="0"/>
            </a:rPr>
            <a:t>Monitorowanie GOZ</a:t>
          </a:r>
        </a:p>
      </dgm:t>
    </dgm:pt>
    <dgm:pt modelId="{A2525286-AD87-4517-9387-FD3FBC4BA72A}" type="parTrans" cxnId="{3DCD270A-2D51-4BF6-A38A-0D6AEA437F95}">
      <dgm:prSet/>
      <dgm:spPr/>
      <dgm:t>
        <a:bodyPr/>
        <a:lstStyle/>
        <a:p>
          <a:pPr algn="just"/>
          <a:endParaRPr lang="pl-PL"/>
        </a:p>
      </dgm:t>
    </dgm:pt>
    <dgm:pt modelId="{85C16395-4CAE-43E3-9359-F9C783B62002}" type="sibTrans" cxnId="{3DCD270A-2D51-4BF6-A38A-0D6AEA437F95}">
      <dgm:prSet/>
      <dgm:spPr/>
      <dgm:t>
        <a:bodyPr/>
        <a:lstStyle/>
        <a:p>
          <a:pPr algn="just"/>
          <a:endParaRPr lang="pl-PL"/>
        </a:p>
      </dgm:t>
    </dgm:pt>
    <dgm:pt modelId="{03F91B73-86F7-4F6E-87CD-65CF360BD1A4}">
      <dgm:prSet phldrT="[Tekst]"/>
      <dgm:spPr>
        <a:solidFill>
          <a:srgbClr val="51BBB6">
            <a:alpha val="90000"/>
          </a:srgbClr>
        </a:solidFill>
      </dgm:spPr>
      <dgm:t>
        <a:bodyPr/>
        <a:lstStyle/>
        <a:p>
          <a:pPr algn="just"/>
          <a:r>
            <a:rPr lang="pl-PL">
              <a:latin typeface="Arial" panose="020B0604020202020204" pitchFamily="34" charset="0"/>
              <a:cs typeface="Arial" panose="020B0604020202020204" pitchFamily="34" charset="0"/>
            </a:rPr>
            <a:t>Finansowanie GOZ</a:t>
          </a:r>
        </a:p>
      </dgm:t>
    </dgm:pt>
    <dgm:pt modelId="{B276BF39-1D59-42FC-B8F8-D13528AA2545}" type="parTrans" cxnId="{E3CFAF62-634E-476C-8A91-FBBD3F8240C9}">
      <dgm:prSet/>
      <dgm:spPr/>
      <dgm:t>
        <a:bodyPr/>
        <a:lstStyle/>
        <a:p>
          <a:pPr algn="just"/>
          <a:endParaRPr lang="pl-PL"/>
        </a:p>
      </dgm:t>
    </dgm:pt>
    <dgm:pt modelId="{0AD3229A-FF15-414C-9A18-6CCFFC82E0DE}" type="sibTrans" cxnId="{E3CFAF62-634E-476C-8A91-FBBD3F8240C9}">
      <dgm:prSet/>
      <dgm:spPr/>
      <dgm:t>
        <a:bodyPr/>
        <a:lstStyle/>
        <a:p>
          <a:pPr algn="just"/>
          <a:endParaRPr lang="pl-PL"/>
        </a:p>
      </dgm:t>
    </dgm:pt>
    <dgm:pt modelId="{942935AD-62AB-4E3E-806B-4E8611A51919}" type="pres">
      <dgm:prSet presAssocID="{96CEB6E9-0923-424F-AA61-67643DB5D513}" presName="diagram" presStyleCnt="0">
        <dgm:presLayoutVars>
          <dgm:chPref val="1"/>
          <dgm:dir/>
          <dgm:animOne val="branch"/>
          <dgm:animLvl val="lvl"/>
          <dgm:resizeHandles/>
        </dgm:presLayoutVars>
      </dgm:prSet>
      <dgm:spPr/>
      <dgm:t>
        <a:bodyPr/>
        <a:lstStyle/>
        <a:p>
          <a:endParaRPr lang="pl-PL"/>
        </a:p>
      </dgm:t>
    </dgm:pt>
    <dgm:pt modelId="{54CC8491-6D3D-44DC-9840-256938C7B49F}" type="pres">
      <dgm:prSet presAssocID="{1B4B88E4-B300-4B36-8184-8D5994387B65}" presName="root" presStyleCnt="0"/>
      <dgm:spPr/>
    </dgm:pt>
    <dgm:pt modelId="{4FF63BEC-AE47-4CC3-A01B-A756CC2D4CA6}" type="pres">
      <dgm:prSet presAssocID="{1B4B88E4-B300-4B36-8184-8D5994387B65}" presName="rootComposite" presStyleCnt="0"/>
      <dgm:spPr/>
    </dgm:pt>
    <dgm:pt modelId="{7C8ED22F-9822-4DED-925F-4C2AF5EC9F50}" type="pres">
      <dgm:prSet presAssocID="{1B4B88E4-B300-4B36-8184-8D5994387B65}" presName="rootText" presStyleLbl="node1" presStyleIdx="0" presStyleCnt="5" custScaleX="167245" custScaleY="229570"/>
      <dgm:spPr/>
      <dgm:t>
        <a:bodyPr/>
        <a:lstStyle/>
        <a:p>
          <a:endParaRPr lang="pl-PL"/>
        </a:p>
      </dgm:t>
    </dgm:pt>
    <dgm:pt modelId="{2D74BC78-372C-41F8-92E0-199F3F0B17C1}" type="pres">
      <dgm:prSet presAssocID="{1B4B88E4-B300-4B36-8184-8D5994387B65}" presName="rootConnector" presStyleLbl="node1" presStyleIdx="0" presStyleCnt="5"/>
      <dgm:spPr/>
      <dgm:t>
        <a:bodyPr/>
        <a:lstStyle/>
        <a:p>
          <a:endParaRPr lang="pl-PL"/>
        </a:p>
      </dgm:t>
    </dgm:pt>
    <dgm:pt modelId="{2AE195DF-86DB-4B1F-B6D8-A4BA2EAAF3EE}" type="pres">
      <dgm:prSet presAssocID="{1B4B88E4-B300-4B36-8184-8D5994387B65}" presName="childShape" presStyleCnt="0"/>
      <dgm:spPr/>
    </dgm:pt>
    <dgm:pt modelId="{08652A0A-1C0E-4953-B7D3-E2E2788CEA84}" type="pres">
      <dgm:prSet presAssocID="{A10473C3-78D7-4119-9251-BBA2FC0001E8}" presName="Name13" presStyleLbl="parChTrans1D2" presStyleIdx="0" presStyleCnt="15"/>
      <dgm:spPr/>
      <dgm:t>
        <a:bodyPr/>
        <a:lstStyle/>
        <a:p>
          <a:endParaRPr lang="pl-PL"/>
        </a:p>
      </dgm:t>
    </dgm:pt>
    <dgm:pt modelId="{9D0E203A-8D02-4EC6-BBB9-E6949ACB472C}" type="pres">
      <dgm:prSet presAssocID="{293F738A-9E6F-41E9-BA2C-774DDC7BBD2C}" presName="childText" presStyleLbl="bgAcc1" presStyleIdx="0" presStyleCnt="15" custScaleX="199976" custScaleY="263468">
        <dgm:presLayoutVars>
          <dgm:bulletEnabled val="1"/>
        </dgm:presLayoutVars>
      </dgm:prSet>
      <dgm:spPr/>
      <dgm:t>
        <a:bodyPr/>
        <a:lstStyle/>
        <a:p>
          <a:endParaRPr lang="pl-PL"/>
        </a:p>
      </dgm:t>
    </dgm:pt>
    <dgm:pt modelId="{59EA3620-087B-4C85-8C21-ABA4F2D7C2D3}" type="pres">
      <dgm:prSet presAssocID="{743ECBC4-F93D-4E9F-9003-DF9D33CD0E2B}" presName="Name13" presStyleLbl="parChTrans1D2" presStyleIdx="1" presStyleCnt="15"/>
      <dgm:spPr/>
      <dgm:t>
        <a:bodyPr/>
        <a:lstStyle/>
        <a:p>
          <a:endParaRPr lang="pl-PL"/>
        </a:p>
      </dgm:t>
    </dgm:pt>
    <dgm:pt modelId="{475A4082-C2CC-4982-9B79-2A198341A001}" type="pres">
      <dgm:prSet presAssocID="{4F6B7B5A-20DA-4B5C-B685-BFC32F27BE7E}" presName="childText" presStyleLbl="bgAcc1" presStyleIdx="1" presStyleCnt="15" custScaleX="197659" custScaleY="251901">
        <dgm:presLayoutVars>
          <dgm:bulletEnabled val="1"/>
        </dgm:presLayoutVars>
      </dgm:prSet>
      <dgm:spPr/>
      <dgm:t>
        <a:bodyPr/>
        <a:lstStyle/>
        <a:p>
          <a:endParaRPr lang="pl-PL"/>
        </a:p>
      </dgm:t>
    </dgm:pt>
    <dgm:pt modelId="{984CB3BC-CEB2-4623-A362-D32EFBC429AD}" type="pres">
      <dgm:prSet presAssocID="{597E13E6-823C-4413-8EA9-7B3E7BB61678}" presName="Name13" presStyleLbl="parChTrans1D2" presStyleIdx="2" presStyleCnt="15"/>
      <dgm:spPr/>
      <dgm:t>
        <a:bodyPr/>
        <a:lstStyle/>
        <a:p>
          <a:endParaRPr lang="pl-PL"/>
        </a:p>
      </dgm:t>
    </dgm:pt>
    <dgm:pt modelId="{A5118150-E78D-4C56-99ED-39076FD5FAE0}" type="pres">
      <dgm:prSet presAssocID="{CBDB3917-7708-4E7A-A1FA-6747EDCA3ADF}" presName="childText" presStyleLbl="bgAcc1" presStyleIdx="2" presStyleCnt="15" custScaleX="194477" custScaleY="245158">
        <dgm:presLayoutVars>
          <dgm:bulletEnabled val="1"/>
        </dgm:presLayoutVars>
      </dgm:prSet>
      <dgm:spPr/>
      <dgm:t>
        <a:bodyPr/>
        <a:lstStyle/>
        <a:p>
          <a:endParaRPr lang="pl-PL"/>
        </a:p>
      </dgm:t>
    </dgm:pt>
    <dgm:pt modelId="{545ED93E-E1B1-424F-BAA8-25C138F800D7}" type="pres">
      <dgm:prSet presAssocID="{D76DB866-2F2B-4566-B878-C7AC5BEDF409}" presName="root" presStyleCnt="0"/>
      <dgm:spPr/>
    </dgm:pt>
    <dgm:pt modelId="{191FCE27-B1E7-46B5-B59C-FA9FC0ED103F}" type="pres">
      <dgm:prSet presAssocID="{D76DB866-2F2B-4566-B878-C7AC5BEDF409}" presName="rootComposite" presStyleCnt="0"/>
      <dgm:spPr/>
    </dgm:pt>
    <dgm:pt modelId="{67703DF3-7B27-435F-A5A1-FAADB5218AA3}" type="pres">
      <dgm:prSet presAssocID="{D76DB866-2F2B-4566-B878-C7AC5BEDF409}" presName="rootText" presStyleLbl="node1" presStyleIdx="1" presStyleCnt="5" custScaleX="163541" custScaleY="234998"/>
      <dgm:spPr/>
      <dgm:t>
        <a:bodyPr/>
        <a:lstStyle/>
        <a:p>
          <a:endParaRPr lang="pl-PL"/>
        </a:p>
      </dgm:t>
    </dgm:pt>
    <dgm:pt modelId="{FB701E2A-FC11-4E8F-B89A-6ADE3A44D3D5}" type="pres">
      <dgm:prSet presAssocID="{D76DB866-2F2B-4566-B878-C7AC5BEDF409}" presName="rootConnector" presStyleLbl="node1" presStyleIdx="1" presStyleCnt="5"/>
      <dgm:spPr/>
      <dgm:t>
        <a:bodyPr/>
        <a:lstStyle/>
        <a:p>
          <a:endParaRPr lang="pl-PL"/>
        </a:p>
      </dgm:t>
    </dgm:pt>
    <dgm:pt modelId="{B5BFE5BF-0E76-4E9C-B115-FE4F72EAB720}" type="pres">
      <dgm:prSet presAssocID="{D76DB866-2F2B-4566-B878-C7AC5BEDF409}" presName="childShape" presStyleCnt="0"/>
      <dgm:spPr/>
    </dgm:pt>
    <dgm:pt modelId="{C7BA91CB-BC23-49C3-A528-C03E2D38AC99}" type="pres">
      <dgm:prSet presAssocID="{A35B1F8D-5D78-4DAE-B9FD-697F1FFB154C}" presName="Name13" presStyleLbl="parChTrans1D2" presStyleIdx="3" presStyleCnt="15"/>
      <dgm:spPr/>
      <dgm:t>
        <a:bodyPr/>
        <a:lstStyle/>
        <a:p>
          <a:endParaRPr lang="pl-PL"/>
        </a:p>
      </dgm:t>
    </dgm:pt>
    <dgm:pt modelId="{26384BD4-7D23-4B91-9F69-3E3535B5F0EC}" type="pres">
      <dgm:prSet presAssocID="{DCA9FC50-F063-4491-841E-91B6440100EB}" presName="childText" presStyleLbl="bgAcc1" presStyleIdx="3" presStyleCnt="15" custScaleX="197580" custScaleY="252613">
        <dgm:presLayoutVars>
          <dgm:bulletEnabled val="1"/>
        </dgm:presLayoutVars>
      </dgm:prSet>
      <dgm:spPr/>
      <dgm:t>
        <a:bodyPr/>
        <a:lstStyle/>
        <a:p>
          <a:endParaRPr lang="pl-PL"/>
        </a:p>
      </dgm:t>
    </dgm:pt>
    <dgm:pt modelId="{630F5FB9-1AA7-474C-9497-22C0744CC2EA}" type="pres">
      <dgm:prSet presAssocID="{3C181116-DB24-4985-A9DA-F0D801CE0D38}" presName="Name13" presStyleLbl="parChTrans1D2" presStyleIdx="4" presStyleCnt="15"/>
      <dgm:spPr/>
      <dgm:t>
        <a:bodyPr/>
        <a:lstStyle/>
        <a:p>
          <a:endParaRPr lang="pl-PL"/>
        </a:p>
      </dgm:t>
    </dgm:pt>
    <dgm:pt modelId="{A07320CC-6E56-435D-B2AB-A99ADE57EB28}" type="pres">
      <dgm:prSet presAssocID="{16D03421-8BE1-44F2-A910-C9CAF38A741F}" presName="childText" presStyleLbl="bgAcc1" presStyleIdx="4" presStyleCnt="15" custScaleX="196696" custScaleY="261143">
        <dgm:presLayoutVars>
          <dgm:bulletEnabled val="1"/>
        </dgm:presLayoutVars>
      </dgm:prSet>
      <dgm:spPr/>
      <dgm:t>
        <a:bodyPr/>
        <a:lstStyle/>
        <a:p>
          <a:endParaRPr lang="pl-PL"/>
        </a:p>
      </dgm:t>
    </dgm:pt>
    <dgm:pt modelId="{7B7423A5-46EA-48E1-808A-BA6EDAC6F66C}" type="pres">
      <dgm:prSet presAssocID="{E4D6D7E8-FC3F-44CD-8A17-221CDABA162B}" presName="Name13" presStyleLbl="parChTrans1D2" presStyleIdx="5" presStyleCnt="15"/>
      <dgm:spPr/>
      <dgm:t>
        <a:bodyPr/>
        <a:lstStyle/>
        <a:p>
          <a:endParaRPr lang="pl-PL"/>
        </a:p>
      </dgm:t>
    </dgm:pt>
    <dgm:pt modelId="{4B82E8FD-DFF1-4DAA-A949-8D3A7FE564CA}" type="pres">
      <dgm:prSet presAssocID="{77641947-4F4B-48C7-956F-0D4FDAFED22B}" presName="childText" presStyleLbl="bgAcc1" presStyleIdx="5" presStyleCnt="15" custScaleX="194925" custScaleY="240573">
        <dgm:presLayoutVars>
          <dgm:bulletEnabled val="1"/>
        </dgm:presLayoutVars>
      </dgm:prSet>
      <dgm:spPr/>
      <dgm:t>
        <a:bodyPr/>
        <a:lstStyle/>
        <a:p>
          <a:endParaRPr lang="pl-PL"/>
        </a:p>
      </dgm:t>
    </dgm:pt>
    <dgm:pt modelId="{F27EDF12-636D-4263-8B53-DB321F47A71C}" type="pres">
      <dgm:prSet presAssocID="{64188A00-FAD5-47E7-81F7-D59508CF0678}" presName="root" presStyleCnt="0"/>
      <dgm:spPr/>
    </dgm:pt>
    <dgm:pt modelId="{459E26B0-BEA1-4B59-AE80-E453BAC577F5}" type="pres">
      <dgm:prSet presAssocID="{64188A00-FAD5-47E7-81F7-D59508CF0678}" presName="rootComposite" presStyleCnt="0"/>
      <dgm:spPr/>
    </dgm:pt>
    <dgm:pt modelId="{52840052-851B-44FA-B87A-E0D08F9B501B}" type="pres">
      <dgm:prSet presAssocID="{64188A00-FAD5-47E7-81F7-D59508CF0678}" presName="rootText" presStyleLbl="node1" presStyleIdx="2" presStyleCnt="5" custScaleX="163353" custScaleY="235197"/>
      <dgm:spPr/>
      <dgm:t>
        <a:bodyPr/>
        <a:lstStyle/>
        <a:p>
          <a:endParaRPr lang="pl-PL"/>
        </a:p>
      </dgm:t>
    </dgm:pt>
    <dgm:pt modelId="{D9686A29-C678-4424-A2C5-F6DCDB0BA740}" type="pres">
      <dgm:prSet presAssocID="{64188A00-FAD5-47E7-81F7-D59508CF0678}" presName="rootConnector" presStyleLbl="node1" presStyleIdx="2" presStyleCnt="5"/>
      <dgm:spPr/>
      <dgm:t>
        <a:bodyPr/>
        <a:lstStyle/>
        <a:p>
          <a:endParaRPr lang="pl-PL"/>
        </a:p>
      </dgm:t>
    </dgm:pt>
    <dgm:pt modelId="{F8B5074F-ABB4-4B2D-B10D-8BF5DE35EB77}" type="pres">
      <dgm:prSet presAssocID="{64188A00-FAD5-47E7-81F7-D59508CF0678}" presName="childShape" presStyleCnt="0"/>
      <dgm:spPr/>
    </dgm:pt>
    <dgm:pt modelId="{989D1531-A1FA-491A-B4EF-01D32BA55526}" type="pres">
      <dgm:prSet presAssocID="{15285828-092A-4E1C-AB62-0564F218FC80}" presName="Name13" presStyleLbl="parChTrans1D2" presStyleIdx="6" presStyleCnt="15"/>
      <dgm:spPr/>
      <dgm:t>
        <a:bodyPr/>
        <a:lstStyle/>
        <a:p>
          <a:endParaRPr lang="pl-PL"/>
        </a:p>
      </dgm:t>
    </dgm:pt>
    <dgm:pt modelId="{A121B0A8-71B6-49FF-A1F9-1FA70321AECC}" type="pres">
      <dgm:prSet presAssocID="{30BB7B47-3A63-44EE-8F87-F2B7A9A805E6}" presName="childText" presStyleLbl="bgAcc1" presStyleIdx="6" presStyleCnt="15" custScaleX="211476" custScaleY="207314">
        <dgm:presLayoutVars>
          <dgm:bulletEnabled val="1"/>
        </dgm:presLayoutVars>
      </dgm:prSet>
      <dgm:spPr/>
      <dgm:t>
        <a:bodyPr/>
        <a:lstStyle/>
        <a:p>
          <a:endParaRPr lang="pl-PL"/>
        </a:p>
      </dgm:t>
    </dgm:pt>
    <dgm:pt modelId="{CFC8654F-4D54-4D50-BE1F-94B247DAF4EA}" type="pres">
      <dgm:prSet presAssocID="{F3D5C180-4098-464A-9680-2CB33A466014}" presName="Name13" presStyleLbl="parChTrans1D2" presStyleIdx="7" presStyleCnt="15"/>
      <dgm:spPr/>
      <dgm:t>
        <a:bodyPr/>
        <a:lstStyle/>
        <a:p>
          <a:endParaRPr lang="pl-PL"/>
        </a:p>
      </dgm:t>
    </dgm:pt>
    <dgm:pt modelId="{8F34EEEF-CF3B-43C1-A45C-054889A89AA0}" type="pres">
      <dgm:prSet presAssocID="{BBAC1309-2EDA-4EFC-B055-44B56CAB39A0}" presName="childText" presStyleLbl="bgAcc1" presStyleIdx="7" presStyleCnt="15" custScaleX="215241" custScaleY="212096" custLinFactNeighborX="-1749" custLinFactNeighborY="9">
        <dgm:presLayoutVars>
          <dgm:bulletEnabled val="1"/>
        </dgm:presLayoutVars>
      </dgm:prSet>
      <dgm:spPr/>
      <dgm:t>
        <a:bodyPr/>
        <a:lstStyle/>
        <a:p>
          <a:endParaRPr lang="pl-PL"/>
        </a:p>
      </dgm:t>
    </dgm:pt>
    <dgm:pt modelId="{A7065CEE-5E5B-4882-9A89-82972E651ACC}" type="pres">
      <dgm:prSet presAssocID="{637DE7D7-7498-476C-8676-3BCADF8C56DC}" presName="Name13" presStyleLbl="parChTrans1D2" presStyleIdx="8" presStyleCnt="15"/>
      <dgm:spPr/>
      <dgm:t>
        <a:bodyPr/>
        <a:lstStyle/>
        <a:p>
          <a:endParaRPr lang="pl-PL"/>
        </a:p>
      </dgm:t>
    </dgm:pt>
    <dgm:pt modelId="{8AE81A16-3F98-4E4F-9F35-23C278A02688}" type="pres">
      <dgm:prSet presAssocID="{039ADFBA-B049-4DF9-A9DB-EAE862391295}" presName="childText" presStyleLbl="bgAcc1" presStyleIdx="8" presStyleCnt="15" custScaleX="215130" custScaleY="154743" custLinFactNeighborX="-1749" custLinFactNeighborY="9">
        <dgm:presLayoutVars>
          <dgm:bulletEnabled val="1"/>
        </dgm:presLayoutVars>
      </dgm:prSet>
      <dgm:spPr/>
      <dgm:t>
        <a:bodyPr/>
        <a:lstStyle/>
        <a:p>
          <a:endParaRPr lang="pl-PL"/>
        </a:p>
      </dgm:t>
    </dgm:pt>
    <dgm:pt modelId="{4223B859-4349-452C-8834-2D8CADF7B812}" type="pres">
      <dgm:prSet presAssocID="{B4D3C423-F187-4E91-8014-1D74E072CB9F}" presName="Name13" presStyleLbl="parChTrans1D2" presStyleIdx="9" presStyleCnt="15"/>
      <dgm:spPr/>
      <dgm:t>
        <a:bodyPr/>
        <a:lstStyle/>
        <a:p>
          <a:endParaRPr lang="pl-PL"/>
        </a:p>
      </dgm:t>
    </dgm:pt>
    <dgm:pt modelId="{BDB27511-1104-4901-98D7-C31E6F0B7683}" type="pres">
      <dgm:prSet presAssocID="{9020CC2C-CBC7-4487-B78A-ABD0783906BF}" presName="childText" presStyleLbl="bgAcc1" presStyleIdx="9" presStyleCnt="15" custScaleX="215129" custScaleY="154743" custLinFactNeighborX="-1749" custLinFactNeighborY="9">
        <dgm:presLayoutVars>
          <dgm:bulletEnabled val="1"/>
        </dgm:presLayoutVars>
      </dgm:prSet>
      <dgm:spPr/>
      <dgm:t>
        <a:bodyPr/>
        <a:lstStyle/>
        <a:p>
          <a:endParaRPr lang="pl-PL"/>
        </a:p>
      </dgm:t>
    </dgm:pt>
    <dgm:pt modelId="{5EF539C5-8597-4F51-9292-0EFE9EB07ACB}" type="pres">
      <dgm:prSet presAssocID="{B59B2F1D-9500-426E-A3E6-FA6A120ED5AB}" presName="root" presStyleCnt="0"/>
      <dgm:spPr/>
    </dgm:pt>
    <dgm:pt modelId="{14985CA6-D22D-4DF4-B6B1-DE6F165D027D}" type="pres">
      <dgm:prSet presAssocID="{B59B2F1D-9500-426E-A3E6-FA6A120ED5AB}" presName="rootComposite" presStyleCnt="0"/>
      <dgm:spPr/>
    </dgm:pt>
    <dgm:pt modelId="{C259463E-5161-4619-B6CB-BA6DAFDD2AE8}" type="pres">
      <dgm:prSet presAssocID="{B59B2F1D-9500-426E-A3E6-FA6A120ED5AB}" presName="rootText" presStyleLbl="node1" presStyleIdx="3" presStyleCnt="5" custScaleX="162980" custScaleY="235197"/>
      <dgm:spPr/>
      <dgm:t>
        <a:bodyPr/>
        <a:lstStyle/>
        <a:p>
          <a:endParaRPr lang="pl-PL"/>
        </a:p>
      </dgm:t>
    </dgm:pt>
    <dgm:pt modelId="{BD3B77EB-42F4-43F9-A44A-48CD2968BD8D}" type="pres">
      <dgm:prSet presAssocID="{B59B2F1D-9500-426E-A3E6-FA6A120ED5AB}" presName="rootConnector" presStyleLbl="node1" presStyleIdx="3" presStyleCnt="5"/>
      <dgm:spPr/>
      <dgm:t>
        <a:bodyPr/>
        <a:lstStyle/>
        <a:p>
          <a:endParaRPr lang="pl-PL"/>
        </a:p>
      </dgm:t>
    </dgm:pt>
    <dgm:pt modelId="{B0CB19B2-A417-41F0-B107-928BAC0ED820}" type="pres">
      <dgm:prSet presAssocID="{B59B2F1D-9500-426E-A3E6-FA6A120ED5AB}" presName="childShape" presStyleCnt="0"/>
      <dgm:spPr/>
    </dgm:pt>
    <dgm:pt modelId="{2337C605-FF67-4686-8C4D-ACF247B0665A}" type="pres">
      <dgm:prSet presAssocID="{91D67732-375D-4F04-9F83-A1E046F857BC}" presName="Name13" presStyleLbl="parChTrans1D2" presStyleIdx="10" presStyleCnt="15"/>
      <dgm:spPr/>
      <dgm:t>
        <a:bodyPr/>
        <a:lstStyle/>
        <a:p>
          <a:endParaRPr lang="pl-PL"/>
        </a:p>
      </dgm:t>
    </dgm:pt>
    <dgm:pt modelId="{48974477-FC4B-415A-8161-1AEFB54FBB94}" type="pres">
      <dgm:prSet presAssocID="{8D9D30BA-5FB8-4DF2-9765-74CB9BF7F420}" presName="childText" presStyleLbl="bgAcc1" presStyleIdx="10" presStyleCnt="15" custScaleX="193472" custScaleY="207314">
        <dgm:presLayoutVars>
          <dgm:bulletEnabled val="1"/>
        </dgm:presLayoutVars>
      </dgm:prSet>
      <dgm:spPr/>
      <dgm:t>
        <a:bodyPr/>
        <a:lstStyle/>
        <a:p>
          <a:endParaRPr lang="pl-PL"/>
        </a:p>
      </dgm:t>
    </dgm:pt>
    <dgm:pt modelId="{50273F0E-1E2F-427F-B387-388D12F87C97}" type="pres">
      <dgm:prSet presAssocID="{4CB80FCB-1EE0-4984-A03A-979581A0495B}" presName="Name13" presStyleLbl="parChTrans1D2" presStyleIdx="11" presStyleCnt="15"/>
      <dgm:spPr/>
      <dgm:t>
        <a:bodyPr/>
        <a:lstStyle/>
        <a:p>
          <a:endParaRPr lang="pl-PL"/>
        </a:p>
      </dgm:t>
    </dgm:pt>
    <dgm:pt modelId="{C3210782-35D9-45C7-9005-E1EC38A75D5E}" type="pres">
      <dgm:prSet presAssocID="{89657275-CB6F-48C8-B885-E1643C97BB7C}" presName="childText" presStyleLbl="bgAcc1" presStyleIdx="11" presStyleCnt="15" custScaleX="193472" custScaleY="207314">
        <dgm:presLayoutVars>
          <dgm:bulletEnabled val="1"/>
        </dgm:presLayoutVars>
      </dgm:prSet>
      <dgm:spPr/>
      <dgm:t>
        <a:bodyPr/>
        <a:lstStyle/>
        <a:p>
          <a:endParaRPr lang="pl-PL"/>
        </a:p>
      </dgm:t>
    </dgm:pt>
    <dgm:pt modelId="{52AF65E9-20D1-429F-BDA3-4A9701A3367A}" type="pres">
      <dgm:prSet presAssocID="{C4CDCB8B-7F46-42F4-A0D6-CC8C57D3E996}" presName="root" presStyleCnt="0"/>
      <dgm:spPr/>
    </dgm:pt>
    <dgm:pt modelId="{A864693C-0D8C-44A7-A1B4-B83525084C88}" type="pres">
      <dgm:prSet presAssocID="{C4CDCB8B-7F46-42F4-A0D6-CC8C57D3E996}" presName="rootComposite" presStyleCnt="0"/>
      <dgm:spPr/>
    </dgm:pt>
    <dgm:pt modelId="{4CA5CDCD-DA14-4872-B6C7-B5EB740B8A6E}" type="pres">
      <dgm:prSet presAssocID="{C4CDCB8B-7F46-42F4-A0D6-CC8C57D3E996}" presName="rootText" presStyleLbl="node1" presStyleIdx="4" presStyleCnt="5" custScaleX="165057" custScaleY="241524"/>
      <dgm:spPr/>
      <dgm:t>
        <a:bodyPr/>
        <a:lstStyle/>
        <a:p>
          <a:endParaRPr lang="pl-PL"/>
        </a:p>
      </dgm:t>
    </dgm:pt>
    <dgm:pt modelId="{0616259C-0396-485E-8BD9-0670316C2009}" type="pres">
      <dgm:prSet presAssocID="{C4CDCB8B-7F46-42F4-A0D6-CC8C57D3E996}" presName="rootConnector" presStyleLbl="node1" presStyleIdx="4" presStyleCnt="5"/>
      <dgm:spPr/>
      <dgm:t>
        <a:bodyPr/>
        <a:lstStyle/>
        <a:p>
          <a:endParaRPr lang="pl-PL"/>
        </a:p>
      </dgm:t>
    </dgm:pt>
    <dgm:pt modelId="{5915C008-CC04-453E-9000-A11701317F6B}" type="pres">
      <dgm:prSet presAssocID="{C4CDCB8B-7F46-42F4-A0D6-CC8C57D3E996}" presName="childShape" presStyleCnt="0"/>
      <dgm:spPr/>
    </dgm:pt>
    <dgm:pt modelId="{141C978E-9F23-46B9-911B-2975389B0EFC}" type="pres">
      <dgm:prSet presAssocID="{7D561665-B31D-4A4F-A2BF-D7E2FB1B970C}" presName="Name13" presStyleLbl="parChTrans1D2" presStyleIdx="12" presStyleCnt="15"/>
      <dgm:spPr/>
      <dgm:t>
        <a:bodyPr/>
        <a:lstStyle/>
        <a:p>
          <a:endParaRPr lang="pl-PL"/>
        </a:p>
      </dgm:t>
    </dgm:pt>
    <dgm:pt modelId="{4756E287-73C9-43DA-87D0-201766259544}" type="pres">
      <dgm:prSet presAssocID="{314593C9-245B-4365-90D0-36A8CE6524AB}" presName="childText" presStyleLbl="bgAcc1" presStyleIdx="12" presStyleCnt="15" custScaleX="173019" custScaleY="207314">
        <dgm:presLayoutVars>
          <dgm:bulletEnabled val="1"/>
        </dgm:presLayoutVars>
      </dgm:prSet>
      <dgm:spPr/>
      <dgm:t>
        <a:bodyPr/>
        <a:lstStyle/>
        <a:p>
          <a:endParaRPr lang="pl-PL"/>
        </a:p>
      </dgm:t>
    </dgm:pt>
    <dgm:pt modelId="{8CE3882A-DAB4-4775-8F95-2E3B98F1E462}" type="pres">
      <dgm:prSet presAssocID="{A2525286-AD87-4517-9387-FD3FBC4BA72A}" presName="Name13" presStyleLbl="parChTrans1D2" presStyleIdx="13" presStyleCnt="15"/>
      <dgm:spPr/>
      <dgm:t>
        <a:bodyPr/>
        <a:lstStyle/>
        <a:p>
          <a:endParaRPr lang="pl-PL"/>
        </a:p>
      </dgm:t>
    </dgm:pt>
    <dgm:pt modelId="{D91DE354-6AEC-4BA5-A0FF-6398F3FCA1DF}" type="pres">
      <dgm:prSet presAssocID="{C00911E9-6F47-48CB-A4CC-5E8A3E1DD42E}" presName="childText" presStyleLbl="bgAcc1" presStyleIdx="13" presStyleCnt="15" custScaleX="173019" custScaleY="207314">
        <dgm:presLayoutVars>
          <dgm:bulletEnabled val="1"/>
        </dgm:presLayoutVars>
      </dgm:prSet>
      <dgm:spPr/>
      <dgm:t>
        <a:bodyPr/>
        <a:lstStyle/>
        <a:p>
          <a:endParaRPr lang="pl-PL"/>
        </a:p>
      </dgm:t>
    </dgm:pt>
    <dgm:pt modelId="{7B3A00F0-DE27-48B1-B043-2BBAD219D907}" type="pres">
      <dgm:prSet presAssocID="{B276BF39-1D59-42FC-B8F8-D13528AA2545}" presName="Name13" presStyleLbl="parChTrans1D2" presStyleIdx="14" presStyleCnt="15"/>
      <dgm:spPr/>
      <dgm:t>
        <a:bodyPr/>
        <a:lstStyle/>
        <a:p>
          <a:endParaRPr lang="pl-PL"/>
        </a:p>
      </dgm:t>
    </dgm:pt>
    <dgm:pt modelId="{8DF3B008-6267-424E-890D-BC81816A7DCE}" type="pres">
      <dgm:prSet presAssocID="{03F91B73-86F7-4F6E-87CD-65CF360BD1A4}" presName="childText" presStyleLbl="bgAcc1" presStyleIdx="14" presStyleCnt="15" custScaleX="173019" custScaleY="207314">
        <dgm:presLayoutVars>
          <dgm:bulletEnabled val="1"/>
        </dgm:presLayoutVars>
      </dgm:prSet>
      <dgm:spPr/>
      <dgm:t>
        <a:bodyPr/>
        <a:lstStyle/>
        <a:p>
          <a:endParaRPr lang="pl-PL"/>
        </a:p>
      </dgm:t>
    </dgm:pt>
  </dgm:ptLst>
  <dgm:cxnLst>
    <dgm:cxn modelId="{FB39B1AE-5128-412B-AB8C-5C6395BE15A4}" type="presOf" srcId="{B276BF39-1D59-42FC-B8F8-D13528AA2545}" destId="{7B3A00F0-DE27-48B1-B043-2BBAD219D907}" srcOrd="0" destOrd="0" presId="urn:microsoft.com/office/officeart/2005/8/layout/hierarchy3"/>
    <dgm:cxn modelId="{3FBC2B08-B8DD-4B71-B4C4-FF5A5B615C14}" type="presOf" srcId="{3C181116-DB24-4985-A9DA-F0D801CE0D38}" destId="{630F5FB9-1AA7-474C-9497-22C0744CC2EA}" srcOrd="0" destOrd="0" presId="urn:microsoft.com/office/officeart/2005/8/layout/hierarchy3"/>
    <dgm:cxn modelId="{067EA403-1687-4982-95A6-F60FD0581A62}" type="presOf" srcId="{E4D6D7E8-FC3F-44CD-8A17-221CDABA162B}" destId="{7B7423A5-46EA-48E1-808A-BA6EDAC6F66C}" srcOrd="0" destOrd="0" presId="urn:microsoft.com/office/officeart/2005/8/layout/hierarchy3"/>
    <dgm:cxn modelId="{E8AA4522-4496-4A47-9C70-E838E0656547}" type="presOf" srcId="{30BB7B47-3A63-44EE-8F87-F2B7A9A805E6}" destId="{A121B0A8-71B6-49FF-A1F9-1FA70321AECC}" srcOrd="0" destOrd="0" presId="urn:microsoft.com/office/officeart/2005/8/layout/hierarchy3"/>
    <dgm:cxn modelId="{C5963531-2355-443E-9DF3-60E31A9A8F97}" srcId="{D76DB866-2F2B-4566-B878-C7AC5BEDF409}" destId="{16D03421-8BE1-44F2-A910-C9CAF38A741F}" srcOrd="1" destOrd="0" parTransId="{3C181116-DB24-4985-A9DA-F0D801CE0D38}" sibTransId="{EA65AC6A-82E6-4B11-8E5A-9F967A26F0D3}"/>
    <dgm:cxn modelId="{33E352B4-ACC3-4030-82D8-B0C67B1EBA8D}" srcId="{1B4B88E4-B300-4B36-8184-8D5994387B65}" destId="{CBDB3917-7708-4E7A-A1FA-6747EDCA3ADF}" srcOrd="2" destOrd="0" parTransId="{597E13E6-823C-4413-8EA9-7B3E7BB61678}" sibTransId="{437F1C6F-C959-4F29-9966-EB2B27C22741}"/>
    <dgm:cxn modelId="{02F840F1-1649-4A00-A425-102CD6B8BF0B}" type="presOf" srcId="{B4D3C423-F187-4E91-8014-1D74E072CB9F}" destId="{4223B859-4349-452C-8834-2D8CADF7B812}" srcOrd="0" destOrd="0" presId="urn:microsoft.com/office/officeart/2005/8/layout/hierarchy3"/>
    <dgm:cxn modelId="{8AB26858-EF23-44AC-B676-6D838BC45A0D}" srcId="{96CEB6E9-0923-424F-AA61-67643DB5D513}" destId="{1B4B88E4-B300-4B36-8184-8D5994387B65}" srcOrd="0" destOrd="0" parTransId="{072D1774-C9D9-42F7-AD24-04E494839573}" sibTransId="{FCB5D27E-B6B0-444E-AA1D-77A596B1A7BB}"/>
    <dgm:cxn modelId="{7B3662BE-CA4A-41EA-8AC4-7CEA7BCA1E14}" srcId="{96CEB6E9-0923-424F-AA61-67643DB5D513}" destId="{D76DB866-2F2B-4566-B878-C7AC5BEDF409}" srcOrd="1" destOrd="0" parTransId="{35EFB9E7-765D-4EC0-BB7E-F58DE72A0D7E}" sibTransId="{C91CA75C-D684-48E9-A9D3-B2017DAE0CA8}"/>
    <dgm:cxn modelId="{2CA28A87-5978-45EC-97A0-0BAF938D6475}" type="presOf" srcId="{8D9D30BA-5FB8-4DF2-9765-74CB9BF7F420}" destId="{48974477-FC4B-415A-8161-1AEFB54FBB94}" srcOrd="0" destOrd="0" presId="urn:microsoft.com/office/officeart/2005/8/layout/hierarchy3"/>
    <dgm:cxn modelId="{817601EC-B090-43DE-9BB8-EC445CDB7665}" type="presOf" srcId="{039ADFBA-B049-4DF9-A9DB-EAE862391295}" destId="{8AE81A16-3F98-4E4F-9F35-23C278A02688}" srcOrd="0" destOrd="0" presId="urn:microsoft.com/office/officeart/2005/8/layout/hierarchy3"/>
    <dgm:cxn modelId="{99F08998-BDCB-4E28-96FC-18CA65376B3F}" type="presOf" srcId="{A10473C3-78D7-4119-9251-BBA2FC0001E8}" destId="{08652A0A-1C0E-4953-B7D3-E2E2788CEA84}" srcOrd="0" destOrd="0" presId="urn:microsoft.com/office/officeart/2005/8/layout/hierarchy3"/>
    <dgm:cxn modelId="{EA6D38D8-3BA1-482A-B6E4-CFE5F7E0CE24}" type="presOf" srcId="{64188A00-FAD5-47E7-81F7-D59508CF0678}" destId="{D9686A29-C678-4424-A2C5-F6DCDB0BA740}" srcOrd="1" destOrd="0" presId="urn:microsoft.com/office/officeart/2005/8/layout/hierarchy3"/>
    <dgm:cxn modelId="{FACFF83A-26A5-4E20-A36F-7853D680A328}" type="presOf" srcId="{637DE7D7-7498-476C-8676-3BCADF8C56DC}" destId="{A7065CEE-5E5B-4882-9A89-82972E651ACC}" srcOrd="0" destOrd="0" presId="urn:microsoft.com/office/officeart/2005/8/layout/hierarchy3"/>
    <dgm:cxn modelId="{86BA7CB8-67E9-403B-8F37-3301B6FFA2A9}" type="presOf" srcId="{597E13E6-823C-4413-8EA9-7B3E7BB61678}" destId="{984CB3BC-CEB2-4623-A362-D32EFBC429AD}" srcOrd="0" destOrd="0" presId="urn:microsoft.com/office/officeart/2005/8/layout/hierarchy3"/>
    <dgm:cxn modelId="{4CF34F40-2D20-486E-B015-A5759C95C877}" type="presOf" srcId="{B59B2F1D-9500-426E-A3E6-FA6A120ED5AB}" destId="{BD3B77EB-42F4-43F9-A44A-48CD2968BD8D}" srcOrd="1" destOrd="0" presId="urn:microsoft.com/office/officeart/2005/8/layout/hierarchy3"/>
    <dgm:cxn modelId="{53C89722-12F3-418F-9185-4BBEF1EAF70B}" type="presOf" srcId="{91D67732-375D-4F04-9F83-A1E046F857BC}" destId="{2337C605-FF67-4686-8C4D-ACF247B0665A}" srcOrd="0" destOrd="0" presId="urn:microsoft.com/office/officeart/2005/8/layout/hierarchy3"/>
    <dgm:cxn modelId="{9755F451-C2D3-4C8B-962F-A9C554866F54}" type="presOf" srcId="{A2525286-AD87-4517-9387-FD3FBC4BA72A}" destId="{8CE3882A-DAB4-4775-8F95-2E3B98F1E462}" srcOrd="0" destOrd="0" presId="urn:microsoft.com/office/officeart/2005/8/layout/hierarchy3"/>
    <dgm:cxn modelId="{1BA2E379-A245-43F1-8582-FA1C1985E0F6}" type="presOf" srcId="{77641947-4F4B-48C7-956F-0D4FDAFED22B}" destId="{4B82E8FD-DFF1-4DAA-A949-8D3A7FE564CA}" srcOrd="0" destOrd="0" presId="urn:microsoft.com/office/officeart/2005/8/layout/hierarchy3"/>
    <dgm:cxn modelId="{64EF25D0-D398-4D28-840B-7D3FC9E23624}" srcId="{96CEB6E9-0923-424F-AA61-67643DB5D513}" destId="{64188A00-FAD5-47E7-81F7-D59508CF0678}" srcOrd="2" destOrd="0" parTransId="{D4C3AB0F-887A-4575-8377-2AFC740B964D}" sibTransId="{F7B3B777-E43A-4ABC-AB8A-4869B9FA0390}"/>
    <dgm:cxn modelId="{5F9C9AA5-969A-418F-A0BB-2F75821B542F}" type="presOf" srcId="{15285828-092A-4E1C-AB62-0564F218FC80}" destId="{989D1531-A1FA-491A-B4EF-01D32BA55526}" srcOrd="0" destOrd="0" presId="urn:microsoft.com/office/officeart/2005/8/layout/hierarchy3"/>
    <dgm:cxn modelId="{6CB841E9-7D11-422C-8BE8-7E64563CEF4C}" srcId="{B59B2F1D-9500-426E-A3E6-FA6A120ED5AB}" destId="{89657275-CB6F-48C8-B885-E1643C97BB7C}" srcOrd="1" destOrd="0" parTransId="{4CB80FCB-1EE0-4984-A03A-979581A0495B}" sibTransId="{89C45F21-AFD2-4C60-BC95-EAFCCA9E77FE}"/>
    <dgm:cxn modelId="{C2C18680-77FF-4457-AB94-A9E40E6AA1B0}" type="presOf" srcId="{C4CDCB8B-7F46-42F4-A0D6-CC8C57D3E996}" destId="{0616259C-0396-485E-8BD9-0670316C2009}" srcOrd="1" destOrd="0" presId="urn:microsoft.com/office/officeart/2005/8/layout/hierarchy3"/>
    <dgm:cxn modelId="{7F3BAFC3-C577-420F-BE88-F9CC1EC48DEA}" type="presOf" srcId="{314593C9-245B-4365-90D0-36A8CE6524AB}" destId="{4756E287-73C9-43DA-87D0-201766259544}" srcOrd="0" destOrd="0" presId="urn:microsoft.com/office/officeart/2005/8/layout/hierarchy3"/>
    <dgm:cxn modelId="{3684D79D-B224-40AC-8A15-4A13B4CA1C7A}" type="presOf" srcId="{D76DB866-2F2B-4566-B878-C7AC5BEDF409}" destId="{FB701E2A-FC11-4E8F-B89A-6ADE3A44D3D5}" srcOrd="1" destOrd="0" presId="urn:microsoft.com/office/officeart/2005/8/layout/hierarchy3"/>
    <dgm:cxn modelId="{3B0CE0D7-1059-4FB0-943B-36D2F549271B}" type="presOf" srcId="{9020CC2C-CBC7-4487-B78A-ABD0783906BF}" destId="{BDB27511-1104-4901-98D7-C31E6F0B7683}" srcOrd="0" destOrd="0" presId="urn:microsoft.com/office/officeart/2005/8/layout/hierarchy3"/>
    <dgm:cxn modelId="{2EB2ACE6-86D7-4E8B-B555-08AC451C49C8}" srcId="{96CEB6E9-0923-424F-AA61-67643DB5D513}" destId="{C4CDCB8B-7F46-42F4-A0D6-CC8C57D3E996}" srcOrd="4" destOrd="0" parTransId="{5A7159BE-ADCD-43EB-9CD1-E53007E50D5C}" sibTransId="{7D8307CA-EA24-4FED-BB3C-43F7FCE383BE}"/>
    <dgm:cxn modelId="{C5047C22-51F0-4130-857B-F907F765890C}" srcId="{64188A00-FAD5-47E7-81F7-D59508CF0678}" destId="{9020CC2C-CBC7-4487-B78A-ABD0783906BF}" srcOrd="3" destOrd="0" parTransId="{B4D3C423-F187-4E91-8014-1D74E072CB9F}" sibTransId="{04B55C4B-03AE-44AE-A8E2-A5D42CE7E4D8}"/>
    <dgm:cxn modelId="{DE8B1FCB-963D-4E05-AF75-458037A1233D}" type="presOf" srcId="{743ECBC4-F93D-4E9F-9003-DF9D33CD0E2B}" destId="{59EA3620-087B-4C85-8C21-ABA4F2D7C2D3}" srcOrd="0" destOrd="0" presId="urn:microsoft.com/office/officeart/2005/8/layout/hierarchy3"/>
    <dgm:cxn modelId="{09D1C2C7-3448-4D65-9167-F0FD37AD3EA1}" type="presOf" srcId="{96CEB6E9-0923-424F-AA61-67643DB5D513}" destId="{942935AD-62AB-4E3E-806B-4E8611A51919}" srcOrd="0" destOrd="0" presId="urn:microsoft.com/office/officeart/2005/8/layout/hierarchy3"/>
    <dgm:cxn modelId="{D36398A3-E4C0-4892-A4E0-1CB79C1BE3FE}" type="presOf" srcId="{F3D5C180-4098-464A-9680-2CB33A466014}" destId="{CFC8654F-4D54-4D50-BE1F-94B247DAF4EA}" srcOrd="0" destOrd="0" presId="urn:microsoft.com/office/officeart/2005/8/layout/hierarchy3"/>
    <dgm:cxn modelId="{119AA34E-D64A-4C8C-A52C-19D44A90B31C}" type="presOf" srcId="{293F738A-9E6F-41E9-BA2C-774DDC7BBD2C}" destId="{9D0E203A-8D02-4EC6-BBB9-E6949ACB472C}" srcOrd="0" destOrd="0" presId="urn:microsoft.com/office/officeart/2005/8/layout/hierarchy3"/>
    <dgm:cxn modelId="{3205235B-B393-4D08-AB59-5B3EF159CF65}" type="presOf" srcId="{C00911E9-6F47-48CB-A4CC-5E8A3E1DD42E}" destId="{D91DE354-6AEC-4BA5-A0FF-6398F3FCA1DF}" srcOrd="0" destOrd="0" presId="urn:microsoft.com/office/officeart/2005/8/layout/hierarchy3"/>
    <dgm:cxn modelId="{0D4D4F4F-501D-4879-93EE-FA14D0369E0B}" type="presOf" srcId="{C4CDCB8B-7F46-42F4-A0D6-CC8C57D3E996}" destId="{4CA5CDCD-DA14-4872-B6C7-B5EB740B8A6E}" srcOrd="0" destOrd="0" presId="urn:microsoft.com/office/officeart/2005/8/layout/hierarchy3"/>
    <dgm:cxn modelId="{BE11DA4D-1864-4EF9-A540-6B9FB5B0DD08}" type="presOf" srcId="{7D561665-B31D-4A4F-A2BF-D7E2FB1B970C}" destId="{141C978E-9F23-46B9-911B-2975389B0EFC}" srcOrd="0" destOrd="0" presId="urn:microsoft.com/office/officeart/2005/8/layout/hierarchy3"/>
    <dgm:cxn modelId="{E2FEE8EF-003D-4432-A8F6-9B1DE210E56F}" type="presOf" srcId="{1B4B88E4-B300-4B36-8184-8D5994387B65}" destId="{2D74BC78-372C-41F8-92E0-199F3F0B17C1}" srcOrd="1" destOrd="0" presId="urn:microsoft.com/office/officeart/2005/8/layout/hierarchy3"/>
    <dgm:cxn modelId="{88FA5211-EACC-4C58-BB09-B4CA5BA04946}" type="presOf" srcId="{4CB80FCB-1EE0-4984-A03A-979581A0495B}" destId="{50273F0E-1E2F-427F-B387-388D12F87C97}" srcOrd="0" destOrd="0" presId="urn:microsoft.com/office/officeart/2005/8/layout/hierarchy3"/>
    <dgm:cxn modelId="{AA73525F-7549-4AC5-BF0E-3B7A8B5DA376}" srcId="{D76DB866-2F2B-4566-B878-C7AC5BEDF409}" destId="{77641947-4F4B-48C7-956F-0D4FDAFED22B}" srcOrd="2" destOrd="0" parTransId="{E4D6D7E8-FC3F-44CD-8A17-221CDABA162B}" sibTransId="{8137E30C-1347-4DCA-8642-7137E790E05C}"/>
    <dgm:cxn modelId="{95E17763-B0D3-4C37-B18E-66DF22A40D30}" type="presOf" srcId="{B59B2F1D-9500-426E-A3E6-FA6A120ED5AB}" destId="{C259463E-5161-4619-B6CB-BA6DAFDD2AE8}" srcOrd="0" destOrd="0" presId="urn:microsoft.com/office/officeart/2005/8/layout/hierarchy3"/>
    <dgm:cxn modelId="{7E58955D-BDF4-4616-98E2-E740D4A2046C}" type="presOf" srcId="{64188A00-FAD5-47E7-81F7-D59508CF0678}" destId="{52840052-851B-44FA-B87A-E0D08F9B501B}" srcOrd="0" destOrd="0" presId="urn:microsoft.com/office/officeart/2005/8/layout/hierarchy3"/>
    <dgm:cxn modelId="{1D290C3E-FAF7-4C8A-883C-EDFF860C11B5}" srcId="{96CEB6E9-0923-424F-AA61-67643DB5D513}" destId="{B59B2F1D-9500-426E-A3E6-FA6A120ED5AB}" srcOrd="3" destOrd="0" parTransId="{0290AD05-B126-4F22-82F2-3EDAE4D6524C}" sibTransId="{4D40839E-EEF9-4A3B-9C23-6150ED445137}"/>
    <dgm:cxn modelId="{93970F76-7A28-4E4C-93D9-71BC5199F4ED}" srcId="{B59B2F1D-9500-426E-A3E6-FA6A120ED5AB}" destId="{8D9D30BA-5FB8-4DF2-9765-74CB9BF7F420}" srcOrd="0" destOrd="0" parTransId="{91D67732-375D-4F04-9F83-A1E046F857BC}" sibTransId="{6C028942-75AA-443C-80C4-8F999583A63E}"/>
    <dgm:cxn modelId="{C1049FF6-1A93-4866-A4D5-15BF9DDBC32F}" srcId="{D76DB866-2F2B-4566-B878-C7AC5BEDF409}" destId="{DCA9FC50-F063-4491-841E-91B6440100EB}" srcOrd="0" destOrd="0" parTransId="{A35B1F8D-5D78-4DAE-B9FD-697F1FFB154C}" sibTransId="{DBF44C16-A882-45D3-A407-DFA2F224B6FD}"/>
    <dgm:cxn modelId="{A5A35626-27B3-4007-9AAB-3BC2B83E531D}" srcId="{C4CDCB8B-7F46-42F4-A0D6-CC8C57D3E996}" destId="{314593C9-245B-4365-90D0-36A8CE6524AB}" srcOrd="0" destOrd="0" parTransId="{7D561665-B31D-4A4F-A2BF-D7E2FB1B970C}" sibTransId="{8770391A-B6CE-4D8C-845F-4B15638DBF61}"/>
    <dgm:cxn modelId="{BD69A8FA-925D-438A-8B74-56AF4A8F830F}" type="presOf" srcId="{4F6B7B5A-20DA-4B5C-B685-BFC32F27BE7E}" destId="{475A4082-C2CC-4982-9B79-2A198341A001}" srcOrd="0" destOrd="0" presId="urn:microsoft.com/office/officeart/2005/8/layout/hierarchy3"/>
    <dgm:cxn modelId="{3DCD270A-2D51-4BF6-A38A-0D6AEA437F95}" srcId="{C4CDCB8B-7F46-42F4-A0D6-CC8C57D3E996}" destId="{C00911E9-6F47-48CB-A4CC-5E8A3E1DD42E}" srcOrd="1" destOrd="0" parTransId="{A2525286-AD87-4517-9387-FD3FBC4BA72A}" sibTransId="{85C16395-4CAE-43E3-9359-F9C783B62002}"/>
    <dgm:cxn modelId="{6727A3F8-2DE9-42F5-8DB4-A5ACB66654AC}" type="presOf" srcId="{DCA9FC50-F063-4491-841E-91B6440100EB}" destId="{26384BD4-7D23-4B91-9F69-3E3535B5F0EC}" srcOrd="0" destOrd="0" presId="urn:microsoft.com/office/officeart/2005/8/layout/hierarchy3"/>
    <dgm:cxn modelId="{1180C8CC-0852-47E9-97C2-14CC588AC13D}" type="presOf" srcId="{BBAC1309-2EDA-4EFC-B055-44B56CAB39A0}" destId="{8F34EEEF-CF3B-43C1-A45C-054889A89AA0}" srcOrd="0" destOrd="0" presId="urn:microsoft.com/office/officeart/2005/8/layout/hierarchy3"/>
    <dgm:cxn modelId="{E3CFAF62-634E-476C-8A91-FBBD3F8240C9}" srcId="{C4CDCB8B-7F46-42F4-A0D6-CC8C57D3E996}" destId="{03F91B73-86F7-4F6E-87CD-65CF360BD1A4}" srcOrd="2" destOrd="0" parTransId="{B276BF39-1D59-42FC-B8F8-D13528AA2545}" sibTransId="{0AD3229A-FF15-414C-9A18-6CCFFC82E0DE}"/>
    <dgm:cxn modelId="{69FD2146-D283-4C72-9396-3BC5C21D3594}" type="presOf" srcId="{A35B1F8D-5D78-4DAE-B9FD-697F1FFB154C}" destId="{C7BA91CB-BC23-49C3-A528-C03E2D38AC99}" srcOrd="0" destOrd="0" presId="urn:microsoft.com/office/officeart/2005/8/layout/hierarchy3"/>
    <dgm:cxn modelId="{CA8BE577-ACE9-4FF8-99DE-E8F081953341}" type="presOf" srcId="{16D03421-8BE1-44F2-A910-C9CAF38A741F}" destId="{A07320CC-6E56-435D-B2AB-A99ADE57EB28}" srcOrd="0" destOrd="0" presId="urn:microsoft.com/office/officeart/2005/8/layout/hierarchy3"/>
    <dgm:cxn modelId="{299E485E-CF03-4592-A3EA-C192E2AEE07A}" type="presOf" srcId="{1B4B88E4-B300-4B36-8184-8D5994387B65}" destId="{7C8ED22F-9822-4DED-925F-4C2AF5EC9F50}" srcOrd="0" destOrd="0" presId="urn:microsoft.com/office/officeart/2005/8/layout/hierarchy3"/>
    <dgm:cxn modelId="{7354180B-EB92-416F-AE16-87A5B4BB8542}" srcId="{1B4B88E4-B300-4B36-8184-8D5994387B65}" destId="{293F738A-9E6F-41E9-BA2C-774DDC7BBD2C}" srcOrd="0" destOrd="0" parTransId="{A10473C3-78D7-4119-9251-BBA2FC0001E8}" sibTransId="{85F8CEF9-6D20-424D-A42B-943CA5E45C83}"/>
    <dgm:cxn modelId="{597DF761-5D7B-4B17-B018-1A9A6A155D50}" type="presOf" srcId="{89657275-CB6F-48C8-B885-E1643C97BB7C}" destId="{C3210782-35D9-45C7-9005-E1EC38A75D5E}" srcOrd="0" destOrd="0" presId="urn:microsoft.com/office/officeart/2005/8/layout/hierarchy3"/>
    <dgm:cxn modelId="{21C9C1A6-22B6-4477-919C-F9B1BB2DD42F}" srcId="{64188A00-FAD5-47E7-81F7-D59508CF0678}" destId="{30BB7B47-3A63-44EE-8F87-F2B7A9A805E6}" srcOrd="0" destOrd="0" parTransId="{15285828-092A-4E1C-AB62-0564F218FC80}" sibTransId="{8C2C72AA-306A-4AF8-8BDB-1478DDE3A706}"/>
    <dgm:cxn modelId="{68541CF8-A23F-424A-9356-CF5EEABD96F8}" type="presOf" srcId="{D76DB866-2F2B-4566-B878-C7AC5BEDF409}" destId="{67703DF3-7B27-435F-A5A1-FAADB5218AA3}" srcOrd="0" destOrd="0" presId="urn:microsoft.com/office/officeart/2005/8/layout/hierarchy3"/>
    <dgm:cxn modelId="{AEE27006-5448-41F7-B774-94F8DBB8857F}" type="presOf" srcId="{CBDB3917-7708-4E7A-A1FA-6747EDCA3ADF}" destId="{A5118150-E78D-4C56-99ED-39076FD5FAE0}" srcOrd="0" destOrd="0" presId="urn:microsoft.com/office/officeart/2005/8/layout/hierarchy3"/>
    <dgm:cxn modelId="{2530D14E-348C-4BFC-823B-81EA431AB3F0}" type="presOf" srcId="{03F91B73-86F7-4F6E-87CD-65CF360BD1A4}" destId="{8DF3B008-6267-424E-890D-BC81816A7DCE}" srcOrd="0" destOrd="0" presId="urn:microsoft.com/office/officeart/2005/8/layout/hierarchy3"/>
    <dgm:cxn modelId="{7FDEA4CF-E60B-4FAB-A131-FB051668C812}" srcId="{64188A00-FAD5-47E7-81F7-D59508CF0678}" destId="{039ADFBA-B049-4DF9-A9DB-EAE862391295}" srcOrd="2" destOrd="0" parTransId="{637DE7D7-7498-476C-8676-3BCADF8C56DC}" sibTransId="{B35F6211-4CCC-421B-BD27-2F151FB568FA}"/>
    <dgm:cxn modelId="{A58010FF-78DF-424E-A1F0-BA2AD6D90701}" srcId="{64188A00-FAD5-47E7-81F7-D59508CF0678}" destId="{BBAC1309-2EDA-4EFC-B055-44B56CAB39A0}" srcOrd="1" destOrd="0" parTransId="{F3D5C180-4098-464A-9680-2CB33A466014}" sibTransId="{1E3F12DF-6A10-4F79-A3E2-13155720ED64}"/>
    <dgm:cxn modelId="{DFAF3A1F-6CD6-4D57-8D22-5B0B28083E7D}" srcId="{1B4B88E4-B300-4B36-8184-8D5994387B65}" destId="{4F6B7B5A-20DA-4B5C-B685-BFC32F27BE7E}" srcOrd="1" destOrd="0" parTransId="{743ECBC4-F93D-4E9F-9003-DF9D33CD0E2B}" sibTransId="{367C8054-1802-4B85-8235-1D493C06244A}"/>
    <dgm:cxn modelId="{1C35286C-56DA-4BCB-BB44-60D31F7A169A}" type="presParOf" srcId="{942935AD-62AB-4E3E-806B-4E8611A51919}" destId="{54CC8491-6D3D-44DC-9840-256938C7B49F}" srcOrd="0" destOrd="0" presId="urn:microsoft.com/office/officeart/2005/8/layout/hierarchy3"/>
    <dgm:cxn modelId="{5EDBC136-85F0-48AA-8B03-E4BD3BEF0B83}" type="presParOf" srcId="{54CC8491-6D3D-44DC-9840-256938C7B49F}" destId="{4FF63BEC-AE47-4CC3-A01B-A756CC2D4CA6}" srcOrd="0" destOrd="0" presId="urn:microsoft.com/office/officeart/2005/8/layout/hierarchy3"/>
    <dgm:cxn modelId="{D04CA8AA-BE8C-4D98-BC6F-2AC7A7512D3E}" type="presParOf" srcId="{4FF63BEC-AE47-4CC3-A01B-A756CC2D4CA6}" destId="{7C8ED22F-9822-4DED-925F-4C2AF5EC9F50}" srcOrd="0" destOrd="0" presId="urn:microsoft.com/office/officeart/2005/8/layout/hierarchy3"/>
    <dgm:cxn modelId="{754AF4D2-9B9B-4DD8-AAF3-378FB6B97C7E}" type="presParOf" srcId="{4FF63BEC-AE47-4CC3-A01B-A756CC2D4CA6}" destId="{2D74BC78-372C-41F8-92E0-199F3F0B17C1}" srcOrd="1" destOrd="0" presId="urn:microsoft.com/office/officeart/2005/8/layout/hierarchy3"/>
    <dgm:cxn modelId="{1DF5444C-39BD-4CBC-BF96-AC8E79D2F34D}" type="presParOf" srcId="{54CC8491-6D3D-44DC-9840-256938C7B49F}" destId="{2AE195DF-86DB-4B1F-B6D8-A4BA2EAAF3EE}" srcOrd="1" destOrd="0" presId="urn:microsoft.com/office/officeart/2005/8/layout/hierarchy3"/>
    <dgm:cxn modelId="{59B1F389-9533-40B5-9B38-74E0692CBDF1}" type="presParOf" srcId="{2AE195DF-86DB-4B1F-B6D8-A4BA2EAAF3EE}" destId="{08652A0A-1C0E-4953-B7D3-E2E2788CEA84}" srcOrd="0" destOrd="0" presId="urn:microsoft.com/office/officeart/2005/8/layout/hierarchy3"/>
    <dgm:cxn modelId="{1D18B16E-863E-4BBA-BA28-0218BC5D0118}" type="presParOf" srcId="{2AE195DF-86DB-4B1F-B6D8-A4BA2EAAF3EE}" destId="{9D0E203A-8D02-4EC6-BBB9-E6949ACB472C}" srcOrd="1" destOrd="0" presId="urn:microsoft.com/office/officeart/2005/8/layout/hierarchy3"/>
    <dgm:cxn modelId="{12AEAA93-B05E-4340-8311-DECC00BED27F}" type="presParOf" srcId="{2AE195DF-86DB-4B1F-B6D8-A4BA2EAAF3EE}" destId="{59EA3620-087B-4C85-8C21-ABA4F2D7C2D3}" srcOrd="2" destOrd="0" presId="urn:microsoft.com/office/officeart/2005/8/layout/hierarchy3"/>
    <dgm:cxn modelId="{BE1AFE9E-51E4-4220-8059-7F644241BAB8}" type="presParOf" srcId="{2AE195DF-86DB-4B1F-B6D8-A4BA2EAAF3EE}" destId="{475A4082-C2CC-4982-9B79-2A198341A001}" srcOrd="3" destOrd="0" presId="urn:microsoft.com/office/officeart/2005/8/layout/hierarchy3"/>
    <dgm:cxn modelId="{3D338C5C-21A0-4679-BC60-6695BABAF961}" type="presParOf" srcId="{2AE195DF-86DB-4B1F-B6D8-A4BA2EAAF3EE}" destId="{984CB3BC-CEB2-4623-A362-D32EFBC429AD}" srcOrd="4" destOrd="0" presId="urn:microsoft.com/office/officeart/2005/8/layout/hierarchy3"/>
    <dgm:cxn modelId="{517AC6BA-C72D-457D-9032-EFFB239259DD}" type="presParOf" srcId="{2AE195DF-86DB-4B1F-B6D8-A4BA2EAAF3EE}" destId="{A5118150-E78D-4C56-99ED-39076FD5FAE0}" srcOrd="5" destOrd="0" presId="urn:microsoft.com/office/officeart/2005/8/layout/hierarchy3"/>
    <dgm:cxn modelId="{B1608582-BBDC-4485-B096-80839CD1A45F}" type="presParOf" srcId="{942935AD-62AB-4E3E-806B-4E8611A51919}" destId="{545ED93E-E1B1-424F-BAA8-25C138F800D7}" srcOrd="1" destOrd="0" presId="urn:microsoft.com/office/officeart/2005/8/layout/hierarchy3"/>
    <dgm:cxn modelId="{7376256F-158F-45CE-A850-6545E6B6AE37}" type="presParOf" srcId="{545ED93E-E1B1-424F-BAA8-25C138F800D7}" destId="{191FCE27-B1E7-46B5-B59C-FA9FC0ED103F}" srcOrd="0" destOrd="0" presId="urn:microsoft.com/office/officeart/2005/8/layout/hierarchy3"/>
    <dgm:cxn modelId="{6F192F84-3988-4543-AFF2-84B732F1D439}" type="presParOf" srcId="{191FCE27-B1E7-46B5-B59C-FA9FC0ED103F}" destId="{67703DF3-7B27-435F-A5A1-FAADB5218AA3}" srcOrd="0" destOrd="0" presId="urn:microsoft.com/office/officeart/2005/8/layout/hierarchy3"/>
    <dgm:cxn modelId="{5F190161-937D-438B-BA23-782B92B4F761}" type="presParOf" srcId="{191FCE27-B1E7-46B5-B59C-FA9FC0ED103F}" destId="{FB701E2A-FC11-4E8F-B89A-6ADE3A44D3D5}" srcOrd="1" destOrd="0" presId="urn:microsoft.com/office/officeart/2005/8/layout/hierarchy3"/>
    <dgm:cxn modelId="{C737F340-A60D-453E-999F-6E8B8F6A7648}" type="presParOf" srcId="{545ED93E-E1B1-424F-BAA8-25C138F800D7}" destId="{B5BFE5BF-0E76-4E9C-B115-FE4F72EAB720}" srcOrd="1" destOrd="0" presId="urn:microsoft.com/office/officeart/2005/8/layout/hierarchy3"/>
    <dgm:cxn modelId="{49ABC052-95EA-49C5-B68C-A46C2284C58A}" type="presParOf" srcId="{B5BFE5BF-0E76-4E9C-B115-FE4F72EAB720}" destId="{C7BA91CB-BC23-49C3-A528-C03E2D38AC99}" srcOrd="0" destOrd="0" presId="urn:microsoft.com/office/officeart/2005/8/layout/hierarchy3"/>
    <dgm:cxn modelId="{D7FEC410-0343-436F-BC78-B6F39A2A5A25}" type="presParOf" srcId="{B5BFE5BF-0E76-4E9C-B115-FE4F72EAB720}" destId="{26384BD4-7D23-4B91-9F69-3E3535B5F0EC}" srcOrd="1" destOrd="0" presId="urn:microsoft.com/office/officeart/2005/8/layout/hierarchy3"/>
    <dgm:cxn modelId="{E59ED6CE-93F2-47AD-BE4A-E82B85CC6C53}" type="presParOf" srcId="{B5BFE5BF-0E76-4E9C-B115-FE4F72EAB720}" destId="{630F5FB9-1AA7-474C-9497-22C0744CC2EA}" srcOrd="2" destOrd="0" presId="urn:microsoft.com/office/officeart/2005/8/layout/hierarchy3"/>
    <dgm:cxn modelId="{A53C8BF5-C9D4-4A61-ADAD-4B42D62ADCF0}" type="presParOf" srcId="{B5BFE5BF-0E76-4E9C-B115-FE4F72EAB720}" destId="{A07320CC-6E56-435D-B2AB-A99ADE57EB28}" srcOrd="3" destOrd="0" presId="urn:microsoft.com/office/officeart/2005/8/layout/hierarchy3"/>
    <dgm:cxn modelId="{DC98906D-7016-46A0-A268-F933DE154F47}" type="presParOf" srcId="{B5BFE5BF-0E76-4E9C-B115-FE4F72EAB720}" destId="{7B7423A5-46EA-48E1-808A-BA6EDAC6F66C}" srcOrd="4" destOrd="0" presId="urn:microsoft.com/office/officeart/2005/8/layout/hierarchy3"/>
    <dgm:cxn modelId="{8FCFA1A0-1BBD-48DF-9166-C42C1FAFB933}" type="presParOf" srcId="{B5BFE5BF-0E76-4E9C-B115-FE4F72EAB720}" destId="{4B82E8FD-DFF1-4DAA-A949-8D3A7FE564CA}" srcOrd="5" destOrd="0" presId="urn:microsoft.com/office/officeart/2005/8/layout/hierarchy3"/>
    <dgm:cxn modelId="{DCCD6C37-D23A-4BBA-B7FD-2A1DF11B0594}" type="presParOf" srcId="{942935AD-62AB-4E3E-806B-4E8611A51919}" destId="{F27EDF12-636D-4263-8B53-DB321F47A71C}" srcOrd="2" destOrd="0" presId="urn:microsoft.com/office/officeart/2005/8/layout/hierarchy3"/>
    <dgm:cxn modelId="{F059C6A3-1216-4C16-95CF-9D94CD3BA250}" type="presParOf" srcId="{F27EDF12-636D-4263-8B53-DB321F47A71C}" destId="{459E26B0-BEA1-4B59-AE80-E453BAC577F5}" srcOrd="0" destOrd="0" presId="urn:microsoft.com/office/officeart/2005/8/layout/hierarchy3"/>
    <dgm:cxn modelId="{2FC2CFF9-8164-4DE1-A57E-714B8EE4DD13}" type="presParOf" srcId="{459E26B0-BEA1-4B59-AE80-E453BAC577F5}" destId="{52840052-851B-44FA-B87A-E0D08F9B501B}" srcOrd="0" destOrd="0" presId="urn:microsoft.com/office/officeart/2005/8/layout/hierarchy3"/>
    <dgm:cxn modelId="{EC90F547-5331-4B81-A384-44A7D860D6D6}" type="presParOf" srcId="{459E26B0-BEA1-4B59-AE80-E453BAC577F5}" destId="{D9686A29-C678-4424-A2C5-F6DCDB0BA740}" srcOrd="1" destOrd="0" presId="urn:microsoft.com/office/officeart/2005/8/layout/hierarchy3"/>
    <dgm:cxn modelId="{E5260DAE-2367-42C1-A53E-69BC3AB5CCD9}" type="presParOf" srcId="{F27EDF12-636D-4263-8B53-DB321F47A71C}" destId="{F8B5074F-ABB4-4B2D-B10D-8BF5DE35EB77}" srcOrd="1" destOrd="0" presId="urn:microsoft.com/office/officeart/2005/8/layout/hierarchy3"/>
    <dgm:cxn modelId="{D0D76F4D-8DC7-40F7-96FF-EF4DE1547722}" type="presParOf" srcId="{F8B5074F-ABB4-4B2D-B10D-8BF5DE35EB77}" destId="{989D1531-A1FA-491A-B4EF-01D32BA55526}" srcOrd="0" destOrd="0" presId="urn:microsoft.com/office/officeart/2005/8/layout/hierarchy3"/>
    <dgm:cxn modelId="{EF375A91-99D0-45CA-9AE5-26B5FA2A138F}" type="presParOf" srcId="{F8B5074F-ABB4-4B2D-B10D-8BF5DE35EB77}" destId="{A121B0A8-71B6-49FF-A1F9-1FA70321AECC}" srcOrd="1" destOrd="0" presId="urn:microsoft.com/office/officeart/2005/8/layout/hierarchy3"/>
    <dgm:cxn modelId="{65871D8D-7B76-4AFD-9583-3FF314460169}" type="presParOf" srcId="{F8B5074F-ABB4-4B2D-B10D-8BF5DE35EB77}" destId="{CFC8654F-4D54-4D50-BE1F-94B247DAF4EA}" srcOrd="2" destOrd="0" presId="urn:microsoft.com/office/officeart/2005/8/layout/hierarchy3"/>
    <dgm:cxn modelId="{4825E39A-2544-4C8E-AE83-586BEB7C7F0F}" type="presParOf" srcId="{F8B5074F-ABB4-4B2D-B10D-8BF5DE35EB77}" destId="{8F34EEEF-CF3B-43C1-A45C-054889A89AA0}" srcOrd="3" destOrd="0" presId="urn:microsoft.com/office/officeart/2005/8/layout/hierarchy3"/>
    <dgm:cxn modelId="{C8401235-1174-4B25-85A6-82D0B61FCED8}" type="presParOf" srcId="{F8B5074F-ABB4-4B2D-B10D-8BF5DE35EB77}" destId="{A7065CEE-5E5B-4882-9A89-82972E651ACC}" srcOrd="4" destOrd="0" presId="urn:microsoft.com/office/officeart/2005/8/layout/hierarchy3"/>
    <dgm:cxn modelId="{FBC6A8F3-6464-4D4C-94D0-23BB0923EF78}" type="presParOf" srcId="{F8B5074F-ABB4-4B2D-B10D-8BF5DE35EB77}" destId="{8AE81A16-3F98-4E4F-9F35-23C278A02688}" srcOrd="5" destOrd="0" presId="urn:microsoft.com/office/officeart/2005/8/layout/hierarchy3"/>
    <dgm:cxn modelId="{52712A62-B3AA-472D-8376-7688E22445E9}" type="presParOf" srcId="{F8B5074F-ABB4-4B2D-B10D-8BF5DE35EB77}" destId="{4223B859-4349-452C-8834-2D8CADF7B812}" srcOrd="6" destOrd="0" presId="urn:microsoft.com/office/officeart/2005/8/layout/hierarchy3"/>
    <dgm:cxn modelId="{5EB9F200-0356-472E-B7E0-802F98D05A64}" type="presParOf" srcId="{F8B5074F-ABB4-4B2D-B10D-8BF5DE35EB77}" destId="{BDB27511-1104-4901-98D7-C31E6F0B7683}" srcOrd="7" destOrd="0" presId="urn:microsoft.com/office/officeart/2005/8/layout/hierarchy3"/>
    <dgm:cxn modelId="{E972C867-B493-47BB-B9D3-B00EAF4C15EA}" type="presParOf" srcId="{942935AD-62AB-4E3E-806B-4E8611A51919}" destId="{5EF539C5-8597-4F51-9292-0EFE9EB07ACB}" srcOrd="3" destOrd="0" presId="urn:microsoft.com/office/officeart/2005/8/layout/hierarchy3"/>
    <dgm:cxn modelId="{9D840C6D-3819-406C-AB13-449DEEE35978}" type="presParOf" srcId="{5EF539C5-8597-4F51-9292-0EFE9EB07ACB}" destId="{14985CA6-D22D-4DF4-B6B1-DE6F165D027D}" srcOrd="0" destOrd="0" presId="urn:microsoft.com/office/officeart/2005/8/layout/hierarchy3"/>
    <dgm:cxn modelId="{FEFE4E1B-944C-4F3D-AF74-7D395D8BAA70}" type="presParOf" srcId="{14985CA6-D22D-4DF4-B6B1-DE6F165D027D}" destId="{C259463E-5161-4619-B6CB-BA6DAFDD2AE8}" srcOrd="0" destOrd="0" presId="urn:microsoft.com/office/officeart/2005/8/layout/hierarchy3"/>
    <dgm:cxn modelId="{9F39210E-951B-4AF4-BBFD-01629F6F4347}" type="presParOf" srcId="{14985CA6-D22D-4DF4-B6B1-DE6F165D027D}" destId="{BD3B77EB-42F4-43F9-A44A-48CD2968BD8D}" srcOrd="1" destOrd="0" presId="urn:microsoft.com/office/officeart/2005/8/layout/hierarchy3"/>
    <dgm:cxn modelId="{60E8D829-88CB-4FB2-83FB-3F9169C3CC32}" type="presParOf" srcId="{5EF539C5-8597-4F51-9292-0EFE9EB07ACB}" destId="{B0CB19B2-A417-41F0-B107-928BAC0ED820}" srcOrd="1" destOrd="0" presId="urn:microsoft.com/office/officeart/2005/8/layout/hierarchy3"/>
    <dgm:cxn modelId="{AA1801B1-BF13-4821-A612-01FA3EFEA545}" type="presParOf" srcId="{B0CB19B2-A417-41F0-B107-928BAC0ED820}" destId="{2337C605-FF67-4686-8C4D-ACF247B0665A}" srcOrd="0" destOrd="0" presId="urn:microsoft.com/office/officeart/2005/8/layout/hierarchy3"/>
    <dgm:cxn modelId="{4217F800-47CD-4EC6-9497-297AA7990570}" type="presParOf" srcId="{B0CB19B2-A417-41F0-B107-928BAC0ED820}" destId="{48974477-FC4B-415A-8161-1AEFB54FBB94}" srcOrd="1" destOrd="0" presId="urn:microsoft.com/office/officeart/2005/8/layout/hierarchy3"/>
    <dgm:cxn modelId="{ADE9FBE0-D3B2-4E24-BA74-706079EFCB29}" type="presParOf" srcId="{B0CB19B2-A417-41F0-B107-928BAC0ED820}" destId="{50273F0E-1E2F-427F-B387-388D12F87C97}" srcOrd="2" destOrd="0" presId="urn:microsoft.com/office/officeart/2005/8/layout/hierarchy3"/>
    <dgm:cxn modelId="{76431F16-52BE-499C-923B-409F4A0DCBD9}" type="presParOf" srcId="{B0CB19B2-A417-41F0-B107-928BAC0ED820}" destId="{C3210782-35D9-45C7-9005-E1EC38A75D5E}" srcOrd="3" destOrd="0" presId="urn:microsoft.com/office/officeart/2005/8/layout/hierarchy3"/>
    <dgm:cxn modelId="{85CB4A07-FE7C-44F6-BD34-3D6F8C57DB8C}" type="presParOf" srcId="{942935AD-62AB-4E3E-806B-4E8611A51919}" destId="{52AF65E9-20D1-429F-BDA3-4A9701A3367A}" srcOrd="4" destOrd="0" presId="urn:microsoft.com/office/officeart/2005/8/layout/hierarchy3"/>
    <dgm:cxn modelId="{4144E0AD-9E5F-4186-9466-B4014ADC0649}" type="presParOf" srcId="{52AF65E9-20D1-429F-BDA3-4A9701A3367A}" destId="{A864693C-0D8C-44A7-A1B4-B83525084C88}" srcOrd="0" destOrd="0" presId="urn:microsoft.com/office/officeart/2005/8/layout/hierarchy3"/>
    <dgm:cxn modelId="{ABA772A1-11E0-4A2C-AD33-9B855372CE5B}" type="presParOf" srcId="{A864693C-0D8C-44A7-A1B4-B83525084C88}" destId="{4CA5CDCD-DA14-4872-B6C7-B5EB740B8A6E}" srcOrd="0" destOrd="0" presId="urn:microsoft.com/office/officeart/2005/8/layout/hierarchy3"/>
    <dgm:cxn modelId="{B589D352-0C29-47D9-AF0A-D4483D5FF51E}" type="presParOf" srcId="{A864693C-0D8C-44A7-A1B4-B83525084C88}" destId="{0616259C-0396-485E-8BD9-0670316C2009}" srcOrd="1" destOrd="0" presId="urn:microsoft.com/office/officeart/2005/8/layout/hierarchy3"/>
    <dgm:cxn modelId="{89337E10-0997-4489-B51C-4F21A4E68D03}" type="presParOf" srcId="{52AF65E9-20D1-429F-BDA3-4A9701A3367A}" destId="{5915C008-CC04-453E-9000-A11701317F6B}" srcOrd="1" destOrd="0" presId="urn:microsoft.com/office/officeart/2005/8/layout/hierarchy3"/>
    <dgm:cxn modelId="{0CBECC9B-D779-4727-B8DF-BB9333596D46}" type="presParOf" srcId="{5915C008-CC04-453E-9000-A11701317F6B}" destId="{141C978E-9F23-46B9-911B-2975389B0EFC}" srcOrd="0" destOrd="0" presId="urn:microsoft.com/office/officeart/2005/8/layout/hierarchy3"/>
    <dgm:cxn modelId="{315C25E3-EF5F-4AE0-8F76-CA5B4C888F03}" type="presParOf" srcId="{5915C008-CC04-453E-9000-A11701317F6B}" destId="{4756E287-73C9-43DA-87D0-201766259544}" srcOrd="1" destOrd="0" presId="urn:microsoft.com/office/officeart/2005/8/layout/hierarchy3"/>
    <dgm:cxn modelId="{7BDB9CFE-6113-49FD-8138-BCC9F57498F7}" type="presParOf" srcId="{5915C008-CC04-453E-9000-A11701317F6B}" destId="{8CE3882A-DAB4-4775-8F95-2E3B98F1E462}" srcOrd="2" destOrd="0" presId="urn:microsoft.com/office/officeart/2005/8/layout/hierarchy3"/>
    <dgm:cxn modelId="{B4CDFA36-F582-476B-A63F-8F5C2BAC0532}" type="presParOf" srcId="{5915C008-CC04-453E-9000-A11701317F6B}" destId="{D91DE354-6AEC-4BA5-A0FF-6398F3FCA1DF}" srcOrd="3" destOrd="0" presId="urn:microsoft.com/office/officeart/2005/8/layout/hierarchy3"/>
    <dgm:cxn modelId="{015E4EEF-B76E-48DF-97C3-0529064F8658}" type="presParOf" srcId="{5915C008-CC04-453E-9000-A11701317F6B}" destId="{7B3A00F0-DE27-48B1-B043-2BBAD219D907}" srcOrd="4" destOrd="0" presId="urn:microsoft.com/office/officeart/2005/8/layout/hierarchy3"/>
    <dgm:cxn modelId="{BDDFA44D-99CA-4C25-90BE-6FE778F105CD}" type="presParOf" srcId="{5915C008-CC04-453E-9000-A11701317F6B}" destId="{8DF3B008-6267-424E-890D-BC81816A7DCE}" srcOrd="5" destOrd="0" presId="urn:microsoft.com/office/officeart/2005/8/layout/hierarchy3"/>
  </dgm:cxnLst>
  <dgm:bg/>
  <dgm:whole/>
  <dgm:extLst>
    <a:ext uri="http://schemas.microsoft.com/office/drawing/2008/diagram">
      <dsp:dataModelExt xmlns:dsp="http://schemas.microsoft.com/office/drawing/2008/diagram" relId="rId33"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B0272BC7-32DA-447B-9B36-E68F21FA916B}" type="doc">
      <dgm:prSet loTypeId="urn:microsoft.com/office/officeart/2005/8/layout/radial2" loCatId="relationship" qsTypeId="urn:microsoft.com/office/officeart/2005/8/quickstyle/simple2" qsCatId="simple" csTypeId="urn:microsoft.com/office/officeart/2005/8/colors/accent1_2" csCatId="accent1" phldr="1"/>
      <dgm:spPr/>
      <dgm:t>
        <a:bodyPr/>
        <a:lstStyle/>
        <a:p>
          <a:endParaRPr lang="pl-PL"/>
        </a:p>
      </dgm:t>
    </dgm:pt>
    <dgm:pt modelId="{D6DD575E-8B84-4900-AC30-233511FC0937}">
      <dgm:prSet phldrT="[Tekst]" custT="1"/>
      <dgm:spPr>
        <a:solidFill>
          <a:srgbClr val="51BBB6"/>
        </a:solidFill>
        <a:ln>
          <a:solidFill>
            <a:srgbClr val="CCA879"/>
          </a:solidFill>
        </a:ln>
      </dgm:spPr>
      <dgm:t>
        <a:bodyPr/>
        <a:lstStyle/>
        <a:p>
          <a:r>
            <a:rPr lang="pl-PL" sz="1400">
              <a:solidFill>
                <a:srgbClr val="173457"/>
              </a:solidFill>
              <a:latin typeface="Arial" panose="020B0604020202020204" pitchFamily="34" charset="0"/>
              <a:cs typeface="Arial" panose="020B0604020202020204" pitchFamily="34" charset="0"/>
            </a:rPr>
            <a:t>obszar miejski</a:t>
          </a:r>
        </a:p>
      </dgm:t>
    </dgm:pt>
    <dgm:pt modelId="{42E1D44B-EFF3-4B24-81B2-2DCC86FA0AF5}" type="parTrans" cxnId="{ACDD5B6A-8E57-4CC9-B6EA-834CC32BC7D5}">
      <dgm:prSet/>
      <dgm:spPr>
        <a:ln>
          <a:solidFill>
            <a:srgbClr val="173457"/>
          </a:solidFill>
        </a:ln>
      </dgm:spPr>
      <dgm:t>
        <a:bodyPr/>
        <a:lstStyle/>
        <a:p>
          <a:endParaRPr lang="pl-PL"/>
        </a:p>
      </dgm:t>
    </dgm:pt>
    <dgm:pt modelId="{800A6E71-9C8E-4516-8020-C7DB0CF4E530}" type="sibTrans" cxnId="{ACDD5B6A-8E57-4CC9-B6EA-834CC32BC7D5}">
      <dgm:prSet/>
      <dgm:spPr/>
      <dgm:t>
        <a:bodyPr/>
        <a:lstStyle/>
        <a:p>
          <a:endParaRPr lang="pl-PL"/>
        </a:p>
      </dgm:t>
    </dgm:pt>
    <dgm:pt modelId="{BA03BE79-B8C7-4B51-AF71-61A3805C481F}">
      <dgm:prSet phldrT="[Tekst]" custT="1"/>
      <dgm:spPr/>
      <dgm:t>
        <a:bodyPr/>
        <a:lstStyle/>
        <a:p>
          <a:pPr algn="l"/>
          <a:r>
            <a:rPr lang="pl-PL" sz="800">
              <a:solidFill>
                <a:srgbClr val="173457"/>
              </a:solidFill>
              <a:latin typeface="Arial" panose="020B0604020202020204" pitchFamily="34" charset="0"/>
              <a:cs typeface="Arial" panose="020B0604020202020204" pitchFamily="34" charset="0"/>
            </a:rPr>
            <a:t>ograniczenie generowanych odpadów do minimum</a:t>
          </a:r>
        </a:p>
      </dgm:t>
    </dgm:pt>
    <dgm:pt modelId="{21541DFB-E4FD-4EAA-85F5-2F0805F0415D}" type="parTrans" cxnId="{E0404DCE-E964-4512-9CC7-E6425EB5BB21}">
      <dgm:prSet/>
      <dgm:spPr/>
      <dgm:t>
        <a:bodyPr/>
        <a:lstStyle/>
        <a:p>
          <a:endParaRPr lang="pl-PL"/>
        </a:p>
      </dgm:t>
    </dgm:pt>
    <dgm:pt modelId="{219BD98B-6019-426F-AA6C-EA7EBB69CB3D}" type="sibTrans" cxnId="{E0404DCE-E964-4512-9CC7-E6425EB5BB21}">
      <dgm:prSet/>
      <dgm:spPr/>
      <dgm:t>
        <a:bodyPr/>
        <a:lstStyle/>
        <a:p>
          <a:endParaRPr lang="pl-PL"/>
        </a:p>
      </dgm:t>
    </dgm:pt>
    <dgm:pt modelId="{0302187D-9FDE-4C20-A618-397266CA176D}">
      <dgm:prSet phldrT="[Tekst]" custT="1"/>
      <dgm:spPr/>
      <dgm:t>
        <a:bodyPr/>
        <a:lstStyle/>
        <a:p>
          <a:pPr algn="l"/>
          <a:r>
            <a:rPr lang="pl-PL" sz="800">
              <a:solidFill>
                <a:srgbClr val="173457"/>
              </a:solidFill>
              <a:latin typeface="Arial" panose="020B0604020202020204" pitchFamily="34" charset="0"/>
              <a:cs typeface="Arial" panose="020B0604020202020204" pitchFamily="34" charset="0"/>
            </a:rPr>
            <a:t>wdrażanie rozwiązań z zakresu błękitno-zielonej infrastruktury</a:t>
          </a:r>
        </a:p>
      </dgm:t>
    </dgm:pt>
    <dgm:pt modelId="{7439856A-46B5-47AA-B6CD-0BAFCEA1477F}" type="parTrans" cxnId="{C5A34BA5-C092-4B36-9D5D-E5AA66B88B0E}">
      <dgm:prSet/>
      <dgm:spPr/>
      <dgm:t>
        <a:bodyPr/>
        <a:lstStyle/>
        <a:p>
          <a:endParaRPr lang="pl-PL"/>
        </a:p>
      </dgm:t>
    </dgm:pt>
    <dgm:pt modelId="{0154B4CF-ADD2-4A1E-90F4-6D07413E6250}" type="sibTrans" cxnId="{C5A34BA5-C092-4B36-9D5D-E5AA66B88B0E}">
      <dgm:prSet/>
      <dgm:spPr/>
      <dgm:t>
        <a:bodyPr/>
        <a:lstStyle/>
        <a:p>
          <a:endParaRPr lang="pl-PL"/>
        </a:p>
      </dgm:t>
    </dgm:pt>
    <dgm:pt modelId="{A9D1C16A-3803-4DB6-9DF2-A0813C66818A}">
      <dgm:prSet phldrT="[Tekst]" custT="1"/>
      <dgm:spPr>
        <a:solidFill>
          <a:srgbClr val="51BBB6"/>
        </a:solidFill>
        <a:ln>
          <a:solidFill>
            <a:srgbClr val="CCA879"/>
          </a:solidFill>
        </a:ln>
      </dgm:spPr>
      <dgm:t>
        <a:bodyPr/>
        <a:lstStyle/>
        <a:p>
          <a:r>
            <a:rPr lang="pl-PL" sz="1400">
              <a:solidFill>
                <a:srgbClr val="173457"/>
              </a:solidFill>
              <a:latin typeface="Arial" panose="020B0604020202020204" pitchFamily="34" charset="0"/>
              <a:cs typeface="Arial" panose="020B0604020202020204" pitchFamily="34" charset="0"/>
            </a:rPr>
            <a:t>obszar wiejski</a:t>
          </a:r>
        </a:p>
      </dgm:t>
    </dgm:pt>
    <dgm:pt modelId="{05AFC811-6DAA-4775-B91C-18FF7C7D640A}" type="parTrans" cxnId="{A6456F86-84FE-49DC-A77E-AE5FFF8A25D9}">
      <dgm:prSet/>
      <dgm:spPr>
        <a:ln>
          <a:solidFill>
            <a:srgbClr val="173457"/>
          </a:solidFill>
        </a:ln>
      </dgm:spPr>
      <dgm:t>
        <a:bodyPr/>
        <a:lstStyle/>
        <a:p>
          <a:endParaRPr lang="pl-PL"/>
        </a:p>
      </dgm:t>
    </dgm:pt>
    <dgm:pt modelId="{3088F4A6-4638-4A02-9342-47FE2384E9DA}" type="sibTrans" cxnId="{A6456F86-84FE-49DC-A77E-AE5FFF8A25D9}">
      <dgm:prSet/>
      <dgm:spPr/>
      <dgm:t>
        <a:bodyPr/>
        <a:lstStyle/>
        <a:p>
          <a:endParaRPr lang="pl-PL"/>
        </a:p>
      </dgm:t>
    </dgm:pt>
    <dgm:pt modelId="{29E62D31-DEA0-4B31-8F8B-83519FD5CECE}">
      <dgm:prSet phldrT="[Tekst]" custT="1"/>
      <dgm:spPr>
        <a:noFill/>
      </dgm:spPr>
      <dgm:t>
        <a:bodyPr/>
        <a:lstStyle/>
        <a:p>
          <a:r>
            <a:rPr lang="pl-PL" sz="800">
              <a:solidFill>
                <a:srgbClr val="173457"/>
              </a:solidFill>
              <a:latin typeface="Arial" panose="020B0604020202020204" pitchFamily="34" charset="0"/>
              <a:cs typeface="Arial" panose="020B0604020202020204" pitchFamily="34" charset="0"/>
            </a:rPr>
            <a:t>rozwój koncepcji inteligentnych wiosek</a:t>
          </a:r>
        </a:p>
      </dgm:t>
    </dgm:pt>
    <dgm:pt modelId="{BB2CD0BF-1F60-44A0-AC31-4253F8177A3F}" type="parTrans" cxnId="{16120D07-2DD2-4F80-8CE1-9C137B84E577}">
      <dgm:prSet/>
      <dgm:spPr/>
      <dgm:t>
        <a:bodyPr/>
        <a:lstStyle/>
        <a:p>
          <a:endParaRPr lang="pl-PL"/>
        </a:p>
      </dgm:t>
    </dgm:pt>
    <dgm:pt modelId="{C33B9A29-46F0-4562-A881-5026F5FEC833}" type="sibTrans" cxnId="{16120D07-2DD2-4F80-8CE1-9C137B84E577}">
      <dgm:prSet/>
      <dgm:spPr/>
      <dgm:t>
        <a:bodyPr/>
        <a:lstStyle/>
        <a:p>
          <a:endParaRPr lang="pl-PL"/>
        </a:p>
      </dgm:t>
    </dgm:pt>
    <dgm:pt modelId="{F91B2782-4499-4679-A358-F70A67E9B0F8}">
      <dgm:prSet phldrT="[Tekst]" custT="1"/>
      <dgm:spPr/>
      <dgm:t>
        <a:bodyPr/>
        <a:lstStyle/>
        <a:p>
          <a:pPr algn="l"/>
          <a:r>
            <a:rPr lang="pl-PL" sz="800">
              <a:solidFill>
                <a:srgbClr val="173457"/>
              </a:solidFill>
              <a:latin typeface="Arial" panose="020B0604020202020204" pitchFamily="34" charset="0"/>
              <a:cs typeface="Arial" panose="020B0604020202020204" pitchFamily="34" charset="0"/>
            </a:rPr>
            <a:t>działania z zakresu poprawy jakości powietrza i redukcji miejskich wysp ciepła</a:t>
          </a:r>
        </a:p>
      </dgm:t>
    </dgm:pt>
    <dgm:pt modelId="{070F0528-9FD3-4F97-A969-3A01F813CAE0}" type="parTrans" cxnId="{3640D7E6-D055-4DB1-8C28-CCD3ACEB4D83}">
      <dgm:prSet/>
      <dgm:spPr/>
      <dgm:t>
        <a:bodyPr/>
        <a:lstStyle/>
        <a:p>
          <a:endParaRPr lang="pl-PL"/>
        </a:p>
      </dgm:t>
    </dgm:pt>
    <dgm:pt modelId="{67CEA556-717F-4605-99F0-43082D52504C}" type="sibTrans" cxnId="{3640D7E6-D055-4DB1-8C28-CCD3ACEB4D83}">
      <dgm:prSet/>
      <dgm:spPr/>
      <dgm:t>
        <a:bodyPr/>
        <a:lstStyle/>
        <a:p>
          <a:endParaRPr lang="pl-PL"/>
        </a:p>
      </dgm:t>
    </dgm:pt>
    <dgm:pt modelId="{A4B027A5-A35D-458F-ACDF-932F853FD527}">
      <dgm:prSet phldrT="[Tekst]" custT="1"/>
      <dgm:spPr/>
      <dgm:t>
        <a:bodyPr/>
        <a:lstStyle/>
        <a:p>
          <a:pPr algn="l"/>
          <a:r>
            <a:rPr lang="pl-PL" sz="800">
              <a:solidFill>
                <a:srgbClr val="173457"/>
              </a:solidFill>
              <a:latin typeface="Arial" panose="020B0604020202020204" pitchFamily="34" charset="0"/>
              <a:cs typeface="Arial" panose="020B0604020202020204" pitchFamily="34" charset="0"/>
            </a:rPr>
            <a:t>działania rewitalizacyjne</a:t>
          </a:r>
        </a:p>
      </dgm:t>
    </dgm:pt>
    <dgm:pt modelId="{3F76C563-0B5D-424D-90F4-76A6B5CF827D}" type="parTrans" cxnId="{10F5357D-669D-4F13-9684-A7AD856C0878}">
      <dgm:prSet/>
      <dgm:spPr/>
      <dgm:t>
        <a:bodyPr/>
        <a:lstStyle/>
        <a:p>
          <a:endParaRPr lang="pl-PL"/>
        </a:p>
      </dgm:t>
    </dgm:pt>
    <dgm:pt modelId="{D6E6038B-02DF-4C67-AC45-DEAC79163D6C}" type="sibTrans" cxnId="{10F5357D-669D-4F13-9684-A7AD856C0878}">
      <dgm:prSet/>
      <dgm:spPr/>
      <dgm:t>
        <a:bodyPr/>
        <a:lstStyle/>
        <a:p>
          <a:endParaRPr lang="pl-PL"/>
        </a:p>
      </dgm:t>
    </dgm:pt>
    <dgm:pt modelId="{594E7377-B920-4128-98A8-D2BD11B69B7E}">
      <dgm:prSet phldrT="[Tekst]" custT="1"/>
      <dgm:spPr/>
      <dgm:t>
        <a:bodyPr/>
        <a:lstStyle/>
        <a:p>
          <a:pPr algn="l"/>
          <a:r>
            <a:rPr lang="pl-PL" sz="800">
              <a:solidFill>
                <a:srgbClr val="173457"/>
              </a:solidFill>
              <a:latin typeface="Arial" panose="020B0604020202020204" pitchFamily="34" charset="0"/>
              <a:cs typeface="Arial" panose="020B0604020202020204" pitchFamily="34" charset="0"/>
            </a:rPr>
            <a:t>kształtowanie wysokiej jakości przestrzeni publicznych (rozwój koncepcji zielonych miast)</a:t>
          </a:r>
        </a:p>
      </dgm:t>
    </dgm:pt>
    <dgm:pt modelId="{2C9945E7-5A5B-4806-BAF8-6BE65B2442C0}" type="parTrans" cxnId="{B4F375AE-F6CA-4742-87CA-65AEFB990B8E}">
      <dgm:prSet/>
      <dgm:spPr/>
      <dgm:t>
        <a:bodyPr/>
        <a:lstStyle/>
        <a:p>
          <a:endParaRPr lang="pl-PL"/>
        </a:p>
      </dgm:t>
    </dgm:pt>
    <dgm:pt modelId="{DAAAF3F2-4AB7-45F8-813A-87F05BADA181}" type="sibTrans" cxnId="{B4F375AE-F6CA-4742-87CA-65AEFB990B8E}">
      <dgm:prSet/>
      <dgm:spPr/>
      <dgm:t>
        <a:bodyPr/>
        <a:lstStyle/>
        <a:p>
          <a:endParaRPr lang="pl-PL"/>
        </a:p>
      </dgm:t>
    </dgm:pt>
    <dgm:pt modelId="{849A6E65-8D80-49C2-A45F-A64F0ABE0704}">
      <dgm:prSet phldrT="[Tekst]" custT="1"/>
      <dgm:spPr/>
      <dgm:t>
        <a:bodyPr/>
        <a:lstStyle/>
        <a:p>
          <a:pPr algn="l"/>
          <a:r>
            <a:rPr lang="pl-PL" sz="800">
              <a:solidFill>
                <a:srgbClr val="173457"/>
              </a:solidFill>
              <a:latin typeface="Arial" panose="020B0604020202020204" pitchFamily="34" charset="0"/>
              <a:cs typeface="Arial" panose="020B0604020202020204" pitchFamily="34" charset="0"/>
            </a:rPr>
            <a:t>wzmacnianie lokalnej bioróżnorodności</a:t>
          </a:r>
        </a:p>
      </dgm:t>
    </dgm:pt>
    <dgm:pt modelId="{549D5C10-6127-4CB7-B29C-4BC7D1C622B6}" type="parTrans" cxnId="{B3FE7743-D022-4574-B944-16407AEFB1B5}">
      <dgm:prSet/>
      <dgm:spPr/>
      <dgm:t>
        <a:bodyPr/>
        <a:lstStyle/>
        <a:p>
          <a:endParaRPr lang="pl-PL"/>
        </a:p>
      </dgm:t>
    </dgm:pt>
    <dgm:pt modelId="{4F048236-2BDB-4376-869D-6F2D20562AB6}" type="sibTrans" cxnId="{B3FE7743-D022-4574-B944-16407AEFB1B5}">
      <dgm:prSet/>
      <dgm:spPr/>
      <dgm:t>
        <a:bodyPr/>
        <a:lstStyle/>
        <a:p>
          <a:endParaRPr lang="pl-PL"/>
        </a:p>
      </dgm:t>
    </dgm:pt>
    <dgm:pt modelId="{57F156B4-5743-4324-A3FE-B8D9C75C7EE9}">
      <dgm:prSet phldrT="[Tekst]" custT="1"/>
      <dgm:spPr>
        <a:noFill/>
      </dgm:spPr>
      <dgm:t>
        <a:bodyPr/>
        <a:lstStyle/>
        <a:p>
          <a:r>
            <a:rPr lang="pl-PL" sz="800">
              <a:solidFill>
                <a:srgbClr val="173457"/>
              </a:solidFill>
              <a:latin typeface="Arial" panose="020B0604020202020204" pitchFamily="34" charset="0"/>
              <a:cs typeface="Arial" panose="020B0604020202020204" pitchFamily="34" charset="0"/>
            </a:rPr>
            <a:t>wykorzystywanie ekologicznych technologii w rolnictwie</a:t>
          </a:r>
        </a:p>
      </dgm:t>
    </dgm:pt>
    <dgm:pt modelId="{29B06D2F-28BE-4329-9A8E-46E86564033B}" type="parTrans" cxnId="{7AA84C65-D51C-4275-B6B3-F5C88F077B76}">
      <dgm:prSet/>
      <dgm:spPr/>
      <dgm:t>
        <a:bodyPr/>
        <a:lstStyle/>
        <a:p>
          <a:endParaRPr lang="pl-PL"/>
        </a:p>
      </dgm:t>
    </dgm:pt>
    <dgm:pt modelId="{BFA3D588-272A-4505-85CF-F835BFF9B0EA}" type="sibTrans" cxnId="{7AA84C65-D51C-4275-B6B3-F5C88F077B76}">
      <dgm:prSet/>
      <dgm:spPr/>
      <dgm:t>
        <a:bodyPr/>
        <a:lstStyle/>
        <a:p>
          <a:endParaRPr lang="pl-PL"/>
        </a:p>
      </dgm:t>
    </dgm:pt>
    <dgm:pt modelId="{E941ADEA-39B2-4B78-BE42-E9C13D82D5D9}">
      <dgm:prSet phldrT="[Tekst]" custT="1"/>
      <dgm:spPr>
        <a:noFill/>
      </dgm:spPr>
      <dgm:t>
        <a:bodyPr/>
        <a:lstStyle/>
        <a:p>
          <a:r>
            <a:rPr lang="pl-PL" sz="800">
              <a:solidFill>
                <a:srgbClr val="173457"/>
              </a:solidFill>
              <a:latin typeface="Arial" panose="020B0604020202020204" pitchFamily="34" charset="0"/>
              <a:cs typeface="Arial" panose="020B0604020202020204" pitchFamily="34" charset="0"/>
            </a:rPr>
            <a:t>wdrażanie nowych modeli gospodarowania obok GOZ, tj. zielona gospdarka, inteligentne rolnictwo, biogospodarka</a:t>
          </a:r>
        </a:p>
      </dgm:t>
    </dgm:pt>
    <dgm:pt modelId="{4DC59830-6D02-41B5-AF69-35A9E23EE605}" type="parTrans" cxnId="{F80BD7F3-AB56-461B-BC62-6A80F0DF3C02}">
      <dgm:prSet/>
      <dgm:spPr/>
      <dgm:t>
        <a:bodyPr/>
        <a:lstStyle/>
        <a:p>
          <a:endParaRPr lang="pl-PL"/>
        </a:p>
      </dgm:t>
    </dgm:pt>
    <dgm:pt modelId="{0049C844-E1CE-466C-8897-CAF8745F2CFC}" type="sibTrans" cxnId="{F80BD7F3-AB56-461B-BC62-6A80F0DF3C02}">
      <dgm:prSet/>
      <dgm:spPr/>
      <dgm:t>
        <a:bodyPr/>
        <a:lstStyle/>
        <a:p>
          <a:endParaRPr lang="pl-PL"/>
        </a:p>
      </dgm:t>
    </dgm:pt>
    <dgm:pt modelId="{0BA6E89B-39F0-4FD4-A750-40C349604238}">
      <dgm:prSet phldrT="[Tekst]" custT="1"/>
      <dgm:spPr>
        <a:noFill/>
      </dgm:spPr>
      <dgm:t>
        <a:bodyPr/>
        <a:lstStyle/>
        <a:p>
          <a:r>
            <a:rPr lang="pl-PL" sz="800">
              <a:solidFill>
                <a:srgbClr val="173457"/>
              </a:solidFill>
              <a:latin typeface="Arial" panose="020B0604020202020204" pitchFamily="34" charset="0"/>
              <a:cs typeface="Arial" panose="020B0604020202020204" pitchFamily="34" charset="0"/>
            </a:rPr>
            <a:t>koncepcja rozwoju wielofunkcyjnego – powiązania przestrzenno-funkcjonalne </a:t>
          </a:r>
          <a:br>
            <a:rPr lang="pl-PL" sz="800">
              <a:solidFill>
                <a:srgbClr val="173457"/>
              </a:solidFill>
              <a:latin typeface="Arial" panose="020B0604020202020204" pitchFamily="34" charset="0"/>
              <a:cs typeface="Arial" panose="020B0604020202020204" pitchFamily="34" charset="0"/>
            </a:rPr>
          </a:br>
          <a:r>
            <a:rPr lang="pl-PL" sz="800">
              <a:solidFill>
                <a:srgbClr val="173457"/>
              </a:solidFill>
              <a:latin typeface="Arial" panose="020B0604020202020204" pitchFamily="34" charset="0"/>
              <a:cs typeface="Arial" panose="020B0604020202020204" pitchFamily="34" charset="0"/>
            </a:rPr>
            <a:t>z ośrodkami miejskimi</a:t>
          </a:r>
        </a:p>
      </dgm:t>
    </dgm:pt>
    <dgm:pt modelId="{D72C263D-4C9D-4624-8270-67A6EA7B11B2}" type="parTrans" cxnId="{0B680D24-62CC-4A56-A48C-3BD338CD265E}">
      <dgm:prSet/>
      <dgm:spPr/>
      <dgm:t>
        <a:bodyPr/>
        <a:lstStyle/>
        <a:p>
          <a:endParaRPr lang="pl-PL"/>
        </a:p>
      </dgm:t>
    </dgm:pt>
    <dgm:pt modelId="{D70E58BC-2750-4C52-9E0B-14B0984CD4DE}" type="sibTrans" cxnId="{0B680D24-62CC-4A56-A48C-3BD338CD265E}">
      <dgm:prSet/>
      <dgm:spPr/>
      <dgm:t>
        <a:bodyPr/>
        <a:lstStyle/>
        <a:p>
          <a:endParaRPr lang="pl-PL"/>
        </a:p>
      </dgm:t>
    </dgm:pt>
    <dgm:pt modelId="{B4C5673B-16B4-4685-BC28-967CA1806307}" type="pres">
      <dgm:prSet presAssocID="{B0272BC7-32DA-447B-9B36-E68F21FA916B}" presName="composite" presStyleCnt="0">
        <dgm:presLayoutVars>
          <dgm:chMax val="5"/>
          <dgm:dir/>
          <dgm:animLvl val="ctr"/>
          <dgm:resizeHandles val="exact"/>
        </dgm:presLayoutVars>
      </dgm:prSet>
      <dgm:spPr/>
      <dgm:t>
        <a:bodyPr/>
        <a:lstStyle/>
        <a:p>
          <a:endParaRPr lang="pl-PL"/>
        </a:p>
      </dgm:t>
    </dgm:pt>
    <dgm:pt modelId="{9CDA0529-74A8-4365-9FFF-BBEAE78B67F0}" type="pres">
      <dgm:prSet presAssocID="{B0272BC7-32DA-447B-9B36-E68F21FA916B}" presName="cycle" presStyleCnt="0"/>
      <dgm:spPr/>
    </dgm:pt>
    <dgm:pt modelId="{BCD4E538-7A54-4713-8C56-C265E28A89EB}" type="pres">
      <dgm:prSet presAssocID="{B0272BC7-32DA-447B-9B36-E68F21FA916B}" presName="centerShape" presStyleCnt="0"/>
      <dgm:spPr/>
    </dgm:pt>
    <dgm:pt modelId="{8A1F16ED-C30B-492F-8B33-736C234F4900}" type="pres">
      <dgm:prSet presAssocID="{B0272BC7-32DA-447B-9B36-E68F21FA916B}" presName="connSite" presStyleLbl="node1" presStyleIdx="0" presStyleCnt="3"/>
      <dgm:spPr/>
    </dgm:pt>
    <dgm:pt modelId="{ADA339B6-21E2-4F5C-AA1C-06197B7307B6}" type="pres">
      <dgm:prSet presAssocID="{B0272BC7-32DA-447B-9B36-E68F21FA916B}" presName="visible" presStyleLbl="node1" presStyleIdx="0" presStyleCnt="3" custScaleX="74694" custScaleY="73991" custLinFactNeighborX="-8020" custLinFactNeighborY="-1688"/>
      <dgm:spPr>
        <a:blipFill>
          <a:blip xmlns:r="http://schemas.openxmlformats.org/officeDocument/2006/relationships" r:embed="rId1">
            <a:extLst>
              <a:ext uri="{28A0092B-C50C-407E-A947-70E740481C1C}">
                <a14:useLocalDpi xmlns:a14="http://schemas.microsoft.com/office/drawing/2010/main" val="0"/>
              </a:ext>
            </a:extLst>
          </a:blip>
          <a:srcRect/>
          <a:stretch>
            <a:fillRect/>
          </a:stretch>
        </a:blipFill>
        <a:ln>
          <a:solidFill>
            <a:srgbClr val="CCA879"/>
          </a:solidFill>
        </a:ln>
      </dgm:spPr>
    </dgm:pt>
    <dgm:pt modelId="{403B48EA-5E04-4862-B8CC-5D5B252F35C0}" type="pres">
      <dgm:prSet presAssocID="{42E1D44B-EFF3-4B24-81B2-2DCC86FA0AF5}" presName="Name25" presStyleLbl="parChTrans1D1" presStyleIdx="0" presStyleCnt="2"/>
      <dgm:spPr/>
      <dgm:t>
        <a:bodyPr/>
        <a:lstStyle/>
        <a:p>
          <a:endParaRPr lang="pl-PL"/>
        </a:p>
      </dgm:t>
    </dgm:pt>
    <dgm:pt modelId="{0E33D32F-EB63-495A-9C22-C35ABBF45085}" type="pres">
      <dgm:prSet presAssocID="{D6DD575E-8B84-4900-AC30-233511FC0937}" presName="node" presStyleCnt="0"/>
      <dgm:spPr/>
    </dgm:pt>
    <dgm:pt modelId="{A9032A85-A547-4877-8901-D98DC34D0643}" type="pres">
      <dgm:prSet presAssocID="{D6DD575E-8B84-4900-AC30-233511FC0937}" presName="parentNode" presStyleLbl="node1" presStyleIdx="1" presStyleCnt="3" custScaleX="90011" custScaleY="85090" custLinFactNeighborX="-26131" custLinFactNeighborY="17698">
        <dgm:presLayoutVars>
          <dgm:chMax val="1"/>
          <dgm:bulletEnabled val="1"/>
        </dgm:presLayoutVars>
      </dgm:prSet>
      <dgm:spPr/>
      <dgm:t>
        <a:bodyPr/>
        <a:lstStyle/>
        <a:p>
          <a:endParaRPr lang="pl-PL"/>
        </a:p>
      </dgm:t>
    </dgm:pt>
    <dgm:pt modelId="{61A3AE0D-3B22-4B66-BDB3-086DBEA05565}" type="pres">
      <dgm:prSet presAssocID="{D6DD575E-8B84-4900-AC30-233511FC0937}" presName="childNode" presStyleLbl="revTx" presStyleIdx="0" presStyleCnt="2">
        <dgm:presLayoutVars>
          <dgm:bulletEnabled val="1"/>
        </dgm:presLayoutVars>
      </dgm:prSet>
      <dgm:spPr/>
      <dgm:t>
        <a:bodyPr/>
        <a:lstStyle/>
        <a:p>
          <a:endParaRPr lang="pl-PL"/>
        </a:p>
      </dgm:t>
    </dgm:pt>
    <dgm:pt modelId="{D94CD42A-B70C-421B-BD14-AA6941DF7688}" type="pres">
      <dgm:prSet presAssocID="{05AFC811-6DAA-4775-B91C-18FF7C7D640A}" presName="Name25" presStyleLbl="parChTrans1D1" presStyleIdx="1" presStyleCnt="2"/>
      <dgm:spPr/>
      <dgm:t>
        <a:bodyPr/>
        <a:lstStyle/>
        <a:p>
          <a:endParaRPr lang="pl-PL"/>
        </a:p>
      </dgm:t>
    </dgm:pt>
    <dgm:pt modelId="{FE5D0ADC-30F1-4BFB-831F-3CA742763748}" type="pres">
      <dgm:prSet presAssocID="{A9D1C16A-3803-4DB6-9DF2-A0813C66818A}" presName="node" presStyleCnt="0"/>
      <dgm:spPr/>
    </dgm:pt>
    <dgm:pt modelId="{FFD1CBE3-7E1E-4C65-B1F1-D653B9C77C76}" type="pres">
      <dgm:prSet presAssocID="{A9D1C16A-3803-4DB6-9DF2-A0813C66818A}" presName="parentNode" presStyleLbl="node1" presStyleIdx="2" presStyleCnt="3" custScaleX="92909" custScaleY="87015" custLinFactNeighborX="-25238" custLinFactNeighborY="-11113">
        <dgm:presLayoutVars>
          <dgm:chMax val="1"/>
          <dgm:bulletEnabled val="1"/>
        </dgm:presLayoutVars>
      </dgm:prSet>
      <dgm:spPr/>
      <dgm:t>
        <a:bodyPr/>
        <a:lstStyle/>
        <a:p>
          <a:endParaRPr lang="pl-PL"/>
        </a:p>
      </dgm:t>
    </dgm:pt>
    <dgm:pt modelId="{EA3AD288-FB32-4D3A-9767-0CBFE5958BC6}" type="pres">
      <dgm:prSet presAssocID="{A9D1C16A-3803-4DB6-9DF2-A0813C66818A}" presName="childNode" presStyleLbl="revTx" presStyleIdx="1" presStyleCnt="2">
        <dgm:presLayoutVars>
          <dgm:bulletEnabled val="1"/>
        </dgm:presLayoutVars>
      </dgm:prSet>
      <dgm:spPr/>
      <dgm:t>
        <a:bodyPr/>
        <a:lstStyle/>
        <a:p>
          <a:endParaRPr lang="pl-PL"/>
        </a:p>
      </dgm:t>
    </dgm:pt>
  </dgm:ptLst>
  <dgm:cxnLst>
    <dgm:cxn modelId="{DEB4E058-DB39-408D-96AD-08C2F6271E45}" type="presOf" srcId="{A9D1C16A-3803-4DB6-9DF2-A0813C66818A}" destId="{FFD1CBE3-7E1E-4C65-B1F1-D653B9C77C76}" srcOrd="0" destOrd="0" presId="urn:microsoft.com/office/officeart/2005/8/layout/radial2"/>
    <dgm:cxn modelId="{EC46E1AA-78E2-483A-B9BF-7D692A800025}" type="presOf" srcId="{0302187D-9FDE-4C20-A618-397266CA176D}" destId="{61A3AE0D-3B22-4B66-BDB3-086DBEA05565}" srcOrd="0" destOrd="1" presId="urn:microsoft.com/office/officeart/2005/8/layout/radial2"/>
    <dgm:cxn modelId="{16120D07-2DD2-4F80-8CE1-9C137B84E577}" srcId="{A9D1C16A-3803-4DB6-9DF2-A0813C66818A}" destId="{29E62D31-DEA0-4B31-8F8B-83519FD5CECE}" srcOrd="0" destOrd="0" parTransId="{BB2CD0BF-1F60-44A0-AC31-4253F8177A3F}" sibTransId="{C33B9A29-46F0-4562-A881-5026F5FEC833}"/>
    <dgm:cxn modelId="{83AC5BF9-7B6D-4860-886C-08AFA94A2765}" type="presOf" srcId="{29E62D31-DEA0-4B31-8F8B-83519FD5CECE}" destId="{EA3AD288-FB32-4D3A-9767-0CBFE5958BC6}" srcOrd="0" destOrd="0" presId="urn:microsoft.com/office/officeart/2005/8/layout/radial2"/>
    <dgm:cxn modelId="{AF56A4BF-C33D-430C-8C3C-EA57AEFF615A}" type="presOf" srcId="{42E1D44B-EFF3-4B24-81B2-2DCC86FA0AF5}" destId="{403B48EA-5E04-4862-B8CC-5D5B252F35C0}" srcOrd="0" destOrd="0" presId="urn:microsoft.com/office/officeart/2005/8/layout/radial2"/>
    <dgm:cxn modelId="{10F5357D-669D-4F13-9684-A7AD856C0878}" srcId="{D6DD575E-8B84-4900-AC30-233511FC0937}" destId="{A4B027A5-A35D-458F-ACDF-932F853FD527}" srcOrd="4" destOrd="0" parTransId="{3F76C563-0B5D-424D-90F4-76A6B5CF827D}" sibTransId="{D6E6038B-02DF-4C67-AC45-DEAC79163D6C}"/>
    <dgm:cxn modelId="{3640D7E6-D055-4DB1-8C28-CCD3ACEB4D83}" srcId="{D6DD575E-8B84-4900-AC30-233511FC0937}" destId="{F91B2782-4499-4679-A358-F70A67E9B0F8}" srcOrd="2" destOrd="0" parTransId="{070F0528-9FD3-4F97-A969-3A01F813CAE0}" sibTransId="{67CEA556-717F-4605-99F0-43082D52504C}"/>
    <dgm:cxn modelId="{B3FE7743-D022-4574-B944-16407AEFB1B5}" srcId="{D6DD575E-8B84-4900-AC30-233511FC0937}" destId="{849A6E65-8D80-49C2-A45F-A64F0ABE0704}" srcOrd="3" destOrd="0" parTransId="{549D5C10-6127-4CB7-B29C-4BC7D1C622B6}" sibTransId="{4F048236-2BDB-4376-869D-6F2D20562AB6}"/>
    <dgm:cxn modelId="{9BABE350-B285-43C2-865A-E5F486D8D2B4}" type="presOf" srcId="{0BA6E89B-39F0-4FD4-A750-40C349604238}" destId="{EA3AD288-FB32-4D3A-9767-0CBFE5958BC6}" srcOrd="0" destOrd="3" presId="urn:microsoft.com/office/officeart/2005/8/layout/radial2"/>
    <dgm:cxn modelId="{057DE1DE-6663-48A0-9203-772C7C8BFF17}" type="presOf" srcId="{05AFC811-6DAA-4775-B91C-18FF7C7D640A}" destId="{D94CD42A-B70C-421B-BD14-AA6941DF7688}" srcOrd="0" destOrd="0" presId="urn:microsoft.com/office/officeart/2005/8/layout/radial2"/>
    <dgm:cxn modelId="{CF236795-E4A8-4E8C-B040-C3ED88E7A6D8}" type="presOf" srcId="{E941ADEA-39B2-4B78-BE42-E9C13D82D5D9}" destId="{EA3AD288-FB32-4D3A-9767-0CBFE5958BC6}" srcOrd="0" destOrd="2" presId="urn:microsoft.com/office/officeart/2005/8/layout/radial2"/>
    <dgm:cxn modelId="{A6456F86-84FE-49DC-A77E-AE5FFF8A25D9}" srcId="{B0272BC7-32DA-447B-9B36-E68F21FA916B}" destId="{A9D1C16A-3803-4DB6-9DF2-A0813C66818A}" srcOrd="1" destOrd="0" parTransId="{05AFC811-6DAA-4775-B91C-18FF7C7D640A}" sibTransId="{3088F4A6-4638-4A02-9342-47FE2384E9DA}"/>
    <dgm:cxn modelId="{E0404DCE-E964-4512-9CC7-E6425EB5BB21}" srcId="{D6DD575E-8B84-4900-AC30-233511FC0937}" destId="{BA03BE79-B8C7-4B51-AF71-61A3805C481F}" srcOrd="0" destOrd="0" parTransId="{21541DFB-E4FD-4EAA-85F5-2F0805F0415D}" sibTransId="{219BD98B-6019-426F-AA6C-EA7EBB69CB3D}"/>
    <dgm:cxn modelId="{F80BD7F3-AB56-461B-BC62-6A80F0DF3C02}" srcId="{A9D1C16A-3803-4DB6-9DF2-A0813C66818A}" destId="{E941ADEA-39B2-4B78-BE42-E9C13D82D5D9}" srcOrd="2" destOrd="0" parTransId="{4DC59830-6D02-41B5-AF69-35A9E23EE605}" sibTransId="{0049C844-E1CE-466C-8897-CAF8745F2CFC}"/>
    <dgm:cxn modelId="{102A7AE4-DDA4-491F-8280-2C24072DA8D5}" type="presOf" srcId="{57F156B4-5743-4324-A3FE-B8D9C75C7EE9}" destId="{EA3AD288-FB32-4D3A-9767-0CBFE5958BC6}" srcOrd="0" destOrd="1" presId="urn:microsoft.com/office/officeart/2005/8/layout/radial2"/>
    <dgm:cxn modelId="{190D8F72-0EAA-499C-B228-3B661F557DD4}" type="presOf" srcId="{A4B027A5-A35D-458F-ACDF-932F853FD527}" destId="{61A3AE0D-3B22-4B66-BDB3-086DBEA05565}" srcOrd="0" destOrd="4" presId="urn:microsoft.com/office/officeart/2005/8/layout/radial2"/>
    <dgm:cxn modelId="{41E3BD95-D0C4-47D0-A4FE-744D4A6C458D}" type="presOf" srcId="{F91B2782-4499-4679-A358-F70A67E9B0F8}" destId="{61A3AE0D-3B22-4B66-BDB3-086DBEA05565}" srcOrd="0" destOrd="2" presId="urn:microsoft.com/office/officeart/2005/8/layout/radial2"/>
    <dgm:cxn modelId="{B4F375AE-F6CA-4742-87CA-65AEFB990B8E}" srcId="{D6DD575E-8B84-4900-AC30-233511FC0937}" destId="{594E7377-B920-4128-98A8-D2BD11B69B7E}" srcOrd="5" destOrd="0" parTransId="{2C9945E7-5A5B-4806-BAF8-6BE65B2442C0}" sibTransId="{DAAAF3F2-4AB7-45F8-813A-87F05BADA181}"/>
    <dgm:cxn modelId="{7AA84C65-D51C-4275-B6B3-F5C88F077B76}" srcId="{A9D1C16A-3803-4DB6-9DF2-A0813C66818A}" destId="{57F156B4-5743-4324-A3FE-B8D9C75C7EE9}" srcOrd="1" destOrd="0" parTransId="{29B06D2F-28BE-4329-9A8E-46E86564033B}" sibTransId="{BFA3D588-272A-4505-85CF-F835BFF9B0EA}"/>
    <dgm:cxn modelId="{E5FB3DD1-010E-4076-B618-83DECD769542}" type="presOf" srcId="{594E7377-B920-4128-98A8-D2BD11B69B7E}" destId="{61A3AE0D-3B22-4B66-BDB3-086DBEA05565}" srcOrd="0" destOrd="5" presId="urn:microsoft.com/office/officeart/2005/8/layout/radial2"/>
    <dgm:cxn modelId="{47E45C2D-8B23-489F-BAB6-2DBCA1F1FA4E}" type="presOf" srcId="{D6DD575E-8B84-4900-AC30-233511FC0937}" destId="{A9032A85-A547-4877-8901-D98DC34D0643}" srcOrd="0" destOrd="0" presId="urn:microsoft.com/office/officeart/2005/8/layout/radial2"/>
    <dgm:cxn modelId="{ACDD5B6A-8E57-4CC9-B6EA-834CC32BC7D5}" srcId="{B0272BC7-32DA-447B-9B36-E68F21FA916B}" destId="{D6DD575E-8B84-4900-AC30-233511FC0937}" srcOrd="0" destOrd="0" parTransId="{42E1D44B-EFF3-4B24-81B2-2DCC86FA0AF5}" sibTransId="{800A6E71-9C8E-4516-8020-C7DB0CF4E530}"/>
    <dgm:cxn modelId="{41A9B61C-43B2-44B2-B572-5347B707F35E}" type="presOf" srcId="{849A6E65-8D80-49C2-A45F-A64F0ABE0704}" destId="{61A3AE0D-3B22-4B66-BDB3-086DBEA05565}" srcOrd="0" destOrd="3" presId="urn:microsoft.com/office/officeart/2005/8/layout/radial2"/>
    <dgm:cxn modelId="{3386C685-E83C-409C-B343-F258DC1E133B}" type="presOf" srcId="{B0272BC7-32DA-447B-9B36-E68F21FA916B}" destId="{B4C5673B-16B4-4685-BC28-967CA1806307}" srcOrd="0" destOrd="0" presId="urn:microsoft.com/office/officeart/2005/8/layout/radial2"/>
    <dgm:cxn modelId="{0B680D24-62CC-4A56-A48C-3BD338CD265E}" srcId="{A9D1C16A-3803-4DB6-9DF2-A0813C66818A}" destId="{0BA6E89B-39F0-4FD4-A750-40C349604238}" srcOrd="3" destOrd="0" parTransId="{D72C263D-4C9D-4624-8270-67A6EA7B11B2}" sibTransId="{D70E58BC-2750-4C52-9E0B-14B0984CD4DE}"/>
    <dgm:cxn modelId="{C5A34BA5-C092-4B36-9D5D-E5AA66B88B0E}" srcId="{D6DD575E-8B84-4900-AC30-233511FC0937}" destId="{0302187D-9FDE-4C20-A618-397266CA176D}" srcOrd="1" destOrd="0" parTransId="{7439856A-46B5-47AA-B6CD-0BAFCEA1477F}" sibTransId="{0154B4CF-ADD2-4A1E-90F4-6D07413E6250}"/>
    <dgm:cxn modelId="{4D4F9DDF-4162-4192-9449-8500EB51E471}" type="presOf" srcId="{BA03BE79-B8C7-4B51-AF71-61A3805C481F}" destId="{61A3AE0D-3B22-4B66-BDB3-086DBEA05565}" srcOrd="0" destOrd="0" presId="urn:microsoft.com/office/officeart/2005/8/layout/radial2"/>
    <dgm:cxn modelId="{4164B6D6-5A3D-4429-BE0E-D03FDD99675A}" type="presParOf" srcId="{B4C5673B-16B4-4685-BC28-967CA1806307}" destId="{9CDA0529-74A8-4365-9FFF-BBEAE78B67F0}" srcOrd="0" destOrd="0" presId="urn:microsoft.com/office/officeart/2005/8/layout/radial2"/>
    <dgm:cxn modelId="{08D165DA-0522-4C62-A06D-42894189FD66}" type="presParOf" srcId="{9CDA0529-74A8-4365-9FFF-BBEAE78B67F0}" destId="{BCD4E538-7A54-4713-8C56-C265E28A89EB}" srcOrd="0" destOrd="0" presId="urn:microsoft.com/office/officeart/2005/8/layout/radial2"/>
    <dgm:cxn modelId="{03D11F81-1D95-42DA-BF18-A303FEA14308}" type="presParOf" srcId="{BCD4E538-7A54-4713-8C56-C265E28A89EB}" destId="{8A1F16ED-C30B-492F-8B33-736C234F4900}" srcOrd="0" destOrd="0" presId="urn:microsoft.com/office/officeart/2005/8/layout/radial2"/>
    <dgm:cxn modelId="{57A2B7E8-1E3C-43B2-82DD-CA760D1C13E7}" type="presParOf" srcId="{BCD4E538-7A54-4713-8C56-C265E28A89EB}" destId="{ADA339B6-21E2-4F5C-AA1C-06197B7307B6}" srcOrd="1" destOrd="0" presId="urn:microsoft.com/office/officeart/2005/8/layout/radial2"/>
    <dgm:cxn modelId="{571D23C9-1ECC-4947-9D06-165ECC8F36BB}" type="presParOf" srcId="{9CDA0529-74A8-4365-9FFF-BBEAE78B67F0}" destId="{403B48EA-5E04-4862-B8CC-5D5B252F35C0}" srcOrd="1" destOrd="0" presId="urn:microsoft.com/office/officeart/2005/8/layout/radial2"/>
    <dgm:cxn modelId="{BDCAEC3A-14D1-485E-896C-FF8774F6E937}" type="presParOf" srcId="{9CDA0529-74A8-4365-9FFF-BBEAE78B67F0}" destId="{0E33D32F-EB63-495A-9C22-C35ABBF45085}" srcOrd="2" destOrd="0" presId="urn:microsoft.com/office/officeart/2005/8/layout/radial2"/>
    <dgm:cxn modelId="{BD7E6A44-BFB9-4591-98D3-984FA3C0433D}" type="presParOf" srcId="{0E33D32F-EB63-495A-9C22-C35ABBF45085}" destId="{A9032A85-A547-4877-8901-D98DC34D0643}" srcOrd="0" destOrd="0" presId="urn:microsoft.com/office/officeart/2005/8/layout/radial2"/>
    <dgm:cxn modelId="{31E03A7F-39B7-4328-86D1-197AC4E9C6A5}" type="presParOf" srcId="{0E33D32F-EB63-495A-9C22-C35ABBF45085}" destId="{61A3AE0D-3B22-4B66-BDB3-086DBEA05565}" srcOrd="1" destOrd="0" presId="urn:microsoft.com/office/officeart/2005/8/layout/radial2"/>
    <dgm:cxn modelId="{184F7931-97D1-4067-A636-27579CE34D47}" type="presParOf" srcId="{9CDA0529-74A8-4365-9FFF-BBEAE78B67F0}" destId="{D94CD42A-B70C-421B-BD14-AA6941DF7688}" srcOrd="3" destOrd="0" presId="urn:microsoft.com/office/officeart/2005/8/layout/radial2"/>
    <dgm:cxn modelId="{3CFE7862-C4D4-4F48-A9D0-1AD4D6E567C5}" type="presParOf" srcId="{9CDA0529-74A8-4365-9FFF-BBEAE78B67F0}" destId="{FE5D0ADC-30F1-4BFB-831F-3CA742763748}" srcOrd="4" destOrd="0" presId="urn:microsoft.com/office/officeart/2005/8/layout/radial2"/>
    <dgm:cxn modelId="{1D7D39ED-2CA7-4D6B-8DB8-53AE111FDD13}" type="presParOf" srcId="{FE5D0ADC-30F1-4BFB-831F-3CA742763748}" destId="{FFD1CBE3-7E1E-4C65-B1F1-D653B9C77C76}" srcOrd="0" destOrd="0" presId="urn:microsoft.com/office/officeart/2005/8/layout/radial2"/>
    <dgm:cxn modelId="{D9E8D6B0-CC51-492F-8624-79308D30D689}" type="presParOf" srcId="{FE5D0ADC-30F1-4BFB-831F-3CA742763748}" destId="{EA3AD288-FB32-4D3A-9767-0CBFE5958BC6}" srcOrd="1" destOrd="0" presId="urn:microsoft.com/office/officeart/2005/8/layout/radial2"/>
  </dgm:cxnLst>
  <dgm:bg/>
  <dgm:whole/>
  <dgm:extLst>
    <a:ext uri="http://schemas.microsoft.com/office/drawing/2008/diagram">
      <dsp:dataModelExt xmlns:dsp="http://schemas.microsoft.com/office/drawing/2008/diagram" relId="rId39"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A594740B-19D8-457D-8A6E-922A5B5061D3}" type="doc">
      <dgm:prSet loTypeId="urn:microsoft.com/office/officeart/2005/8/layout/equation2" loCatId="relationship" qsTypeId="urn:microsoft.com/office/officeart/2005/8/quickstyle/simple1" qsCatId="simple" csTypeId="urn:microsoft.com/office/officeart/2005/8/colors/accent1_2" csCatId="accent1" phldr="1"/>
      <dgm:spPr/>
    </dgm:pt>
    <dgm:pt modelId="{C30192C1-6CA1-4A34-9ABE-FCFF15F4A579}">
      <dgm:prSet phldrT="[Tekst]" custT="1"/>
      <dgm:spPr>
        <a:solidFill>
          <a:srgbClr val="51BBB6"/>
        </a:solidFill>
      </dgm:spPr>
      <dgm:t>
        <a:bodyPr/>
        <a:lstStyle/>
        <a:p>
          <a:pPr algn="ctr"/>
          <a:r>
            <a:rPr lang="pl-PL" sz="1000" b="0">
              <a:latin typeface="Arial" panose="020B0604020202020204" pitchFamily="34" charset="0"/>
              <a:cs typeface="Arial" panose="020B0604020202020204" pitchFamily="34" charset="0"/>
            </a:rPr>
            <a:t>OLEJ ROŚLINNY</a:t>
          </a:r>
        </a:p>
      </dgm:t>
    </dgm:pt>
    <dgm:pt modelId="{51D26411-0B6A-4542-A8C9-26BF072A094C}" type="parTrans" cxnId="{CF90E3F0-2B1A-4C58-B095-819073ADB0FD}">
      <dgm:prSet/>
      <dgm:spPr/>
      <dgm:t>
        <a:bodyPr/>
        <a:lstStyle/>
        <a:p>
          <a:pPr algn="ctr"/>
          <a:endParaRPr lang="pl-PL" b="1">
            <a:latin typeface="Arial Black" panose="020B0A04020102020204" pitchFamily="34" charset="0"/>
          </a:endParaRPr>
        </a:p>
      </dgm:t>
    </dgm:pt>
    <dgm:pt modelId="{DA50EC54-4FC0-405A-9218-EEDEF0866F35}" type="sibTrans" cxnId="{CF90E3F0-2B1A-4C58-B095-819073ADB0FD}">
      <dgm:prSet/>
      <dgm:spPr>
        <a:solidFill>
          <a:srgbClr val="CCA879"/>
        </a:solidFill>
      </dgm:spPr>
      <dgm:t>
        <a:bodyPr/>
        <a:lstStyle/>
        <a:p>
          <a:pPr algn="ctr"/>
          <a:endParaRPr lang="pl-PL" b="1">
            <a:latin typeface="Arial Black" panose="020B0A04020102020204" pitchFamily="34" charset="0"/>
          </a:endParaRPr>
        </a:p>
      </dgm:t>
    </dgm:pt>
    <dgm:pt modelId="{DF7CFD19-5117-4E8C-8706-ECFD44AE011B}">
      <dgm:prSet phldrT="[Tekst]" custT="1"/>
      <dgm:spPr>
        <a:solidFill>
          <a:srgbClr val="51BBB6"/>
        </a:solidFill>
      </dgm:spPr>
      <dgm:t>
        <a:bodyPr/>
        <a:lstStyle/>
        <a:p>
          <a:pPr algn="ctr"/>
          <a:r>
            <a:rPr lang="pl-PL" sz="1000" b="0" i="0">
              <a:latin typeface="Arial" panose="020B0604020202020204" pitchFamily="34" charset="0"/>
              <a:cs typeface="Arial" panose="020B0604020202020204" pitchFamily="34" charset="0"/>
            </a:rPr>
            <a:t>WODÓR</a:t>
          </a:r>
        </a:p>
      </dgm:t>
    </dgm:pt>
    <dgm:pt modelId="{ECA356AB-C08B-466D-9961-C52E6913804C}" type="parTrans" cxnId="{C178D789-5645-4ECE-BA5A-8891E79F3616}">
      <dgm:prSet/>
      <dgm:spPr/>
      <dgm:t>
        <a:bodyPr/>
        <a:lstStyle/>
        <a:p>
          <a:pPr algn="ctr"/>
          <a:endParaRPr lang="pl-PL" b="1">
            <a:latin typeface="Arial Black" panose="020B0A04020102020204" pitchFamily="34" charset="0"/>
          </a:endParaRPr>
        </a:p>
      </dgm:t>
    </dgm:pt>
    <dgm:pt modelId="{F2AB7949-F95D-4B06-BDBA-1D4A247730F7}" type="sibTrans" cxnId="{C178D789-5645-4ECE-BA5A-8891E79F3616}">
      <dgm:prSet/>
      <dgm:spPr>
        <a:solidFill>
          <a:srgbClr val="CCA879"/>
        </a:solidFill>
      </dgm:spPr>
      <dgm:t>
        <a:bodyPr/>
        <a:lstStyle/>
        <a:p>
          <a:pPr algn="ctr"/>
          <a:endParaRPr lang="pl-PL" b="1">
            <a:latin typeface="Arial Black" panose="020B0A04020102020204" pitchFamily="34" charset="0"/>
          </a:endParaRPr>
        </a:p>
      </dgm:t>
    </dgm:pt>
    <dgm:pt modelId="{15DA6BE7-E98C-4A40-ABE5-8D9215C27FE1}">
      <dgm:prSet phldrT="[Tekst]" custT="1"/>
      <dgm:spPr>
        <a:solidFill>
          <a:srgbClr val="173457"/>
        </a:solidFill>
      </dgm:spPr>
      <dgm:t>
        <a:bodyPr/>
        <a:lstStyle/>
        <a:p>
          <a:pPr algn="ctr"/>
          <a:r>
            <a:rPr lang="pl-PL" sz="1000" b="1">
              <a:latin typeface="Arial" panose="020B0604020202020204" pitchFamily="34" charset="0"/>
              <a:cs typeface="Arial" panose="020B0604020202020204" pitchFamily="34" charset="0"/>
            </a:rPr>
            <a:t>BIO DIESEL (93%) </a:t>
          </a:r>
        </a:p>
        <a:p>
          <a:pPr algn="ctr"/>
          <a:r>
            <a:rPr lang="pl-PL" sz="1000" b="1">
              <a:latin typeface="Arial" panose="020B0604020202020204" pitchFamily="34" charset="0"/>
              <a:cs typeface="Arial" panose="020B0604020202020204" pitchFamily="34" charset="0"/>
            </a:rPr>
            <a:t>I BIO PROPAN (5%)</a:t>
          </a:r>
        </a:p>
      </dgm:t>
    </dgm:pt>
    <dgm:pt modelId="{06B1C0E8-76AA-4DDE-89F4-3720D2325547}" type="parTrans" cxnId="{25F7633E-2506-44DD-A5DC-C5A057F68A70}">
      <dgm:prSet/>
      <dgm:spPr/>
      <dgm:t>
        <a:bodyPr/>
        <a:lstStyle/>
        <a:p>
          <a:pPr algn="ctr"/>
          <a:endParaRPr lang="pl-PL" b="1">
            <a:latin typeface="Arial Black" panose="020B0A04020102020204" pitchFamily="34" charset="0"/>
          </a:endParaRPr>
        </a:p>
      </dgm:t>
    </dgm:pt>
    <dgm:pt modelId="{FEC3B372-7616-424C-8D7C-94101F89D873}" type="sibTrans" cxnId="{25F7633E-2506-44DD-A5DC-C5A057F68A70}">
      <dgm:prSet/>
      <dgm:spPr/>
      <dgm:t>
        <a:bodyPr/>
        <a:lstStyle/>
        <a:p>
          <a:pPr algn="ctr"/>
          <a:endParaRPr lang="pl-PL" b="1">
            <a:latin typeface="Arial Black" panose="020B0A04020102020204" pitchFamily="34" charset="0"/>
          </a:endParaRPr>
        </a:p>
      </dgm:t>
    </dgm:pt>
    <dgm:pt modelId="{EFA6C8A7-9632-4B12-B7A8-72767417D693}" type="pres">
      <dgm:prSet presAssocID="{A594740B-19D8-457D-8A6E-922A5B5061D3}" presName="Name0" presStyleCnt="0">
        <dgm:presLayoutVars>
          <dgm:dir/>
          <dgm:resizeHandles val="exact"/>
        </dgm:presLayoutVars>
      </dgm:prSet>
      <dgm:spPr/>
    </dgm:pt>
    <dgm:pt modelId="{ECF8BD02-9AE8-42E7-8874-E9102B0FC8E8}" type="pres">
      <dgm:prSet presAssocID="{A594740B-19D8-457D-8A6E-922A5B5061D3}" presName="vNodes" presStyleCnt="0"/>
      <dgm:spPr/>
    </dgm:pt>
    <dgm:pt modelId="{CBFF44E0-251E-4C5C-B96B-AA7DEA27542C}" type="pres">
      <dgm:prSet presAssocID="{C30192C1-6CA1-4A34-9ABE-FCFF15F4A579}" presName="node" presStyleLbl="node1" presStyleIdx="0" presStyleCnt="3" custScaleX="167974" custScaleY="167974">
        <dgm:presLayoutVars>
          <dgm:bulletEnabled val="1"/>
        </dgm:presLayoutVars>
      </dgm:prSet>
      <dgm:spPr/>
      <dgm:t>
        <a:bodyPr/>
        <a:lstStyle/>
        <a:p>
          <a:endParaRPr lang="pl-PL"/>
        </a:p>
      </dgm:t>
    </dgm:pt>
    <dgm:pt modelId="{B39C85BC-71A8-4A4A-B2FB-8D37788C47D3}" type="pres">
      <dgm:prSet presAssocID="{DA50EC54-4FC0-405A-9218-EEDEF0866F35}" presName="spacerT" presStyleCnt="0"/>
      <dgm:spPr/>
    </dgm:pt>
    <dgm:pt modelId="{27983256-7A58-4E99-B544-F60076B2C31D}" type="pres">
      <dgm:prSet presAssocID="{DA50EC54-4FC0-405A-9218-EEDEF0866F35}" presName="sibTrans" presStyleLbl="sibTrans2D1" presStyleIdx="0" presStyleCnt="2"/>
      <dgm:spPr/>
      <dgm:t>
        <a:bodyPr/>
        <a:lstStyle/>
        <a:p>
          <a:endParaRPr lang="pl-PL"/>
        </a:p>
      </dgm:t>
    </dgm:pt>
    <dgm:pt modelId="{14CA0EC1-A70B-4A2E-A20F-49476E7479BF}" type="pres">
      <dgm:prSet presAssocID="{DA50EC54-4FC0-405A-9218-EEDEF0866F35}" presName="spacerB" presStyleCnt="0"/>
      <dgm:spPr/>
    </dgm:pt>
    <dgm:pt modelId="{15F1FCB9-FBEE-4982-9CF9-B4CF5164D60E}" type="pres">
      <dgm:prSet presAssocID="{DF7CFD19-5117-4E8C-8706-ECFD44AE011B}" presName="node" presStyleLbl="node1" presStyleIdx="1" presStyleCnt="3" custScaleX="161109" custScaleY="161110" custLinFactNeighborX="4173" custLinFactNeighborY="34260">
        <dgm:presLayoutVars>
          <dgm:bulletEnabled val="1"/>
        </dgm:presLayoutVars>
      </dgm:prSet>
      <dgm:spPr/>
      <dgm:t>
        <a:bodyPr/>
        <a:lstStyle/>
        <a:p>
          <a:endParaRPr lang="pl-PL"/>
        </a:p>
      </dgm:t>
    </dgm:pt>
    <dgm:pt modelId="{67E0D459-D166-4B25-A9FF-CEC740926565}" type="pres">
      <dgm:prSet presAssocID="{A594740B-19D8-457D-8A6E-922A5B5061D3}" presName="sibTransLast" presStyleLbl="sibTrans2D1" presStyleIdx="1" presStyleCnt="2"/>
      <dgm:spPr/>
      <dgm:t>
        <a:bodyPr/>
        <a:lstStyle/>
        <a:p>
          <a:endParaRPr lang="pl-PL"/>
        </a:p>
      </dgm:t>
    </dgm:pt>
    <dgm:pt modelId="{C48C810D-18E0-4E56-A81E-F1955B819A05}" type="pres">
      <dgm:prSet presAssocID="{A594740B-19D8-457D-8A6E-922A5B5061D3}" presName="connectorText" presStyleLbl="sibTrans2D1" presStyleIdx="1" presStyleCnt="2"/>
      <dgm:spPr/>
      <dgm:t>
        <a:bodyPr/>
        <a:lstStyle/>
        <a:p>
          <a:endParaRPr lang="pl-PL"/>
        </a:p>
      </dgm:t>
    </dgm:pt>
    <dgm:pt modelId="{4818DD58-26AD-47F4-BEFB-3F76506F88EE}" type="pres">
      <dgm:prSet presAssocID="{A594740B-19D8-457D-8A6E-922A5B5061D3}" presName="lastNode" presStyleLbl="node1" presStyleIdx="2" presStyleCnt="3" custScaleX="142014" custScaleY="134957">
        <dgm:presLayoutVars>
          <dgm:bulletEnabled val="1"/>
        </dgm:presLayoutVars>
      </dgm:prSet>
      <dgm:spPr/>
      <dgm:t>
        <a:bodyPr/>
        <a:lstStyle/>
        <a:p>
          <a:endParaRPr lang="pl-PL"/>
        </a:p>
      </dgm:t>
    </dgm:pt>
  </dgm:ptLst>
  <dgm:cxnLst>
    <dgm:cxn modelId="{77FCB15B-1C97-4A32-B458-9B76F2396D15}" type="presOf" srcId="{A594740B-19D8-457D-8A6E-922A5B5061D3}" destId="{EFA6C8A7-9632-4B12-B7A8-72767417D693}" srcOrd="0" destOrd="0" presId="urn:microsoft.com/office/officeart/2005/8/layout/equation2"/>
    <dgm:cxn modelId="{CBA1CA13-527E-485E-8D9A-C48723C3F797}" type="presOf" srcId="{F2AB7949-F95D-4B06-BDBA-1D4A247730F7}" destId="{67E0D459-D166-4B25-A9FF-CEC740926565}" srcOrd="0" destOrd="0" presId="urn:microsoft.com/office/officeart/2005/8/layout/equation2"/>
    <dgm:cxn modelId="{7DF1CF21-AF9A-45F0-9729-0D71278E11FE}" type="presOf" srcId="{15DA6BE7-E98C-4A40-ABE5-8D9215C27FE1}" destId="{4818DD58-26AD-47F4-BEFB-3F76506F88EE}" srcOrd="0" destOrd="0" presId="urn:microsoft.com/office/officeart/2005/8/layout/equation2"/>
    <dgm:cxn modelId="{C178D789-5645-4ECE-BA5A-8891E79F3616}" srcId="{A594740B-19D8-457D-8A6E-922A5B5061D3}" destId="{DF7CFD19-5117-4E8C-8706-ECFD44AE011B}" srcOrd="1" destOrd="0" parTransId="{ECA356AB-C08B-466D-9961-C52E6913804C}" sibTransId="{F2AB7949-F95D-4B06-BDBA-1D4A247730F7}"/>
    <dgm:cxn modelId="{33AEF054-0E47-4612-8B26-94BA8F08A163}" type="presOf" srcId="{DA50EC54-4FC0-405A-9218-EEDEF0866F35}" destId="{27983256-7A58-4E99-B544-F60076B2C31D}" srcOrd="0" destOrd="0" presId="urn:microsoft.com/office/officeart/2005/8/layout/equation2"/>
    <dgm:cxn modelId="{713B39F9-235F-40E3-A487-30D97D820C39}" type="presOf" srcId="{DF7CFD19-5117-4E8C-8706-ECFD44AE011B}" destId="{15F1FCB9-FBEE-4982-9CF9-B4CF5164D60E}" srcOrd="0" destOrd="0" presId="urn:microsoft.com/office/officeart/2005/8/layout/equation2"/>
    <dgm:cxn modelId="{51515F1A-D798-4F2E-A041-7CBAA5CBF61E}" type="presOf" srcId="{F2AB7949-F95D-4B06-BDBA-1D4A247730F7}" destId="{C48C810D-18E0-4E56-A81E-F1955B819A05}" srcOrd="1" destOrd="0" presId="urn:microsoft.com/office/officeart/2005/8/layout/equation2"/>
    <dgm:cxn modelId="{ACC73AA5-86AD-4AB3-9C06-9BF087D05436}" type="presOf" srcId="{C30192C1-6CA1-4A34-9ABE-FCFF15F4A579}" destId="{CBFF44E0-251E-4C5C-B96B-AA7DEA27542C}" srcOrd="0" destOrd="0" presId="urn:microsoft.com/office/officeart/2005/8/layout/equation2"/>
    <dgm:cxn modelId="{CF90E3F0-2B1A-4C58-B095-819073ADB0FD}" srcId="{A594740B-19D8-457D-8A6E-922A5B5061D3}" destId="{C30192C1-6CA1-4A34-9ABE-FCFF15F4A579}" srcOrd="0" destOrd="0" parTransId="{51D26411-0B6A-4542-A8C9-26BF072A094C}" sibTransId="{DA50EC54-4FC0-405A-9218-EEDEF0866F35}"/>
    <dgm:cxn modelId="{25F7633E-2506-44DD-A5DC-C5A057F68A70}" srcId="{A594740B-19D8-457D-8A6E-922A5B5061D3}" destId="{15DA6BE7-E98C-4A40-ABE5-8D9215C27FE1}" srcOrd="2" destOrd="0" parTransId="{06B1C0E8-76AA-4DDE-89F4-3720D2325547}" sibTransId="{FEC3B372-7616-424C-8D7C-94101F89D873}"/>
    <dgm:cxn modelId="{3B0CEDE1-598D-4631-94C5-0E78281F2EFB}" type="presParOf" srcId="{EFA6C8A7-9632-4B12-B7A8-72767417D693}" destId="{ECF8BD02-9AE8-42E7-8874-E9102B0FC8E8}" srcOrd="0" destOrd="0" presId="urn:microsoft.com/office/officeart/2005/8/layout/equation2"/>
    <dgm:cxn modelId="{120F5854-B018-4490-99A1-B088BEDF937D}" type="presParOf" srcId="{ECF8BD02-9AE8-42E7-8874-E9102B0FC8E8}" destId="{CBFF44E0-251E-4C5C-B96B-AA7DEA27542C}" srcOrd="0" destOrd="0" presId="urn:microsoft.com/office/officeart/2005/8/layout/equation2"/>
    <dgm:cxn modelId="{7362B69E-6AF9-4C0E-A5DF-0E9D2207599F}" type="presParOf" srcId="{ECF8BD02-9AE8-42E7-8874-E9102B0FC8E8}" destId="{B39C85BC-71A8-4A4A-B2FB-8D37788C47D3}" srcOrd="1" destOrd="0" presId="urn:microsoft.com/office/officeart/2005/8/layout/equation2"/>
    <dgm:cxn modelId="{D6A4B68F-A625-4F54-A3E5-43FAF954C430}" type="presParOf" srcId="{ECF8BD02-9AE8-42E7-8874-E9102B0FC8E8}" destId="{27983256-7A58-4E99-B544-F60076B2C31D}" srcOrd="2" destOrd="0" presId="urn:microsoft.com/office/officeart/2005/8/layout/equation2"/>
    <dgm:cxn modelId="{2D58D514-8179-43DC-91E3-044CFB07974C}" type="presParOf" srcId="{ECF8BD02-9AE8-42E7-8874-E9102B0FC8E8}" destId="{14CA0EC1-A70B-4A2E-A20F-49476E7479BF}" srcOrd="3" destOrd="0" presId="urn:microsoft.com/office/officeart/2005/8/layout/equation2"/>
    <dgm:cxn modelId="{CEC8EE7C-3FF7-4F19-824C-BF24C0C903C3}" type="presParOf" srcId="{ECF8BD02-9AE8-42E7-8874-E9102B0FC8E8}" destId="{15F1FCB9-FBEE-4982-9CF9-B4CF5164D60E}" srcOrd="4" destOrd="0" presId="urn:microsoft.com/office/officeart/2005/8/layout/equation2"/>
    <dgm:cxn modelId="{60442C01-C976-4E26-9D2F-19939D3B1DCA}" type="presParOf" srcId="{EFA6C8A7-9632-4B12-B7A8-72767417D693}" destId="{67E0D459-D166-4B25-A9FF-CEC740926565}" srcOrd="1" destOrd="0" presId="urn:microsoft.com/office/officeart/2005/8/layout/equation2"/>
    <dgm:cxn modelId="{22E99DA1-108A-4A9B-A98D-890A1540F419}" type="presParOf" srcId="{67E0D459-D166-4B25-A9FF-CEC740926565}" destId="{C48C810D-18E0-4E56-A81E-F1955B819A05}" srcOrd="0" destOrd="0" presId="urn:microsoft.com/office/officeart/2005/8/layout/equation2"/>
    <dgm:cxn modelId="{F3D2FA7E-3A2A-4723-95E9-43CCA60C18DF}" type="presParOf" srcId="{EFA6C8A7-9632-4B12-B7A8-72767417D693}" destId="{4818DD58-26AD-47F4-BEFB-3F76506F88EE}" srcOrd="2" destOrd="0" presId="urn:microsoft.com/office/officeart/2005/8/layout/equation2"/>
  </dgm:cxnLst>
  <dgm:bg/>
  <dgm:whole/>
  <dgm:extLst>
    <a:ext uri="http://schemas.microsoft.com/office/drawing/2008/diagram">
      <dsp:dataModelExt xmlns:dsp="http://schemas.microsoft.com/office/drawing/2008/diagram" relId="rId47" minVer="http://schemas.openxmlformats.org/drawingml/2006/diagram"/>
    </a:ext>
  </dgm:extLst>
</dgm:dataModel>
</file>

<file path=word/diagrams/data4.xml><?xml version="1.0" encoding="utf-8"?>
<dgm:dataModel xmlns:dgm="http://schemas.openxmlformats.org/drawingml/2006/diagram" xmlns:a="http://schemas.openxmlformats.org/drawingml/2006/main">
  <dgm:ptLst>
    <dgm:pt modelId="{695285EE-F6E9-4B36-BBD2-453189569A23}" type="doc">
      <dgm:prSet loTypeId="urn:microsoft.com/office/officeart/2005/8/layout/radial5" loCatId="cycle" qsTypeId="urn:microsoft.com/office/officeart/2005/8/quickstyle/simple1" qsCatId="simple" csTypeId="urn:microsoft.com/office/officeart/2005/8/colors/accent1_2" csCatId="accent1" phldr="1"/>
      <dgm:spPr/>
      <dgm:t>
        <a:bodyPr/>
        <a:lstStyle/>
        <a:p>
          <a:endParaRPr lang="pl-PL"/>
        </a:p>
      </dgm:t>
    </dgm:pt>
    <dgm:pt modelId="{97B28B23-F91E-447D-830B-D3E169DDB770}">
      <dgm:prSet phldrT="[Tekst]" custT="1"/>
      <dgm:spPr>
        <a:solidFill>
          <a:srgbClr val="173457"/>
        </a:solidFill>
      </dgm:spPr>
      <dgm:t>
        <a:bodyPr/>
        <a:lstStyle/>
        <a:p>
          <a:pPr algn="ctr"/>
          <a:r>
            <a:rPr lang="pl-PL" sz="1300"/>
            <a:t>BARIERY</a:t>
          </a:r>
        </a:p>
      </dgm:t>
    </dgm:pt>
    <dgm:pt modelId="{C835B30C-F54F-49BF-87B1-4C3B8C1BEFEB}" type="parTrans" cxnId="{A0852219-89E9-492C-B36D-38FD31722077}">
      <dgm:prSet/>
      <dgm:spPr/>
      <dgm:t>
        <a:bodyPr/>
        <a:lstStyle/>
        <a:p>
          <a:pPr algn="ctr"/>
          <a:endParaRPr lang="pl-PL"/>
        </a:p>
      </dgm:t>
    </dgm:pt>
    <dgm:pt modelId="{300EE2B0-754E-4BE9-A0D2-535160FAC423}" type="sibTrans" cxnId="{A0852219-89E9-492C-B36D-38FD31722077}">
      <dgm:prSet/>
      <dgm:spPr/>
      <dgm:t>
        <a:bodyPr/>
        <a:lstStyle/>
        <a:p>
          <a:pPr algn="ctr"/>
          <a:endParaRPr lang="pl-PL"/>
        </a:p>
      </dgm:t>
    </dgm:pt>
    <dgm:pt modelId="{FE063084-831E-4A01-BFCB-E27BEFDC6A5B}">
      <dgm:prSet phldrT="[Tekst]" custT="1"/>
      <dgm:spPr>
        <a:solidFill>
          <a:srgbClr val="51BBB6"/>
        </a:solidFill>
        <a:ln w="19050">
          <a:solidFill>
            <a:srgbClr val="173457"/>
          </a:solidFill>
        </a:ln>
      </dgm:spPr>
      <dgm:t>
        <a:bodyPr/>
        <a:lstStyle/>
        <a:p>
          <a:pPr algn="ctr"/>
          <a:r>
            <a:rPr lang="pl-PL" sz="850" b="1"/>
            <a:t>FINANSOWE</a:t>
          </a:r>
        </a:p>
      </dgm:t>
    </dgm:pt>
    <dgm:pt modelId="{B5B4D61C-C435-4222-9C99-C121B69CE825}" type="parTrans" cxnId="{F1A8A542-1203-402B-8D2F-CEFCE7D03D8C}">
      <dgm:prSet/>
      <dgm:spPr>
        <a:solidFill>
          <a:srgbClr val="CCA879"/>
        </a:solidFill>
      </dgm:spPr>
      <dgm:t>
        <a:bodyPr/>
        <a:lstStyle/>
        <a:p>
          <a:pPr algn="ctr"/>
          <a:endParaRPr lang="pl-PL"/>
        </a:p>
      </dgm:t>
    </dgm:pt>
    <dgm:pt modelId="{113DFA7E-FA3A-4A22-8669-E0637D0C18B1}" type="sibTrans" cxnId="{F1A8A542-1203-402B-8D2F-CEFCE7D03D8C}">
      <dgm:prSet/>
      <dgm:spPr/>
      <dgm:t>
        <a:bodyPr/>
        <a:lstStyle/>
        <a:p>
          <a:pPr algn="ctr"/>
          <a:endParaRPr lang="pl-PL"/>
        </a:p>
      </dgm:t>
    </dgm:pt>
    <dgm:pt modelId="{C711CF2A-9B95-4148-8F26-246B4275EBEB}">
      <dgm:prSet phldrT="[Tekst]" phldr="1"/>
      <dgm:spPr/>
      <dgm:t>
        <a:bodyPr/>
        <a:lstStyle/>
        <a:p>
          <a:pPr algn="ctr"/>
          <a:endParaRPr lang="pl-PL"/>
        </a:p>
      </dgm:t>
    </dgm:pt>
    <dgm:pt modelId="{3B38D927-9C03-4272-B99B-E4CA054CE1F5}" type="parTrans" cxnId="{01443E19-73AA-4952-95F4-5571FA03C0DB}">
      <dgm:prSet/>
      <dgm:spPr/>
      <dgm:t>
        <a:bodyPr/>
        <a:lstStyle/>
        <a:p>
          <a:pPr algn="ctr"/>
          <a:endParaRPr lang="pl-PL"/>
        </a:p>
      </dgm:t>
    </dgm:pt>
    <dgm:pt modelId="{A9A839D6-F792-40B4-AB91-FE28C9FE41F5}" type="sibTrans" cxnId="{01443E19-73AA-4952-95F4-5571FA03C0DB}">
      <dgm:prSet/>
      <dgm:spPr/>
      <dgm:t>
        <a:bodyPr/>
        <a:lstStyle/>
        <a:p>
          <a:pPr algn="ctr"/>
          <a:endParaRPr lang="pl-PL"/>
        </a:p>
      </dgm:t>
    </dgm:pt>
    <dgm:pt modelId="{B2E45E44-7B39-4C3B-AF39-1CF45822399B}">
      <dgm:prSet phldrT="[Tekst]" custT="1"/>
      <dgm:spPr>
        <a:solidFill>
          <a:srgbClr val="51BBB6"/>
        </a:solidFill>
        <a:ln w="19050">
          <a:solidFill>
            <a:srgbClr val="173457"/>
          </a:solidFill>
        </a:ln>
      </dgm:spPr>
      <dgm:t>
        <a:bodyPr/>
        <a:lstStyle/>
        <a:p>
          <a:pPr algn="ctr">
            <a:spcAft>
              <a:spcPts val="0"/>
            </a:spcAft>
          </a:pPr>
          <a:r>
            <a:rPr lang="pl-PL" sz="900" b="1"/>
            <a:t> </a:t>
          </a:r>
          <a:r>
            <a:rPr lang="pl-PL" sz="850" b="1"/>
            <a:t>ZWIĄZANE </a:t>
          </a:r>
        </a:p>
        <a:p>
          <a:pPr algn="ctr">
            <a:spcAft>
              <a:spcPts val="0"/>
            </a:spcAft>
          </a:pPr>
          <a:r>
            <a:rPr lang="pl-PL" sz="850" b="1"/>
            <a:t>Z BRAKIEM ŚWIADOMOŚCI</a:t>
          </a:r>
        </a:p>
      </dgm:t>
    </dgm:pt>
    <dgm:pt modelId="{7A58F1CC-D422-46CA-A353-71C09D34580C}" type="parTrans" cxnId="{1AA03CD2-F4D7-4951-8458-53B1F6F90521}">
      <dgm:prSet/>
      <dgm:spPr>
        <a:solidFill>
          <a:srgbClr val="CCA879"/>
        </a:solidFill>
      </dgm:spPr>
      <dgm:t>
        <a:bodyPr/>
        <a:lstStyle/>
        <a:p>
          <a:pPr algn="ctr"/>
          <a:endParaRPr lang="pl-PL"/>
        </a:p>
      </dgm:t>
    </dgm:pt>
    <dgm:pt modelId="{50A4EA5C-7216-4771-9425-75DFF78F45D9}" type="sibTrans" cxnId="{1AA03CD2-F4D7-4951-8458-53B1F6F90521}">
      <dgm:prSet/>
      <dgm:spPr/>
      <dgm:t>
        <a:bodyPr/>
        <a:lstStyle/>
        <a:p>
          <a:pPr algn="ctr"/>
          <a:endParaRPr lang="pl-PL"/>
        </a:p>
      </dgm:t>
    </dgm:pt>
    <dgm:pt modelId="{FD96FD0D-A58F-4844-BF2F-0444DAC85B66}">
      <dgm:prSet phldrT="[Tekst]" custT="1"/>
      <dgm:spPr>
        <a:solidFill>
          <a:srgbClr val="51BBB6"/>
        </a:solidFill>
        <a:ln w="19050">
          <a:solidFill>
            <a:srgbClr val="173457"/>
          </a:solidFill>
        </a:ln>
      </dgm:spPr>
      <dgm:t>
        <a:bodyPr/>
        <a:lstStyle/>
        <a:p>
          <a:pPr algn="ctr"/>
          <a:r>
            <a:rPr lang="pl-PL" sz="850" b="1"/>
            <a:t>ORGANIZACYJNE</a:t>
          </a:r>
        </a:p>
      </dgm:t>
    </dgm:pt>
    <dgm:pt modelId="{CF11AECD-0D30-4AE4-8343-E1566898E2F4}" type="parTrans" cxnId="{94FEEF32-3C8A-4A4C-BCCA-475EBCF28E9D}">
      <dgm:prSet/>
      <dgm:spPr>
        <a:solidFill>
          <a:srgbClr val="CCA879"/>
        </a:solidFill>
      </dgm:spPr>
      <dgm:t>
        <a:bodyPr/>
        <a:lstStyle/>
        <a:p>
          <a:pPr algn="ctr"/>
          <a:endParaRPr lang="pl-PL"/>
        </a:p>
      </dgm:t>
    </dgm:pt>
    <dgm:pt modelId="{0BBC1A87-C02D-41E9-8468-C43511EED498}" type="sibTrans" cxnId="{94FEEF32-3C8A-4A4C-BCCA-475EBCF28E9D}">
      <dgm:prSet/>
      <dgm:spPr/>
      <dgm:t>
        <a:bodyPr/>
        <a:lstStyle/>
        <a:p>
          <a:pPr algn="ctr"/>
          <a:endParaRPr lang="pl-PL"/>
        </a:p>
      </dgm:t>
    </dgm:pt>
    <dgm:pt modelId="{04ED4CFC-E5EC-4403-972A-35638419B795}">
      <dgm:prSet phldrT="[Tekst]" custT="1"/>
      <dgm:spPr>
        <a:solidFill>
          <a:srgbClr val="51BBB6"/>
        </a:solidFill>
        <a:ln w="19050">
          <a:solidFill>
            <a:srgbClr val="173457"/>
          </a:solidFill>
        </a:ln>
      </dgm:spPr>
      <dgm:t>
        <a:bodyPr/>
        <a:lstStyle/>
        <a:p>
          <a:pPr algn="ctr"/>
          <a:r>
            <a:rPr lang="pl-PL" sz="850" b="1"/>
            <a:t>PRAWNE</a:t>
          </a:r>
        </a:p>
      </dgm:t>
    </dgm:pt>
    <dgm:pt modelId="{52BA37E8-9035-4A26-A68B-86F474B657E5}" type="parTrans" cxnId="{9C1C2584-97B5-45AC-9E47-FAF76614E0F0}">
      <dgm:prSet/>
      <dgm:spPr>
        <a:solidFill>
          <a:srgbClr val="CCA879"/>
        </a:solidFill>
      </dgm:spPr>
      <dgm:t>
        <a:bodyPr/>
        <a:lstStyle/>
        <a:p>
          <a:pPr algn="ctr"/>
          <a:endParaRPr lang="pl-PL"/>
        </a:p>
      </dgm:t>
    </dgm:pt>
    <dgm:pt modelId="{718C104D-10C3-4851-96C2-951AA263AA38}" type="sibTrans" cxnId="{9C1C2584-97B5-45AC-9E47-FAF76614E0F0}">
      <dgm:prSet/>
      <dgm:spPr/>
      <dgm:t>
        <a:bodyPr/>
        <a:lstStyle/>
        <a:p>
          <a:pPr algn="ctr"/>
          <a:endParaRPr lang="pl-PL"/>
        </a:p>
      </dgm:t>
    </dgm:pt>
    <dgm:pt modelId="{38FA22FB-26B0-4A15-8B71-592C8F12FC57}">
      <dgm:prSet phldrT="[Tekst]" custT="1"/>
      <dgm:spPr>
        <a:solidFill>
          <a:srgbClr val="51BBB6"/>
        </a:solidFill>
        <a:ln w="19050">
          <a:solidFill>
            <a:srgbClr val="173457"/>
          </a:solidFill>
        </a:ln>
      </dgm:spPr>
      <dgm:t>
        <a:bodyPr/>
        <a:lstStyle/>
        <a:p>
          <a:pPr algn="ctr"/>
          <a:r>
            <a:rPr lang="pl-PL" sz="850" b="1"/>
            <a:t>KADROWE</a:t>
          </a:r>
        </a:p>
      </dgm:t>
    </dgm:pt>
    <dgm:pt modelId="{C0B375DA-4649-49BE-B140-5E8CEC95636B}" type="parTrans" cxnId="{65E568E3-DAD6-4784-8B08-6D39C6FB019E}">
      <dgm:prSet/>
      <dgm:spPr>
        <a:solidFill>
          <a:srgbClr val="CCA879"/>
        </a:solidFill>
      </dgm:spPr>
      <dgm:t>
        <a:bodyPr/>
        <a:lstStyle/>
        <a:p>
          <a:pPr algn="ctr"/>
          <a:endParaRPr lang="pl-PL"/>
        </a:p>
      </dgm:t>
    </dgm:pt>
    <dgm:pt modelId="{150C8316-DA36-4722-B006-6B60B201F773}" type="sibTrans" cxnId="{65E568E3-DAD6-4784-8B08-6D39C6FB019E}">
      <dgm:prSet/>
      <dgm:spPr/>
      <dgm:t>
        <a:bodyPr/>
        <a:lstStyle/>
        <a:p>
          <a:pPr algn="ctr"/>
          <a:endParaRPr lang="pl-PL"/>
        </a:p>
      </dgm:t>
    </dgm:pt>
    <dgm:pt modelId="{D9F561D1-365C-4A64-B24E-72A6E1C38215}">
      <dgm:prSet phldrT="[Tekst]" custT="1"/>
      <dgm:spPr>
        <a:solidFill>
          <a:srgbClr val="51BBB6"/>
        </a:solidFill>
        <a:ln w="19050">
          <a:solidFill>
            <a:srgbClr val="173457"/>
          </a:solidFill>
        </a:ln>
      </dgm:spPr>
      <dgm:t>
        <a:bodyPr/>
        <a:lstStyle/>
        <a:p>
          <a:pPr algn="ctr"/>
          <a:r>
            <a:rPr lang="pl-PL" sz="850" b="1"/>
            <a:t>INFRASTRUK./</a:t>
          </a:r>
          <a:br>
            <a:rPr lang="pl-PL" sz="850" b="1"/>
          </a:br>
          <a:r>
            <a:rPr lang="pl-PL" sz="850" b="1"/>
            <a:t>TECHNOLOG.</a:t>
          </a:r>
        </a:p>
      </dgm:t>
    </dgm:pt>
    <dgm:pt modelId="{1F299192-DA30-49A3-8532-AF30B79A5E99}" type="parTrans" cxnId="{5F21DFDB-80DB-4134-88D8-7EC579BAFD96}">
      <dgm:prSet/>
      <dgm:spPr>
        <a:solidFill>
          <a:srgbClr val="CCA879"/>
        </a:solidFill>
      </dgm:spPr>
      <dgm:t>
        <a:bodyPr/>
        <a:lstStyle/>
        <a:p>
          <a:pPr algn="ctr"/>
          <a:endParaRPr lang="pl-PL"/>
        </a:p>
      </dgm:t>
    </dgm:pt>
    <dgm:pt modelId="{E2843D36-51DC-420B-8BF9-B5C6B01EAF2F}" type="sibTrans" cxnId="{5F21DFDB-80DB-4134-88D8-7EC579BAFD96}">
      <dgm:prSet/>
      <dgm:spPr/>
      <dgm:t>
        <a:bodyPr/>
        <a:lstStyle/>
        <a:p>
          <a:pPr algn="ctr"/>
          <a:endParaRPr lang="pl-PL"/>
        </a:p>
      </dgm:t>
    </dgm:pt>
    <dgm:pt modelId="{D55FAEB1-6C7E-4A33-8A09-5A1A3961BA6F}">
      <dgm:prSet phldrT="[Tekst]" custT="1"/>
      <dgm:spPr>
        <a:solidFill>
          <a:srgbClr val="51BBB6"/>
        </a:solidFill>
        <a:ln w="19050">
          <a:solidFill>
            <a:srgbClr val="173457"/>
          </a:solidFill>
        </a:ln>
      </dgm:spPr>
      <dgm:t>
        <a:bodyPr/>
        <a:lstStyle/>
        <a:p>
          <a:pPr algn="ctr"/>
          <a:r>
            <a:rPr lang="pl-PL" sz="850" b="1"/>
            <a:t>RYNKOWE</a:t>
          </a:r>
        </a:p>
      </dgm:t>
    </dgm:pt>
    <dgm:pt modelId="{879040FA-FDDB-48AE-8F74-60AAC866EE89}" type="parTrans" cxnId="{FDD5F1AE-6FEB-4E39-AF4E-CE729446AA93}">
      <dgm:prSet/>
      <dgm:spPr>
        <a:solidFill>
          <a:srgbClr val="CCA879"/>
        </a:solidFill>
      </dgm:spPr>
      <dgm:t>
        <a:bodyPr/>
        <a:lstStyle/>
        <a:p>
          <a:pPr algn="ctr"/>
          <a:endParaRPr lang="pl-PL"/>
        </a:p>
      </dgm:t>
    </dgm:pt>
    <dgm:pt modelId="{E5FFAFF5-D56C-49E4-BAFC-F40EE4D78554}" type="sibTrans" cxnId="{FDD5F1AE-6FEB-4E39-AF4E-CE729446AA93}">
      <dgm:prSet/>
      <dgm:spPr/>
      <dgm:t>
        <a:bodyPr/>
        <a:lstStyle/>
        <a:p>
          <a:pPr algn="ctr"/>
          <a:endParaRPr lang="pl-PL"/>
        </a:p>
      </dgm:t>
    </dgm:pt>
    <dgm:pt modelId="{A624D574-C072-4D37-95D6-ACE7BD15B5DF}" type="pres">
      <dgm:prSet presAssocID="{695285EE-F6E9-4B36-BBD2-453189569A23}" presName="Name0" presStyleCnt="0">
        <dgm:presLayoutVars>
          <dgm:chMax val="1"/>
          <dgm:dir/>
          <dgm:animLvl val="ctr"/>
          <dgm:resizeHandles val="exact"/>
        </dgm:presLayoutVars>
      </dgm:prSet>
      <dgm:spPr/>
      <dgm:t>
        <a:bodyPr/>
        <a:lstStyle/>
        <a:p>
          <a:endParaRPr lang="pl-PL"/>
        </a:p>
      </dgm:t>
    </dgm:pt>
    <dgm:pt modelId="{7AF0DB51-9F26-42F5-9567-9A0737A53E49}" type="pres">
      <dgm:prSet presAssocID="{97B28B23-F91E-447D-830B-D3E169DDB770}" presName="centerShape" presStyleLbl="node0" presStyleIdx="0" presStyleCnt="1" custScaleX="132000" custScaleY="90549"/>
      <dgm:spPr/>
      <dgm:t>
        <a:bodyPr/>
        <a:lstStyle/>
        <a:p>
          <a:endParaRPr lang="pl-PL"/>
        </a:p>
      </dgm:t>
    </dgm:pt>
    <dgm:pt modelId="{BEAA8C77-3C60-4F27-A74D-9674A620AAA5}" type="pres">
      <dgm:prSet presAssocID="{7A58F1CC-D422-46CA-A353-71C09D34580C}" presName="parTrans" presStyleLbl="sibTrans2D1" presStyleIdx="0" presStyleCnt="7"/>
      <dgm:spPr/>
      <dgm:t>
        <a:bodyPr/>
        <a:lstStyle/>
        <a:p>
          <a:endParaRPr lang="pl-PL"/>
        </a:p>
      </dgm:t>
    </dgm:pt>
    <dgm:pt modelId="{BDDFA0D1-E610-43D0-9772-828300E6DF4A}" type="pres">
      <dgm:prSet presAssocID="{7A58F1CC-D422-46CA-A353-71C09D34580C}" presName="connectorText" presStyleLbl="sibTrans2D1" presStyleIdx="0" presStyleCnt="7"/>
      <dgm:spPr/>
      <dgm:t>
        <a:bodyPr/>
        <a:lstStyle/>
        <a:p>
          <a:endParaRPr lang="pl-PL"/>
        </a:p>
      </dgm:t>
    </dgm:pt>
    <dgm:pt modelId="{62DBE28F-F506-4626-9844-976051CE5F4F}" type="pres">
      <dgm:prSet presAssocID="{B2E45E44-7B39-4C3B-AF39-1CF45822399B}" presName="node" presStyleLbl="node1" presStyleIdx="0" presStyleCnt="7" custScaleX="145733" custScaleY="64515" custRadScaleRad="91496" custRadScaleInc="-3773">
        <dgm:presLayoutVars>
          <dgm:bulletEnabled val="1"/>
        </dgm:presLayoutVars>
      </dgm:prSet>
      <dgm:spPr/>
      <dgm:t>
        <a:bodyPr/>
        <a:lstStyle/>
        <a:p>
          <a:endParaRPr lang="pl-PL"/>
        </a:p>
      </dgm:t>
    </dgm:pt>
    <dgm:pt modelId="{3874664F-2805-43BA-808D-0752FB13F8BB}" type="pres">
      <dgm:prSet presAssocID="{1F299192-DA30-49A3-8532-AF30B79A5E99}" presName="parTrans" presStyleLbl="sibTrans2D1" presStyleIdx="1" presStyleCnt="7"/>
      <dgm:spPr/>
      <dgm:t>
        <a:bodyPr/>
        <a:lstStyle/>
        <a:p>
          <a:endParaRPr lang="pl-PL"/>
        </a:p>
      </dgm:t>
    </dgm:pt>
    <dgm:pt modelId="{071D1C78-876C-4A9C-A8C4-ECF24FA159D4}" type="pres">
      <dgm:prSet presAssocID="{1F299192-DA30-49A3-8532-AF30B79A5E99}" presName="connectorText" presStyleLbl="sibTrans2D1" presStyleIdx="1" presStyleCnt="7"/>
      <dgm:spPr/>
      <dgm:t>
        <a:bodyPr/>
        <a:lstStyle/>
        <a:p>
          <a:endParaRPr lang="pl-PL"/>
        </a:p>
      </dgm:t>
    </dgm:pt>
    <dgm:pt modelId="{90EB0898-1C76-4F28-8AEE-CAE0C76F2793}" type="pres">
      <dgm:prSet presAssocID="{D9F561D1-365C-4A64-B24E-72A6E1C38215}" presName="node" presStyleLbl="node1" presStyleIdx="1" presStyleCnt="7" custScaleX="140769" custScaleY="64515" custRadScaleRad="125010" custRadScaleInc="48870">
        <dgm:presLayoutVars>
          <dgm:bulletEnabled val="1"/>
        </dgm:presLayoutVars>
      </dgm:prSet>
      <dgm:spPr/>
      <dgm:t>
        <a:bodyPr/>
        <a:lstStyle/>
        <a:p>
          <a:endParaRPr lang="pl-PL"/>
        </a:p>
      </dgm:t>
    </dgm:pt>
    <dgm:pt modelId="{BA4B11A1-90A0-4751-9168-41FF04CB2D68}" type="pres">
      <dgm:prSet presAssocID="{B5B4D61C-C435-4222-9C99-C121B69CE825}" presName="parTrans" presStyleLbl="sibTrans2D1" presStyleIdx="2" presStyleCnt="7"/>
      <dgm:spPr/>
      <dgm:t>
        <a:bodyPr/>
        <a:lstStyle/>
        <a:p>
          <a:endParaRPr lang="pl-PL"/>
        </a:p>
      </dgm:t>
    </dgm:pt>
    <dgm:pt modelId="{5E72E746-A317-41F9-8DD3-DF547A2D2DF6}" type="pres">
      <dgm:prSet presAssocID="{B5B4D61C-C435-4222-9C99-C121B69CE825}" presName="connectorText" presStyleLbl="sibTrans2D1" presStyleIdx="2" presStyleCnt="7"/>
      <dgm:spPr/>
      <dgm:t>
        <a:bodyPr/>
        <a:lstStyle/>
        <a:p>
          <a:endParaRPr lang="pl-PL"/>
        </a:p>
      </dgm:t>
    </dgm:pt>
    <dgm:pt modelId="{05A90B3C-33A1-4DB5-9D31-0352CD2FE5E6}" type="pres">
      <dgm:prSet presAssocID="{FE063084-831E-4A01-BFCB-E27BEFDC6A5B}" presName="node" presStyleLbl="node1" presStyleIdx="2" presStyleCnt="7" custScaleX="144527" custScaleY="67091" custRadScaleRad="128004" custRadScaleInc="-16822">
        <dgm:presLayoutVars>
          <dgm:bulletEnabled val="1"/>
        </dgm:presLayoutVars>
      </dgm:prSet>
      <dgm:spPr/>
      <dgm:t>
        <a:bodyPr/>
        <a:lstStyle/>
        <a:p>
          <a:endParaRPr lang="pl-PL"/>
        </a:p>
      </dgm:t>
    </dgm:pt>
    <dgm:pt modelId="{E3CC0C3A-677D-4E31-95D1-0DC679552D50}" type="pres">
      <dgm:prSet presAssocID="{879040FA-FDDB-48AE-8F74-60AAC866EE89}" presName="parTrans" presStyleLbl="sibTrans2D1" presStyleIdx="3" presStyleCnt="7"/>
      <dgm:spPr/>
      <dgm:t>
        <a:bodyPr/>
        <a:lstStyle/>
        <a:p>
          <a:endParaRPr lang="pl-PL"/>
        </a:p>
      </dgm:t>
    </dgm:pt>
    <dgm:pt modelId="{701A5948-66A1-45A5-BCBD-6349133A72BB}" type="pres">
      <dgm:prSet presAssocID="{879040FA-FDDB-48AE-8F74-60AAC866EE89}" presName="connectorText" presStyleLbl="sibTrans2D1" presStyleIdx="3" presStyleCnt="7"/>
      <dgm:spPr/>
      <dgm:t>
        <a:bodyPr/>
        <a:lstStyle/>
        <a:p>
          <a:endParaRPr lang="pl-PL"/>
        </a:p>
      </dgm:t>
    </dgm:pt>
    <dgm:pt modelId="{C22AA92A-046C-401A-9652-C7D4FB55B2B7}" type="pres">
      <dgm:prSet presAssocID="{D55FAEB1-6C7E-4A33-8A09-5A1A3961BA6F}" presName="node" presStyleLbl="node1" presStyleIdx="3" presStyleCnt="7" custScaleX="154081" custScaleY="67091" custRadScaleRad="103695" custRadScaleInc="-58283">
        <dgm:presLayoutVars>
          <dgm:bulletEnabled val="1"/>
        </dgm:presLayoutVars>
      </dgm:prSet>
      <dgm:spPr/>
      <dgm:t>
        <a:bodyPr/>
        <a:lstStyle/>
        <a:p>
          <a:endParaRPr lang="pl-PL"/>
        </a:p>
      </dgm:t>
    </dgm:pt>
    <dgm:pt modelId="{62CA5AB3-54D2-4E97-9F1A-3B6163F71B7F}" type="pres">
      <dgm:prSet presAssocID="{CF11AECD-0D30-4AE4-8343-E1566898E2F4}" presName="parTrans" presStyleLbl="sibTrans2D1" presStyleIdx="4" presStyleCnt="7"/>
      <dgm:spPr/>
      <dgm:t>
        <a:bodyPr/>
        <a:lstStyle/>
        <a:p>
          <a:endParaRPr lang="pl-PL"/>
        </a:p>
      </dgm:t>
    </dgm:pt>
    <dgm:pt modelId="{040FB4C5-BBC8-419B-A070-9B759DBF39D7}" type="pres">
      <dgm:prSet presAssocID="{CF11AECD-0D30-4AE4-8343-E1566898E2F4}" presName="connectorText" presStyleLbl="sibTrans2D1" presStyleIdx="4" presStyleCnt="7"/>
      <dgm:spPr/>
      <dgm:t>
        <a:bodyPr/>
        <a:lstStyle/>
        <a:p>
          <a:endParaRPr lang="pl-PL"/>
        </a:p>
      </dgm:t>
    </dgm:pt>
    <dgm:pt modelId="{FAD60A75-BDBF-41FA-AC84-FE8A5E9E678A}" type="pres">
      <dgm:prSet presAssocID="{FD96FD0D-A58F-4844-BF2F-0444DAC85B66}" presName="node" presStyleLbl="node1" presStyleIdx="4" presStyleCnt="7" custScaleX="160721" custScaleY="67091" custRadScaleRad="101983" custRadScaleInc="56619">
        <dgm:presLayoutVars>
          <dgm:bulletEnabled val="1"/>
        </dgm:presLayoutVars>
      </dgm:prSet>
      <dgm:spPr/>
      <dgm:t>
        <a:bodyPr/>
        <a:lstStyle/>
        <a:p>
          <a:endParaRPr lang="pl-PL"/>
        </a:p>
      </dgm:t>
    </dgm:pt>
    <dgm:pt modelId="{6EF3BD34-BF6D-478A-A3DF-5CC513501F9B}" type="pres">
      <dgm:prSet presAssocID="{52BA37E8-9035-4A26-A68B-86F474B657E5}" presName="parTrans" presStyleLbl="sibTrans2D1" presStyleIdx="5" presStyleCnt="7"/>
      <dgm:spPr/>
      <dgm:t>
        <a:bodyPr/>
        <a:lstStyle/>
        <a:p>
          <a:endParaRPr lang="pl-PL"/>
        </a:p>
      </dgm:t>
    </dgm:pt>
    <dgm:pt modelId="{D627F23C-8D74-45FA-AF35-1061A568F786}" type="pres">
      <dgm:prSet presAssocID="{52BA37E8-9035-4A26-A68B-86F474B657E5}" presName="connectorText" presStyleLbl="sibTrans2D1" presStyleIdx="5" presStyleCnt="7"/>
      <dgm:spPr/>
      <dgm:t>
        <a:bodyPr/>
        <a:lstStyle/>
        <a:p>
          <a:endParaRPr lang="pl-PL"/>
        </a:p>
      </dgm:t>
    </dgm:pt>
    <dgm:pt modelId="{2D7C0AFD-91F2-489C-8B62-8FABEACBB9E1}" type="pres">
      <dgm:prSet presAssocID="{04ED4CFC-E5EC-4403-972A-35638419B795}" presName="node" presStyleLbl="node1" presStyleIdx="5" presStyleCnt="7" custScaleX="144527" custScaleY="67091" custRadScaleRad="128258" custRadScaleInc="20594">
        <dgm:presLayoutVars>
          <dgm:bulletEnabled val="1"/>
        </dgm:presLayoutVars>
      </dgm:prSet>
      <dgm:spPr/>
      <dgm:t>
        <a:bodyPr/>
        <a:lstStyle/>
        <a:p>
          <a:endParaRPr lang="pl-PL"/>
        </a:p>
      </dgm:t>
    </dgm:pt>
    <dgm:pt modelId="{C0889C18-C450-4D23-814A-E3E7311F4B1B}" type="pres">
      <dgm:prSet presAssocID="{C0B375DA-4649-49BE-B140-5E8CEC95636B}" presName="parTrans" presStyleLbl="sibTrans2D1" presStyleIdx="6" presStyleCnt="7"/>
      <dgm:spPr/>
      <dgm:t>
        <a:bodyPr/>
        <a:lstStyle/>
        <a:p>
          <a:endParaRPr lang="pl-PL"/>
        </a:p>
      </dgm:t>
    </dgm:pt>
    <dgm:pt modelId="{E6C13CA7-92C8-40EE-BEF4-2A127D84B8AF}" type="pres">
      <dgm:prSet presAssocID="{C0B375DA-4649-49BE-B140-5E8CEC95636B}" presName="connectorText" presStyleLbl="sibTrans2D1" presStyleIdx="6" presStyleCnt="7"/>
      <dgm:spPr/>
      <dgm:t>
        <a:bodyPr/>
        <a:lstStyle/>
        <a:p>
          <a:endParaRPr lang="pl-PL"/>
        </a:p>
      </dgm:t>
    </dgm:pt>
    <dgm:pt modelId="{E27970B1-A247-411A-9966-6B030C454C4B}" type="pres">
      <dgm:prSet presAssocID="{38FA22FB-26B0-4A15-8B71-592C8F12FC57}" presName="node" presStyleLbl="node1" presStyleIdx="6" presStyleCnt="7" custScaleX="144527" custScaleY="67091" custRadScaleRad="121934" custRadScaleInc="-50552">
        <dgm:presLayoutVars>
          <dgm:bulletEnabled val="1"/>
        </dgm:presLayoutVars>
      </dgm:prSet>
      <dgm:spPr/>
      <dgm:t>
        <a:bodyPr/>
        <a:lstStyle/>
        <a:p>
          <a:endParaRPr lang="pl-PL"/>
        </a:p>
      </dgm:t>
    </dgm:pt>
  </dgm:ptLst>
  <dgm:cxnLst>
    <dgm:cxn modelId="{94FEEF32-3C8A-4A4C-BCCA-475EBCF28E9D}" srcId="{97B28B23-F91E-447D-830B-D3E169DDB770}" destId="{FD96FD0D-A58F-4844-BF2F-0444DAC85B66}" srcOrd="4" destOrd="0" parTransId="{CF11AECD-0D30-4AE4-8343-E1566898E2F4}" sibTransId="{0BBC1A87-C02D-41E9-8468-C43511EED498}"/>
    <dgm:cxn modelId="{FDD5F1AE-6FEB-4E39-AF4E-CE729446AA93}" srcId="{97B28B23-F91E-447D-830B-D3E169DDB770}" destId="{D55FAEB1-6C7E-4A33-8A09-5A1A3961BA6F}" srcOrd="3" destOrd="0" parTransId="{879040FA-FDDB-48AE-8F74-60AAC866EE89}" sibTransId="{E5FFAFF5-D56C-49E4-BAFC-F40EE4D78554}"/>
    <dgm:cxn modelId="{5F21DFDB-80DB-4134-88D8-7EC579BAFD96}" srcId="{97B28B23-F91E-447D-830B-D3E169DDB770}" destId="{D9F561D1-365C-4A64-B24E-72A6E1C38215}" srcOrd="1" destOrd="0" parTransId="{1F299192-DA30-49A3-8532-AF30B79A5E99}" sibTransId="{E2843D36-51DC-420B-8BF9-B5C6B01EAF2F}"/>
    <dgm:cxn modelId="{8F23E8EE-4580-4B89-8058-1F539CFD0072}" type="presOf" srcId="{879040FA-FDDB-48AE-8F74-60AAC866EE89}" destId="{701A5948-66A1-45A5-BCBD-6349133A72BB}" srcOrd="1" destOrd="0" presId="urn:microsoft.com/office/officeart/2005/8/layout/radial5"/>
    <dgm:cxn modelId="{6A4CA29F-5EA4-4DC5-85B7-B8599BA8DCB0}" type="presOf" srcId="{04ED4CFC-E5EC-4403-972A-35638419B795}" destId="{2D7C0AFD-91F2-489C-8B62-8FABEACBB9E1}" srcOrd="0" destOrd="0" presId="urn:microsoft.com/office/officeart/2005/8/layout/radial5"/>
    <dgm:cxn modelId="{29BFD221-C853-4302-BA7F-35DCC552034E}" type="presOf" srcId="{D9F561D1-365C-4A64-B24E-72A6E1C38215}" destId="{90EB0898-1C76-4F28-8AEE-CAE0C76F2793}" srcOrd="0" destOrd="0" presId="urn:microsoft.com/office/officeart/2005/8/layout/radial5"/>
    <dgm:cxn modelId="{C7B800CC-BABB-4951-96C6-E1C2351F8F36}" type="presOf" srcId="{52BA37E8-9035-4A26-A68B-86F474B657E5}" destId="{6EF3BD34-BF6D-478A-A3DF-5CC513501F9B}" srcOrd="0" destOrd="0" presId="urn:microsoft.com/office/officeart/2005/8/layout/radial5"/>
    <dgm:cxn modelId="{A0852219-89E9-492C-B36D-38FD31722077}" srcId="{695285EE-F6E9-4B36-BBD2-453189569A23}" destId="{97B28B23-F91E-447D-830B-D3E169DDB770}" srcOrd="0" destOrd="0" parTransId="{C835B30C-F54F-49BF-87B1-4C3B8C1BEFEB}" sibTransId="{300EE2B0-754E-4BE9-A0D2-535160FAC423}"/>
    <dgm:cxn modelId="{1AA03CD2-F4D7-4951-8458-53B1F6F90521}" srcId="{97B28B23-F91E-447D-830B-D3E169DDB770}" destId="{B2E45E44-7B39-4C3B-AF39-1CF45822399B}" srcOrd="0" destOrd="0" parTransId="{7A58F1CC-D422-46CA-A353-71C09D34580C}" sibTransId="{50A4EA5C-7216-4771-9425-75DFF78F45D9}"/>
    <dgm:cxn modelId="{557F1CB4-FC3C-4C8D-816C-E878AA135A6F}" type="presOf" srcId="{B2E45E44-7B39-4C3B-AF39-1CF45822399B}" destId="{62DBE28F-F506-4626-9844-976051CE5F4F}" srcOrd="0" destOrd="0" presId="urn:microsoft.com/office/officeart/2005/8/layout/radial5"/>
    <dgm:cxn modelId="{65E568E3-DAD6-4784-8B08-6D39C6FB019E}" srcId="{97B28B23-F91E-447D-830B-D3E169DDB770}" destId="{38FA22FB-26B0-4A15-8B71-592C8F12FC57}" srcOrd="6" destOrd="0" parTransId="{C0B375DA-4649-49BE-B140-5E8CEC95636B}" sibTransId="{150C8316-DA36-4722-B006-6B60B201F773}"/>
    <dgm:cxn modelId="{DEB61076-D940-4BED-A7F3-8B0A27481215}" type="presOf" srcId="{FD96FD0D-A58F-4844-BF2F-0444DAC85B66}" destId="{FAD60A75-BDBF-41FA-AC84-FE8A5E9E678A}" srcOrd="0" destOrd="0" presId="urn:microsoft.com/office/officeart/2005/8/layout/radial5"/>
    <dgm:cxn modelId="{6CA08586-918C-4B49-9218-292558821CFB}" type="presOf" srcId="{C0B375DA-4649-49BE-B140-5E8CEC95636B}" destId="{C0889C18-C450-4D23-814A-E3E7311F4B1B}" srcOrd="0" destOrd="0" presId="urn:microsoft.com/office/officeart/2005/8/layout/radial5"/>
    <dgm:cxn modelId="{549621B0-FFFB-49FA-89D7-19097530A1E6}" type="presOf" srcId="{695285EE-F6E9-4B36-BBD2-453189569A23}" destId="{A624D574-C072-4D37-95D6-ACE7BD15B5DF}" srcOrd="0" destOrd="0" presId="urn:microsoft.com/office/officeart/2005/8/layout/radial5"/>
    <dgm:cxn modelId="{84251986-15B4-4271-B272-E1DF1D1959F1}" type="presOf" srcId="{D55FAEB1-6C7E-4A33-8A09-5A1A3961BA6F}" destId="{C22AA92A-046C-401A-9652-C7D4FB55B2B7}" srcOrd="0" destOrd="0" presId="urn:microsoft.com/office/officeart/2005/8/layout/radial5"/>
    <dgm:cxn modelId="{54D620A9-38C8-4BE9-A0AE-475BC823A13C}" type="presOf" srcId="{C0B375DA-4649-49BE-B140-5E8CEC95636B}" destId="{E6C13CA7-92C8-40EE-BEF4-2A127D84B8AF}" srcOrd="1" destOrd="0" presId="urn:microsoft.com/office/officeart/2005/8/layout/radial5"/>
    <dgm:cxn modelId="{57A44B8F-8E81-4460-BC46-40526F77D26B}" type="presOf" srcId="{7A58F1CC-D422-46CA-A353-71C09D34580C}" destId="{BDDFA0D1-E610-43D0-9772-828300E6DF4A}" srcOrd="1" destOrd="0" presId="urn:microsoft.com/office/officeart/2005/8/layout/radial5"/>
    <dgm:cxn modelId="{4B16168B-E02A-4AAC-9653-EF9D4582EE7C}" type="presOf" srcId="{CF11AECD-0D30-4AE4-8343-E1566898E2F4}" destId="{040FB4C5-BBC8-419B-A070-9B759DBF39D7}" srcOrd="1" destOrd="0" presId="urn:microsoft.com/office/officeart/2005/8/layout/radial5"/>
    <dgm:cxn modelId="{3281ECEB-719E-47F1-B31A-38D7CBB81681}" type="presOf" srcId="{B5B4D61C-C435-4222-9C99-C121B69CE825}" destId="{BA4B11A1-90A0-4751-9168-41FF04CB2D68}" srcOrd="0" destOrd="0" presId="urn:microsoft.com/office/officeart/2005/8/layout/radial5"/>
    <dgm:cxn modelId="{16F68DC5-FFC0-445E-9A37-B5B6975B8787}" type="presOf" srcId="{52BA37E8-9035-4A26-A68B-86F474B657E5}" destId="{D627F23C-8D74-45FA-AF35-1061A568F786}" srcOrd="1" destOrd="0" presId="urn:microsoft.com/office/officeart/2005/8/layout/radial5"/>
    <dgm:cxn modelId="{7516F6DC-47D3-44FA-896F-BA17B28FEB80}" type="presOf" srcId="{B5B4D61C-C435-4222-9C99-C121B69CE825}" destId="{5E72E746-A317-41F9-8DD3-DF547A2D2DF6}" srcOrd="1" destOrd="0" presId="urn:microsoft.com/office/officeart/2005/8/layout/radial5"/>
    <dgm:cxn modelId="{01443E19-73AA-4952-95F4-5571FA03C0DB}" srcId="{695285EE-F6E9-4B36-BBD2-453189569A23}" destId="{C711CF2A-9B95-4148-8F26-246B4275EBEB}" srcOrd="1" destOrd="0" parTransId="{3B38D927-9C03-4272-B99B-E4CA054CE1F5}" sibTransId="{A9A839D6-F792-40B4-AB91-FE28C9FE41F5}"/>
    <dgm:cxn modelId="{8175E71B-64F7-4CEA-BC3C-BD5A0DB7DC8C}" type="presOf" srcId="{FE063084-831E-4A01-BFCB-E27BEFDC6A5B}" destId="{05A90B3C-33A1-4DB5-9D31-0352CD2FE5E6}" srcOrd="0" destOrd="0" presId="urn:microsoft.com/office/officeart/2005/8/layout/radial5"/>
    <dgm:cxn modelId="{D6C0EBAA-4BA0-41CF-BF7D-70B702A21F88}" type="presOf" srcId="{38FA22FB-26B0-4A15-8B71-592C8F12FC57}" destId="{E27970B1-A247-411A-9966-6B030C454C4B}" srcOrd="0" destOrd="0" presId="urn:microsoft.com/office/officeart/2005/8/layout/radial5"/>
    <dgm:cxn modelId="{80D8BDF8-7113-45F0-BB9F-AAEB69DA4346}" type="presOf" srcId="{1F299192-DA30-49A3-8532-AF30B79A5E99}" destId="{071D1C78-876C-4A9C-A8C4-ECF24FA159D4}" srcOrd="1" destOrd="0" presId="urn:microsoft.com/office/officeart/2005/8/layout/radial5"/>
    <dgm:cxn modelId="{9C5D84F3-5D19-4DB4-BE74-D5F40EE115F1}" type="presOf" srcId="{879040FA-FDDB-48AE-8F74-60AAC866EE89}" destId="{E3CC0C3A-677D-4E31-95D1-0DC679552D50}" srcOrd="0" destOrd="0" presId="urn:microsoft.com/office/officeart/2005/8/layout/radial5"/>
    <dgm:cxn modelId="{26EDA539-577A-4BC2-AE71-6DC72E088BA7}" type="presOf" srcId="{7A58F1CC-D422-46CA-A353-71C09D34580C}" destId="{BEAA8C77-3C60-4F27-A74D-9674A620AAA5}" srcOrd="0" destOrd="0" presId="urn:microsoft.com/office/officeart/2005/8/layout/radial5"/>
    <dgm:cxn modelId="{73716BA1-DC48-45CF-B864-7B04EDEB8BEF}" type="presOf" srcId="{97B28B23-F91E-447D-830B-D3E169DDB770}" destId="{7AF0DB51-9F26-42F5-9567-9A0737A53E49}" srcOrd="0" destOrd="0" presId="urn:microsoft.com/office/officeart/2005/8/layout/radial5"/>
    <dgm:cxn modelId="{F1A8A542-1203-402B-8D2F-CEFCE7D03D8C}" srcId="{97B28B23-F91E-447D-830B-D3E169DDB770}" destId="{FE063084-831E-4A01-BFCB-E27BEFDC6A5B}" srcOrd="2" destOrd="0" parTransId="{B5B4D61C-C435-4222-9C99-C121B69CE825}" sibTransId="{113DFA7E-FA3A-4A22-8669-E0637D0C18B1}"/>
    <dgm:cxn modelId="{8B10A343-8B40-4403-87A6-775B8CFAEDB1}" type="presOf" srcId="{1F299192-DA30-49A3-8532-AF30B79A5E99}" destId="{3874664F-2805-43BA-808D-0752FB13F8BB}" srcOrd="0" destOrd="0" presId="urn:microsoft.com/office/officeart/2005/8/layout/radial5"/>
    <dgm:cxn modelId="{9C1C2584-97B5-45AC-9E47-FAF76614E0F0}" srcId="{97B28B23-F91E-447D-830B-D3E169DDB770}" destId="{04ED4CFC-E5EC-4403-972A-35638419B795}" srcOrd="5" destOrd="0" parTransId="{52BA37E8-9035-4A26-A68B-86F474B657E5}" sibTransId="{718C104D-10C3-4851-96C2-951AA263AA38}"/>
    <dgm:cxn modelId="{CA6009F5-74A9-47A0-A6FA-F3F3D2D9B96C}" type="presOf" srcId="{CF11AECD-0D30-4AE4-8343-E1566898E2F4}" destId="{62CA5AB3-54D2-4E97-9F1A-3B6163F71B7F}" srcOrd="0" destOrd="0" presId="urn:microsoft.com/office/officeart/2005/8/layout/radial5"/>
    <dgm:cxn modelId="{5874ADDF-D6DC-4481-83B8-563971D1D5FC}" type="presParOf" srcId="{A624D574-C072-4D37-95D6-ACE7BD15B5DF}" destId="{7AF0DB51-9F26-42F5-9567-9A0737A53E49}" srcOrd="0" destOrd="0" presId="urn:microsoft.com/office/officeart/2005/8/layout/radial5"/>
    <dgm:cxn modelId="{AAA8F96C-5C11-430B-B88D-E71284ADDE80}" type="presParOf" srcId="{A624D574-C072-4D37-95D6-ACE7BD15B5DF}" destId="{BEAA8C77-3C60-4F27-A74D-9674A620AAA5}" srcOrd="1" destOrd="0" presId="urn:microsoft.com/office/officeart/2005/8/layout/radial5"/>
    <dgm:cxn modelId="{5F78DBE9-04E8-4F0D-ABEA-6F738347D697}" type="presParOf" srcId="{BEAA8C77-3C60-4F27-A74D-9674A620AAA5}" destId="{BDDFA0D1-E610-43D0-9772-828300E6DF4A}" srcOrd="0" destOrd="0" presId="urn:microsoft.com/office/officeart/2005/8/layout/radial5"/>
    <dgm:cxn modelId="{F394A017-2DC7-42C1-90D8-CE2AF7F92553}" type="presParOf" srcId="{A624D574-C072-4D37-95D6-ACE7BD15B5DF}" destId="{62DBE28F-F506-4626-9844-976051CE5F4F}" srcOrd="2" destOrd="0" presId="urn:microsoft.com/office/officeart/2005/8/layout/radial5"/>
    <dgm:cxn modelId="{CE9F24E1-1461-41BB-9F61-15B1A98A90F2}" type="presParOf" srcId="{A624D574-C072-4D37-95D6-ACE7BD15B5DF}" destId="{3874664F-2805-43BA-808D-0752FB13F8BB}" srcOrd="3" destOrd="0" presId="urn:microsoft.com/office/officeart/2005/8/layout/radial5"/>
    <dgm:cxn modelId="{2E660AF0-3593-4A41-8C4C-19620F176616}" type="presParOf" srcId="{3874664F-2805-43BA-808D-0752FB13F8BB}" destId="{071D1C78-876C-4A9C-A8C4-ECF24FA159D4}" srcOrd="0" destOrd="0" presId="urn:microsoft.com/office/officeart/2005/8/layout/radial5"/>
    <dgm:cxn modelId="{975CF779-78C0-47B0-857A-6DFCAEC5CBBD}" type="presParOf" srcId="{A624D574-C072-4D37-95D6-ACE7BD15B5DF}" destId="{90EB0898-1C76-4F28-8AEE-CAE0C76F2793}" srcOrd="4" destOrd="0" presId="urn:microsoft.com/office/officeart/2005/8/layout/radial5"/>
    <dgm:cxn modelId="{C78F18CF-3F23-4D8B-8C69-F3579EBBFE95}" type="presParOf" srcId="{A624D574-C072-4D37-95D6-ACE7BD15B5DF}" destId="{BA4B11A1-90A0-4751-9168-41FF04CB2D68}" srcOrd="5" destOrd="0" presId="urn:microsoft.com/office/officeart/2005/8/layout/radial5"/>
    <dgm:cxn modelId="{E4199129-AC98-4F9F-AE41-7530DB115C88}" type="presParOf" srcId="{BA4B11A1-90A0-4751-9168-41FF04CB2D68}" destId="{5E72E746-A317-41F9-8DD3-DF547A2D2DF6}" srcOrd="0" destOrd="0" presId="urn:microsoft.com/office/officeart/2005/8/layout/radial5"/>
    <dgm:cxn modelId="{F9E3C670-753B-47E8-B975-FAA748C7765D}" type="presParOf" srcId="{A624D574-C072-4D37-95D6-ACE7BD15B5DF}" destId="{05A90B3C-33A1-4DB5-9D31-0352CD2FE5E6}" srcOrd="6" destOrd="0" presId="urn:microsoft.com/office/officeart/2005/8/layout/radial5"/>
    <dgm:cxn modelId="{5D28A333-2D78-4B74-A9EC-B3F1A8EB1C53}" type="presParOf" srcId="{A624D574-C072-4D37-95D6-ACE7BD15B5DF}" destId="{E3CC0C3A-677D-4E31-95D1-0DC679552D50}" srcOrd="7" destOrd="0" presId="urn:microsoft.com/office/officeart/2005/8/layout/radial5"/>
    <dgm:cxn modelId="{32D554B0-453B-4707-95F7-00D305F62B11}" type="presParOf" srcId="{E3CC0C3A-677D-4E31-95D1-0DC679552D50}" destId="{701A5948-66A1-45A5-BCBD-6349133A72BB}" srcOrd="0" destOrd="0" presId="urn:microsoft.com/office/officeart/2005/8/layout/radial5"/>
    <dgm:cxn modelId="{DFB278FC-5DB1-450E-837A-65F746EEF72C}" type="presParOf" srcId="{A624D574-C072-4D37-95D6-ACE7BD15B5DF}" destId="{C22AA92A-046C-401A-9652-C7D4FB55B2B7}" srcOrd="8" destOrd="0" presId="urn:microsoft.com/office/officeart/2005/8/layout/radial5"/>
    <dgm:cxn modelId="{FDCB206A-2F05-43EE-8D9A-830650A2859A}" type="presParOf" srcId="{A624D574-C072-4D37-95D6-ACE7BD15B5DF}" destId="{62CA5AB3-54D2-4E97-9F1A-3B6163F71B7F}" srcOrd="9" destOrd="0" presId="urn:microsoft.com/office/officeart/2005/8/layout/radial5"/>
    <dgm:cxn modelId="{A8FAD11D-9157-4C56-B81C-3B81416D5106}" type="presParOf" srcId="{62CA5AB3-54D2-4E97-9F1A-3B6163F71B7F}" destId="{040FB4C5-BBC8-419B-A070-9B759DBF39D7}" srcOrd="0" destOrd="0" presId="urn:microsoft.com/office/officeart/2005/8/layout/radial5"/>
    <dgm:cxn modelId="{F24E1D05-8119-4BEA-A564-E55C64DB60E0}" type="presParOf" srcId="{A624D574-C072-4D37-95D6-ACE7BD15B5DF}" destId="{FAD60A75-BDBF-41FA-AC84-FE8A5E9E678A}" srcOrd="10" destOrd="0" presId="urn:microsoft.com/office/officeart/2005/8/layout/radial5"/>
    <dgm:cxn modelId="{4F1F9237-1DA6-4D0F-BF1B-1B4251C632FD}" type="presParOf" srcId="{A624D574-C072-4D37-95D6-ACE7BD15B5DF}" destId="{6EF3BD34-BF6D-478A-A3DF-5CC513501F9B}" srcOrd="11" destOrd="0" presId="urn:microsoft.com/office/officeart/2005/8/layout/radial5"/>
    <dgm:cxn modelId="{36E208F7-5BC7-48B6-AB08-76806F9EBBFA}" type="presParOf" srcId="{6EF3BD34-BF6D-478A-A3DF-5CC513501F9B}" destId="{D627F23C-8D74-45FA-AF35-1061A568F786}" srcOrd="0" destOrd="0" presId="urn:microsoft.com/office/officeart/2005/8/layout/radial5"/>
    <dgm:cxn modelId="{78F01FBF-0BA9-4058-831D-02FC24688926}" type="presParOf" srcId="{A624D574-C072-4D37-95D6-ACE7BD15B5DF}" destId="{2D7C0AFD-91F2-489C-8B62-8FABEACBB9E1}" srcOrd="12" destOrd="0" presId="urn:microsoft.com/office/officeart/2005/8/layout/radial5"/>
    <dgm:cxn modelId="{A6C0DD7C-4A0B-4F8C-8717-005C36D65560}" type="presParOf" srcId="{A624D574-C072-4D37-95D6-ACE7BD15B5DF}" destId="{C0889C18-C450-4D23-814A-E3E7311F4B1B}" srcOrd="13" destOrd="0" presId="urn:microsoft.com/office/officeart/2005/8/layout/radial5"/>
    <dgm:cxn modelId="{DCAB836F-A33E-41EB-9047-68D0ED6A8FC2}" type="presParOf" srcId="{C0889C18-C450-4D23-814A-E3E7311F4B1B}" destId="{E6C13CA7-92C8-40EE-BEF4-2A127D84B8AF}" srcOrd="0" destOrd="0" presId="urn:microsoft.com/office/officeart/2005/8/layout/radial5"/>
    <dgm:cxn modelId="{5D62CEC5-12DD-4201-842D-257C139D3897}" type="presParOf" srcId="{A624D574-C072-4D37-95D6-ACE7BD15B5DF}" destId="{E27970B1-A247-411A-9966-6B030C454C4B}" srcOrd="14" destOrd="0" presId="urn:microsoft.com/office/officeart/2005/8/layout/radial5"/>
  </dgm:cxnLst>
  <dgm:bg/>
  <dgm:whole/>
  <dgm:extLst>
    <a:ext uri="http://schemas.microsoft.com/office/drawing/2008/diagram">
      <dsp:dataModelExt xmlns:dsp="http://schemas.microsoft.com/office/drawing/2008/diagram" relId="rId76"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7C8ED22F-9822-4DED-925F-4C2AF5EC9F50}">
      <dsp:nvSpPr>
        <dsp:cNvPr id="0" name=""/>
        <dsp:cNvSpPr/>
      </dsp:nvSpPr>
      <dsp:spPr>
        <a:xfrm>
          <a:off x="2368" y="16395"/>
          <a:ext cx="867148" cy="595148"/>
        </a:xfrm>
        <a:prstGeom prst="roundRect">
          <a:avLst>
            <a:gd name="adj" fmla="val 10000"/>
          </a:avLst>
        </a:prstGeom>
        <a:solidFill>
          <a:srgbClr val="173457"/>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5240" tIns="10160" rIns="15240" bIns="10160" numCol="1" spcCol="1270" anchor="ctr" anchorCtr="0">
          <a:noAutofit/>
        </a:bodyPr>
        <a:lstStyle/>
        <a:p>
          <a:pPr lvl="0" algn="ctr" defTabSz="355600">
            <a:lnSpc>
              <a:spcPct val="90000"/>
            </a:lnSpc>
            <a:spcBef>
              <a:spcPct val="0"/>
            </a:spcBef>
            <a:spcAft>
              <a:spcPct val="35000"/>
            </a:spcAft>
          </a:pPr>
          <a:r>
            <a:rPr lang="pl-PL" sz="800" kern="1200">
              <a:latin typeface="Arial" panose="020B0604020202020204" pitchFamily="34" charset="0"/>
              <a:cs typeface="Arial" panose="020B0604020202020204" pitchFamily="34" charset="0"/>
            </a:rPr>
            <a:t>Zrównoważona produkcja przemysłowa</a:t>
          </a:r>
        </a:p>
      </dsp:txBody>
      <dsp:txXfrm>
        <a:off x="19799" y="33826"/>
        <a:ext cx="832286" cy="560286"/>
      </dsp:txXfrm>
    </dsp:sp>
    <dsp:sp modelId="{08652A0A-1C0E-4953-B7D3-E2E2788CEA84}">
      <dsp:nvSpPr>
        <dsp:cNvPr id="0" name=""/>
        <dsp:cNvSpPr/>
      </dsp:nvSpPr>
      <dsp:spPr>
        <a:xfrm>
          <a:off x="43362" y="611543"/>
          <a:ext cx="91440" cy="406324"/>
        </a:xfrm>
        <a:custGeom>
          <a:avLst/>
          <a:gdLst/>
          <a:ahLst/>
          <a:cxnLst/>
          <a:rect l="0" t="0" r="0" b="0"/>
          <a:pathLst>
            <a:path>
              <a:moveTo>
                <a:pt x="45720" y="0"/>
              </a:moveTo>
              <a:lnTo>
                <a:pt x="45720" y="406324"/>
              </a:lnTo>
              <a:lnTo>
                <a:pt x="132434" y="406324"/>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9D0E203A-8D02-4EC6-BBB9-E6949ACB472C}">
      <dsp:nvSpPr>
        <dsp:cNvPr id="0" name=""/>
        <dsp:cNvSpPr/>
      </dsp:nvSpPr>
      <dsp:spPr>
        <a:xfrm>
          <a:off x="175797" y="676354"/>
          <a:ext cx="829484" cy="683027"/>
        </a:xfrm>
        <a:prstGeom prst="roundRect">
          <a:avLst>
            <a:gd name="adj" fmla="val 10000"/>
          </a:avLst>
        </a:prstGeom>
        <a:solidFill>
          <a:srgbClr val="51BBB6">
            <a:alpha val="90000"/>
          </a:srgb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13335" tIns="8890" rIns="13335" bIns="8890" numCol="1" spcCol="1270" anchor="ctr" anchorCtr="0">
          <a:noAutofit/>
        </a:bodyPr>
        <a:lstStyle/>
        <a:p>
          <a:pPr lvl="0" algn="l" defTabSz="311150">
            <a:lnSpc>
              <a:spcPct val="90000"/>
            </a:lnSpc>
            <a:spcBef>
              <a:spcPct val="0"/>
            </a:spcBef>
            <a:spcAft>
              <a:spcPct val="35000"/>
            </a:spcAft>
          </a:pPr>
          <a:r>
            <a:rPr lang="pl-PL" sz="700" kern="1200">
              <a:latin typeface="Arial" panose="020B0604020202020204" pitchFamily="34" charset="0"/>
              <a:cs typeface="Arial" panose="020B0604020202020204" pitchFamily="34" charset="0"/>
            </a:rPr>
            <a:t>Odpady </a:t>
          </a:r>
          <a:br>
            <a:rPr lang="pl-PL" sz="700" kern="1200">
              <a:latin typeface="Arial" panose="020B0604020202020204" pitchFamily="34" charset="0"/>
              <a:cs typeface="Arial" panose="020B0604020202020204" pitchFamily="34" charset="0"/>
            </a:rPr>
          </a:br>
          <a:r>
            <a:rPr lang="pl-PL" sz="700" kern="1200">
              <a:latin typeface="Arial" panose="020B0604020202020204" pitchFamily="34" charset="0"/>
              <a:cs typeface="Arial" panose="020B0604020202020204" pitchFamily="34" charset="0"/>
            </a:rPr>
            <a:t>z górnictwa, przemysłu przetwórczego </a:t>
          </a:r>
          <a:br>
            <a:rPr lang="pl-PL" sz="700" kern="1200">
              <a:latin typeface="Arial" panose="020B0604020202020204" pitchFamily="34" charset="0"/>
              <a:cs typeface="Arial" panose="020B0604020202020204" pitchFamily="34" charset="0"/>
            </a:rPr>
          </a:br>
          <a:r>
            <a:rPr lang="pl-PL" sz="700" kern="1200">
              <a:latin typeface="Arial" panose="020B0604020202020204" pitchFamily="34" charset="0"/>
              <a:cs typeface="Arial" panose="020B0604020202020204" pitchFamily="34" charset="0"/>
            </a:rPr>
            <a:t>i energetyki</a:t>
          </a:r>
        </a:p>
      </dsp:txBody>
      <dsp:txXfrm>
        <a:off x="195802" y="696359"/>
        <a:ext cx="789474" cy="643017"/>
      </dsp:txXfrm>
    </dsp:sp>
    <dsp:sp modelId="{59EA3620-087B-4C85-8C21-ABA4F2D7C2D3}">
      <dsp:nvSpPr>
        <dsp:cNvPr id="0" name=""/>
        <dsp:cNvSpPr/>
      </dsp:nvSpPr>
      <dsp:spPr>
        <a:xfrm>
          <a:off x="43362" y="611543"/>
          <a:ext cx="91440" cy="1139169"/>
        </a:xfrm>
        <a:custGeom>
          <a:avLst/>
          <a:gdLst/>
          <a:ahLst/>
          <a:cxnLst/>
          <a:rect l="0" t="0" r="0" b="0"/>
          <a:pathLst>
            <a:path>
              <a:moveTo>
                <a:pt x="45720" y="0"/>
              </a:moveTo>
              <a:lnTo>
                <a:pt x="45720" y="1139169"/>
              </a:lnTo>
              <a:lnTo>
                <a:pt x="132434" y="1139169"/>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475A4082-C2CC-4982-9B79-2A198341A001}">
      <dsp:nvSpPr>
        <dsp:cNvPr id="0" name=""/>
        <dsp:cNvSpPr/>
      </dsp:nvSpPr>
      <dsp:spPr>
        <a:xfrm>
          <a:off x="175797" y="1424193"/>
          <a:ext cx="819873" cy="653040"/>
        </a:xfrm>
        <a:prstGeom prst="roundRect">
          <a:avLst>
            <a:gd name="adj" fmla="val 10000"/>
          </a:avLst>
        </a:prstGeom>
        <a:solidFill>
          <a:srgbClr val="51BBB6">
            <a:alpha val="90000"/>
          </a:srgb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13335" tIns="8890" rIns="13335" bIns="8890" numCol="1" spcCol="1270" anchor="ctr" anchorCtr="0">
          <a:noAutofit/>
        </a:bodyPr>
        <a:lstStyle/>
        <a:p>
          <a:pPr lvl="0" algn="just" defTabSz="311150">
            <a:lnSpc>
              <a:spcPct val="90000"/>
            </a:lnSpc>
            <a:spcBef>
              <a:spcPct val="0"/>
            </a:spcBef>
            <a:spcAft>
              <a:spcPct val="35000"/>
            </a:spcAft>
          </a:pPr>
          <a:r>
            <a:rPr lang="pl-PL" sz="700" kern="1200">
              <a:latin typeface="Arial" panose="020B0604020202020204" pitchFamily="34" charset="0"/>
              <a:cs typeface="Arial" panose="020B0604020202020204" pitchFamily="34" charset="0"/>
            </a:rPr>
            <a:t>Rozszerzona odpowiedzialność producenta</a:t>
          </a:r>
        </a:p>
      </dsp:txBody>
      <dsp:txXfrm>
        <a:off x="194924" y="1443320"/>
        <a:ext cx="781619" cy="614786"/>
      </dsp:txXfrm>
    </dsp:sp>
    <dsp:sp modelId="{984CB3BC-CEB2-4623-A362-D32EFBC429AD}">
      <dsp:nvSpPr>
        <dsp:cNvPr id="0" name=""/>
        <dsp:cNvSpPr/>
      </dsp:nvSpPr>
      <dsp:spPr>
        <a:xfrm>
          <a:off x="43362" y="611543"/>
          <a:ext cx="91440" cy="1848281"/>
        </a:xfrm>
        <a:custGeom>
          <a:avLst/>
          <a:gdLst/>
          <a:ahLst/>
          <a:cxnLst/>
          <a:rect l="0" t="0" r="0" b="0"/>
          <a:pathLst>
            <a:path>
              <a:moveTo>
                <a:pt x="45720" y="0"/>
              </a:moveTo>
              <a:lnTo>
                <a:pt x="45720" y="1848281"/>
              </a:lnTo>
              <a:lnTo>
                <a:pt x="132434" y="1848281"/>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A5118150-E78D-4C56-99ED-39076FD5FAE0}">
      <dsp:nvSpPr>
        <dsp:cNvPr id="0" name=""/>
        <dsp:cNvSpPr/>
      </dsp:nvSpPr>
      <dsp:spPr>
        <a:xfrm>
          <a:off x="175797" y="2142045"/>
          <a:ext cx="806674" cy="635559"/>
        </a:xfrm>
        <a:prstGeom prst="roundRect">
          <a:avLst>
            <a:gd name="adj" fmla="val 10000"/>
          </a:avLst>
        </a:prstGeom>
        <a:solidFill>
          <a:srgbClr val="51BBB6">
            <a:alpha val="90000"/>
          </a:srgb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13335" tIns="8890" rIns="13335" bIns="8890" numCol="1" spcCol="1270" anchor="ctr" anchorCtr="0">
          <a:noAutofit/>
        </a:bodyPr>
        <a:lstStyle/>
        <a:p>
          <a:pPr lvl="0" algn="just" defTabSz="311150">
            <a:lnSpc>
              <a:spcPct val="90000"/>
            </a:lnSpc>
            <a:spcBef>
              <a:spcPct val="0"/>
            </a:spcBef>
            <a:spcAft>
              <a:spcPct val="35000"/>
            </a:spcAft>
          </a:pPr>
          <a:r>
            <a:rPr lang="pl-PL" sz="700" kern="1200">
              <a:latin typeface="Arial" panose="020B0604020202020204" pitchFamily="34" charset="0"/>
              <a:cs typeface="Arial" panose="020B0604020202020204" pitchFamily="34" charset="0"/>
            </a:rPr>
            <a:t>Środowiskowa</a:t>
          </a:r>
          <a:r>
            <a:rPr lang="pl-PL" sz="600" kern="1200">
              <a:latin typeface="Arial" panose="020B0604020202020204" pitchFamily="34" charset="0"/>
              <a:cs typeface="Arial" panose="020B0604020202020204" pitchFamily="34" charset="0"/>
            </a:rPr>
            <a:t> </a:t>
          </a:r>
          <a:r>
            <a:rPr lang="pl-PL" sz="700" kern="1200">
              <a:latin typeface="Arial" panose="020B0604020202020204" pitchFamily="34" charset="0"/>
              <a:cs typeface="Arial" panose="020B0604020202020204" pitchFamily="34" charset="0"/>
            </a:rPr>
            <a:t>ocena</a:t>
          </a:r>
          <a:r>
            <a:rPr lang="pl-PL" sz="600" kern="1200">
              <a:latin typeface="Arial" panose="020B0604020202020204" pitchFamily="34" charset="0"/>
              <a:cs typeface="Arial" panose="020B0604020202020204" pitchFamily="34" charset="0"/>
            </a:rPr>
            <a:t> </a:t>
          </a:r>
          <a:r>
            <a:rPr lang="pl-PL" sz="700" kern="1200">
              <a:latin typeface="Arial" panose="020B0604020202020204" pitchFamily="34" charset="0"/>
              <a:cs typeface="Arial" panose="020B0604020202020204" pitchFamily="34" charset="0"/>
            </a:rPr>
            <a:t>cyklu</a:t>
          </a:r>
          <a:r>
            <a:rPr lang="pl-PL" sz="600" kern="1200">
              <a:latin typeface="Arial" panose="020B0604020202020204" pitchFamily="34" charset="0"/>
              <a:cs typeface="Arial" panose="020B0604020202020204" pitchFamily="34" charset="0"/>
            </a:rPr>
            <a:t> </a:t>
          </a:r>
          <a:r>
            <a:rPr lang="pl-PL" sz="700" kern="1200">
              <a:latin typeface="Arial" panose="020B0604020202020204" pitchFamily="34" charset="0"/>
              <a:cs typeface="Arial" panose="020B0604020202020204" pitchFamily="34" charset="0"/>
            </a:rPr>
            <a:t>życia</a:t>
          </a:r>
        </a:p>
      </dsp:txBody>
      <dsp:txXfrm>
        <a:off x="194412" y="2160660"/>
        <a:ext cx="769444" cy="598329"/>
      </dsp:txXfrm>
    </dsp:sp>
    <dsp:sp modelId="{67703DF3-7B27-435F-A5A1-FAADB5218AA3}">
      <dsp:nvSpPr>
        <dsp:cNvPr id="0" name=""/>
        <dsp:cNvSpPr/>
      </dsp:nvSpPr>
      <dsp:spPr>
        <a:xfrm>
          <a:off x="999138" y="16395"/>
          <a:ext cx="847943" cy="609220"/>
        </a:xfrm>
        <a:prstGeom prst="roundRect">
          <a:avLst>
            <a:gd name="adj" fmla="val 10000"/>
          </a:avLst>
        </a:prstGeom>
        <a:solidFill>
          <a:srgbClr val="173457"/>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5240" tIns="10160" rIns="15240" bIns="10160" numCol="1" spcCol="1270" anchor="ctr" anchorCtr="0">
          <a:noAutofit/>
        </a:bodyPr>
        <a:lstStyle/>
        <a:p>
          <a:pPr lvl="0" algn="ctr" defTabSz="355600">
            <a:lnSpc>
              <a:spcPct val="90000"/>
            </a:lnSpc>
            <a:spcBef>
              <a:spcPct val="0"/>
            </a:spcBef>
            <a:spcAft>
              <a:spcPct val="35000"/>
            </a:spcAft>
          </a:pPr>
          <a:r>
            <a:rPr lang="pl-PL" sz="800" kern="1200">
              <a:latin typeface="Arial" panose="020B0604020202020204" pitchFamily="34" charset="0"/>
              <a:cs typeface="Arial" panose="020B0604020202020204" pitchFamily="34" charset="0"/>
            </a:rPr>
            <a:t>Zrównoważona konsumpcja</a:t>
          </a:r>
        </a:p>
      </dsp:txBody>
      <dsp:txXfrm>
        <a:off x="1016981" y="34238"/>
        <a:ext cx="812257" cy="573534"/>
      </dsp:txXfrm>
    </dsp:sp>
    <dsp:sp modelId="{C7BA91CB-BC23-49C3-A528-C03E2D38AC99}">
      <dsp:nvSpPr>
        <dsp:cNvPr id="0" name=""/>
        <dsp:cNvSpPr/>
      </dsp:nvSpPr>
      <dsp:spPr>
        <a:xfrm>
          <a:off x="1038212" y="625615"/>
          <a:ext cx="91440" cy="392254"/>
        </a:xfrm>
        <a:custGeom>
          <a:avLst/>
          <a:gdLst/>
          <a:ahLst/>
          <a:cxnLst/>
          <a:rect l="0" t="0" r="0" b="0"/>
          <a:pathLst>
            <a:path>
              <a:moveTo>
                <a:pt x="45720" y="0"/>
              </a:moveTo>
              <a:lnTo>
                <a:pt x="45720" y="392254"/>
              </a:lnTo>
              <a:lnTo>
                <a:pt x="130514" y="392254"/>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26384BD4-7D23-4B91-9F69-3E3535B5F0EC}">
      <dsp:nvSpPr>
        <dsp:cNvPr id="0" name=""/>
        <dsp:cNvSpPr/>
      </dsp:nvSpPr>
      <dsp:spPr>
        <a:xfrm>
          <a:off x="1168727" y="690426"/>
          <a:ext cx="819545" cy="654886"/>
        </a:xfrm>
        <a:prstGeom prst="roundRect">
          <a:avLst>
            <a:gd name="adj" fmla="val 10000"/>
          </a:avLst>
        </a:prstGeom>
        <a:solidFill>
          <a:srgbClr val="51BBB6">
            <a:alpha val="90000"/>
          </a:srgb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13335" tIns="8890" rIns="13335" bIns="8890" numCol="1" spcCol="1270" anchor="ctr" anchorCtr="0">
          <a:noAutofit/>
        </a:bodyPr>
        <a:lstStyle/>
        <a:p>
          <a:pPr lvl="0" algn="just" defTabSz="311150">
            <a:lnSpc>
              <a:spcPct val="90000"/>
            </a:lnSpc>
            <a:spcBef>
              <a:spcPct val="0"/>
            </a:spcBef>
            <a:spcAft>
              <a:spcPct val="35000"/>
            </a:spcAft>
          </a:pPr>
          <a:r>
            <a:rPr lang="pl-PL" sz="700" kern="1200">
              <a:latin typeface="Arial" panose="020B0604020202020204" pitchFamily="34" charset="0"/>
              <a:cs typeface="Arial" panose="020B0604020202020204" pitchFamily="34" charset="0"/>
            </a:rPr>
            <a:t>Odpady komunalne</a:t>
          </a:r>
        </a:p>
      </dsp:txBody>
      <dsp:txXfrm>
        <a:off x="1187908" y="709607"/>
        <a:ext cx="781183" cy="616524"/>
      </dsp:txXfrm>
    </dsp:sp>
    <dsp:sp modelId="{630F5FB9-1AA7-474C-9497-22C0744CC2EA}">
      <dsp:nvSpPr>
        <dsp:cNvPr id="0" name=""/>
        <dsp:cNvSpPr/>
      </dsp:nvSpPr>
      <dsp:spPr>
        <a:xfrm>
          <a:off x="1038212" y="625615"/>
          <a:ext cx="91440" cy="1123008"/>
        </a:xfrm>
        <a:custGeom>
          <a:avLst/>
          <a:gdLst/>
          <a:ahLst/>
          <a:cxnLst/>
          <a:rect l="0" t="0" r="0" b="0"/>
          <a:pathLst>
            <a:path>
              <a:moveTo>
                <a:pt x="45720" y="0"/>
              </a:moveTo>
              <a:lnTo>
                <a:pt x="45720" y="1123008"/>
              </a:lnTo>
              <a:lnTo>
                <a:pt x="130514" y="1123008"/>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A07320CC-6E56-435D-B2AB-A99ADE57EB28}">
      <dsp:nvSpPr>
        <dsp:cNvPr id="0" name=""/>
        <dsp:cNvSpPr/>
      </dsp:nvSpPr>
      <dsp:spPr>
        <a:xfrm>
          <a:off x="1168727" y="1410124"/>
          <a:ext cx="815878" cy="676999"/>
        </a:xfrm>
        <a:prstGeom prst="roundRect">
          <a:avLst>
            <a:gd name="adj" fmla="val 10000"/>
          </a:avLst>
        </a:prstGeom>
        <a:solidFill>
          <a:srgbClr val="51BBB6">
            <a:alpha val="90000"/>
          </a:srgb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13335" tIns="8890" rIns="13335" bIns="8890" numCol="1" spcCol="1270" anchor="ctr" anchorCtr="0">
          <a:noAutofit/>
        </a:bodyPr>
        <a:lstStyle/>
        <a:p>
          <a:pPr lvl="0" algn="just" defTabSz="311150">
            <a:lnSpc>
              <a:spcPct val="90000"/>
            </a:lnSpc>
            <a:spcBef>
              <a:spcPct val="0"/>
            </a:spcBef>
            <a:spcAft>
              <a:spcPct val="35000"/>
            </a:spcAft>
          </a:pPr>
          <a:r>
            <a:rPr lang="pl-PL" sz="700" kern="1200">
              <a:latin typeface="Arial" panose="020B0604020202020204" pitchFamily="34" charset="0"/>
              <a:cs typeface="Arial" panose="020B0604020202020204" pitchFamily="34" charset="0"/>
            </a:rPr>
            <a:t>Marnotrawstwo żywności</a:t>
          </a:r>
        </a:p>
      </dsp:txBody>
      <dsp:txXfrm>
        <a:off x="1188556" y="1429953"/>
        <a:ext cx="776220" cy="637341"/>
      </dsp:txXfrm>
    </dsp:sp>
    <dsp:sp modelId="{7B7423A5-46EA-48E1-808A-BA6EDAC6F66C}">
      <dsp:nvSpPr>
        <dsp:cNvPr id="0" name=""/>
        <dsp:cNvSpPr/>
      </dsp:nvSpPr>
      <dsp:spPr>
        <a:xfrm>
          <a:off x="1038212" y="625615"/>
          <a:ext cx="91440" cy="1838156"/>
        </a:xfrm>
        <a:custGeom>
          <a:avLst/>
          <a:gdLst/>
          <a:ahLst/>
          <a:cxnLst/>
          <a:rect l="0" t="0" r="0" b="0"/>
          <a:pathLst>
            <a:path>
              <a:moveTo>
                <a:pt x="45720" y="0"/>
              </a:moveTo>
              <a:lnTo>
                <a:pt x="45720" y="1838156"/>
              </a:lnTo>
              <a:lnTo>
                <a:pt x="130514" y="1838156"/>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4B82E8FD-DFF1-4DAA-A949-8D3A7FE564CA}">
      <dsp:nvSpPr>
        <dsp:cNvPr id="0" name=""/>
        <dsp:cNvSpPr/>
      </dsp:nvSpPr>
      <dsp:spPr>
        <a:xfrm>
          <a:off x="1168727" y="2151935"/>
          <a:ext cx="808532" cy="623673"/>
        </a:xfrm>
        <a:prstGeom prst="roundRect">
          <a:avLst>
            <a:gd name="adj" fmla="val 10000"/>
          </a:avLst>
        </a:prstGeom>
        <a:solidFill>
          <a:srgbClr val="51BBB6">
            <a:alpha val="90000"/>
          </a:srgb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13335" tIns="8890" rIns="13335" bIns="8890" numCol="1" spcCol="1270" anchor="ctr" anchorCtr="0">
          <a:noAutofit/>
        </a:bodyPr>
        <a:lstStyle/>
        <a:p>
          <a:pPr lvl="0" algn="just" defTabSz="311150">
            <a:lnSpc>
              <a:spcPct val="90000"/>
            </a:lnSpc>
            <a:spcBef>
              <a:spcPct val="0"/>
            </a:spcBef>
            <a:spcAft>
              <a:spcPct val="35000"/>
            </a:spcAft>
          </a:pPr>
          <a:r>
            <a:rPr lang="pl-PL" sz="700" kern="1200">
              <a:latin typeface="Arial" panose="020B0604020202020204" pitchFamily="34" charset="0"/>
              <a:cs typeface="Arial" panose="020B0604020202020204" pitchFamily="34" charset="0"/>
            </a:rPr>
            <a:t>Edukacja</a:t>
          </a:r>
        </a:p>
      </dsp:txBody>
      <dsp:txXfrm>
        <a:off x="1186994" y="2170202"/>
        <a:ext cx="771998" cy="587139"/>
      </dsp:txXfrm>
    </dsp:sp>
    <dsp:sp modelId="{52840052-851B-44FA-B87A-E0D08F9B501B}">
      <dsp:nvSpPr>
        <dsp:cNvPr id="0" name=""/>
        <dsp:cNvSpPr/>
      </dsp:nvSpPr>
      <dsp:spPr>
        <a:xfrm>
          <a:off x="1976704" y="16395"/>
          <a:ext cx="846968" cy="609736"/>
        </a:xfrm>
        <a:prstGeom prst="roundRect">
          <a:avLst>
            <a:gd name="adj" fmla="val 10000"/>
          </a:avLst>
        </a:prstGeom>
        <a:solidFill>
          <a:srgbClr val="173457"/>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5240" tIns="10160" rIns="15240" bIns="10160" numCol="1" spcCol="1270" anchor="ctr" anchorCtr="0">
          <a:noAutofit/>
        </a:bodyPr>
        <a:lstStyle/>
        <a:p>
          <a:pPr lvl="0" algn="ctr" defTabSz="355600">
            <a:lnSpc>
              <a:spcPct val="90000"/>
            </a:lnSpc>
            <a:spcBef>
              <a:spcPct val="0"/>
            </a:spcBef>
            <a:spcAft>
              <a:spcPct val="35000"/>
            </a:spcAft>
          </a:pPr>
          <a:r>
            <a:rPr lang="pl-PL" sz="800" kern="1200">
              <a:latin typeface="Arial" panose="020B0604020202020204" pitchFamily="34" charset="0"/>
              <a:cs typeface="Arial" panose="020B0604020202020204" pitchFamily="34" charset="0"/>
            </a:rPr>
            <a:t>Biogospodarka</a:t>
          </a:r>
        </a:p>
      </dsp:txBody>
      <dsp:txXfrm>
        <a:off x="1994563" y="34254"/>
        <a:ext cx="811250" cy="574018"/>
      </dsp:txXfrm>
    </dsp:sp>
    <dsp:sp modelId="{989D1531-A1FA-491A-B4EF-01D32BA55526}">
      <dsp:nvSpPr>
        <dsp:cNvPr id="0" name=""/>
        <dsp:cNvSpPr/>
      </dsp:nvSpPr>
      <dsp:spPr>
        <a:xfrm>
          <a:off x="2015681" y="626131"/>
          <a:ext cx="91440" cy="333536"/>
        </a:xfrm>
        <a:custGeom>
          <a:avLst/>
          <a:gdLst/>
          <a:ahLst/>
          <a:cxnLst/>
          <a:rect l="0" t="0" r="0" b="0"/>
          <a:pathLst>
            <a:path>
              <a:moveTo>
                <a:pt x="45720" y="0"/>
              </a:moveTo>
              <a:lnTo>
                <a:pt x="45720" y="333536"/>
              </a:lnTo>
              <a:lnTo>
                <a:pt x="130416" y="333536"/>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A121B0A8-71B6-49FF-A1F9-1FA70321AECC}">
      <dsp:nvSpPr>
        <dsp:cNvPr id="0" name=""/>
        <dsp:cNvSpPr/>
      </dsp:nvSpPr>
      <dsp:spPr>
        <a:xfrm>
          <a:off x="2146098" y="690942"/>
          <a:ext cx="877185" cy="537450"/>
        </a:xfrm>
        <a:prstGeom prst="roundRect">
          <a:avLst>
            <a:gd name="adj" fmla="val 10000"/>
          </a:avLst>
        </a:prstGeom>
        <a:solidFill>
          <a:srgbClr val="51BBB6">
            <a:alpha val="90000"/>
          </a:srgb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13335" tIns="8890" rIns="13335" bIns="8890" numCol="1" spcCol="1270" anchor="ctr" anchorCtr="0">
          <a:noAutofit/>
        </a:bodyPr>
        <a:lstStyle/>
        <a:p>
          <a:pPr lvl="0" algn="l" defTabSz="311150">
            <a:lnSpc>
              <a:spcPct val="90000"/>
            </a:lnSpc>
            <a:spcBef>
              <a:spcPct val="0"/>
            </a:spcBef>
            <a:spcAft>
              <a:spcPct val="35000"/>
            </a:spcAft>
          </a:pPr>
          <a:r>
            <a:rPr lang="pl-PL" sz="700" kern="1200">
              <a:latin typeface="Arial" panose="020B0604020202020204" pitchFamily="34" charset="0"/>
              <a:cs typeface="Arial" panose="020B0604020202020204" pitchFamily="34" charset="0"/>
            </a:rPr>
            <a:t>Działania kluczowe </a:t>
          </a:r>
          <a:br>
            <a:rPr lang="pl-PL" sz="700" kern="1200">
              <a:latin typeface="Arial" panose="020B0604020202020204" pitchFamily="34" charset="0"/>
              <a:cs typeface="Arial" panose="020B0604020202020204" pitchFamily="34" charset="0"/>
            </a:rPr>
          </a:br>
          <a:r>
            <a:rPr lang="pl-PL" sz="700" kern="1200">
              <a:latin typeface="Arial" panose="020B0604020202020204" pitchFamily="34" charset="0"/>
              <a:cs typeface="Arial" panose="020B0604020202020204" pitchFamily="34" charset="0"/>
            </a:rPr>
            <a:t>w obszarze tworzenia warunków dla rozwoju biogospodarki</a:t>
          </a:r>
        </a:p>
      </dsp:txBody>
      <dsp:txXfrm>
        <a:off x="2161839" y="706683"/>
        <a:ext cx="845703" cy="505968"/>
      </dsp:txXfrm>
    </dsp:sp>
    <dsp:sp modelId="{CFC8654F-4D54-4D50-BE1F-94B247DAF4EA}">
      <dsp:nvSpPr>
        <dsp:cNvPr id="0" name=""/>
        <dsp:cNvSpPr/>
      </dsp:nvSpPr>
      <dsp:spPr>
        <a:xfrm>
          <a:off x="2015681" y="626131"/>
          <a:ext cx="91440" cy="942020"/>
        </a:xfrm>
        <a:custGeom>
          <a:avLst/>
          <a:gdLst/>
          <a:ahLst/>
          <a:cxnLst/>
          <a:rect l="0" t="0" r="0" b="0"/>
          <a:pathLst>
            <a:path>
              <a:moveTo>
                <a:pt x="45720" y="0"/>
              </a:moveTo>
              <a:lnTo>
                <a:pt x="45720" y="942020"/>
              </a:lnTo>
              <a:lnTo>
                <a:pt x="123162" y="942020"/>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8F34EEEF-CF3B-43C1-A45C-054889A89AA0}">
      <dsp:nvSpPr>
        <dsp:cNvPr id="0" name=""/>
        <dsp:cNvSpPr/>
      </dsp:nvSpPr>
      <dsp:spPr>
        <a:xfrm>
          <a:off x="2138843" y="1293228"/>
          <a:ext cx="892802" cy="549848"/>
        </a:xfrm>
        <a:prstGeom prst="roundRect">
          <a:avLst>
            <a:gd name="adj" fmla="val 10000"/>
          </a:avLst>
        </a:prstGeom>
        <a:solidFill>
          <a:srgbClr val="51BBB6">
            <a:alpha val="90000"/>
          </a:srgb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13335" tIns="8890" rIns="13335" bIns="8890" numCol="1" spcCol="1270" anchor="ctr" anchorCtr="0">
          <a:noAutofit/>
        </a:bodyPr>
        <a:lstStyle/>
        <a:p>
          <a:pPr lvl="0" algn="l" defTabSz="311150">
            <a:lnSpc>
              <a:spcPct val="90000"/>
            </a:lnSpc>
            <a:spcBef>
              <a:spcPct val="0"/>
            </a:spcBef>
            <a:spcAft>
              <a:spcPct val="35000"/>
            </a:spcAft>
          </a:pPr>
          <a:r>
            <a:rPr lang="pl-PL" sz="700" kern="1200">
              <a:latin typeface="Arial" panose="020B0604020202020204" pitchFamily="34" charset="0"/>
              <a:cs typeface="Arial" panose="020B0604020202020204" pitchFamily="34" charset="0"/>
            </a:rPr>
            <a:t>Działania </a:t>
          </a:r>
          <a:br>
            <a:rPr lang="pl-PL" sz="700" kern="1200">
              <a:latin typeface="Arial" panose="020B0604020202020204" pitchFamily="34" charset="0"/>
              <a:cs typeface="Arial" panose="020B0604020202020204" pitchFamily="34" charset="0"/>
            </a:rPr>
          </a:br>
          <a:r>
            <a:rPr lang="pl-PL" sz="700" kern="1200">
              <a:latin typeface="Arial" panose="020B0604020202020204" pitchFamily="34" charset="0"/>
              <a:cs typeface="Arial" panose="020B0604020202020204" pitchFamily="34" charset="0"/>
            </a:rPr>
            <a:t>w obszarze budowy lokalnych łańcuchów wartości i bazy surowcowej</a:t>
          </a:r>
        </a:p>
      </dsp:txBody>
      <dsp:txXfrm>
        <a:off x="2154947" y="1309332"/>
        <a:ext cx="860594" cy="517640"/>
      </dsp:txXfrm>
    </dsp:sp>
    <dsp:sp modelId="{A7065CEE-5E5B-4882-9A89-82972E651ACC}">
      <dsp:nvSpPr>
        <dsp:cNvPr id="0" name=""/>
        <dsp:cNvSpPr/>
      </dsp:nvSpPr>
      <dsp:spPr>
        <a:xfrm>
          <a:off x="2015681" y="626131"/>
          <a:ext cx="91440" cy="1482337"/>
        </a:xfrm>
        <a:custGeom>
          <a:avLst/>
          <a:gdLst/>
          <a:ahLst/>
          <a:cxnLst/>
          <a:rect l="0" t="0" r="0" b="0"/>
          <a:pathLst>
            <a:path>
              <a:moveTo>
                <a:pt x="45720" y="0"/>
              </a:moveTo>
              <a:lnTo>
                <a:pt x="45720" y="1482337"/>
              </a:lnTo>
              <a:lnTo>
                <a:pt x="123162" y="1482337"/>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8AE81A16-3F98-4E4F-9F35-23C278A02688}">
      <dsp:nvSpPr>
        <dsp:cNvPr id="0" name=""/>
        <dsp:cNvSpPr/>
      </dsp:nvSpPr>
      <dsp:spPr>
        <a:xfrm>
          <a:off x="2138843" y="1907887"/>
          <a:ext cx="892341" cy="401163"/>
        </a:xfrm>
        <a:prstGeom prst="roundRect">
          <a:avLst>
            <a:gd name="adj" fmla="val 10000"/>
          </a:avLst>
        </a:prstGeom>
        <a:solidFill>
          <a:srgbClr val="51BBB6">
            <a:alpha val="90000"/>
          </a:srgb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13335" tIns="8890" rIns="13335" bIns="8890" numCol="1" spcCol="1270" anchor="ctr" anchorCtr="0">
          <a:noAutofit/>
        </a:bodyPr>
        <a:lstStyle/>
        <a:p>
          <a:pPr lvl="0" algn="l" defTabSz="311150">
            <a:lnSpc>
              <a:spcPct val="90000"/>
            </a:lnSpc>
            <a:spcBef>
              <a:spcPct val="0"/>
            </a:spcBef>
            <a:spcAft>
              <a:spcPct val="35000"/>
            </a:spcAft>
          </a:pPr>
          <a:r>
            <a:rPr lang="pl-PL" sz="700" kern="1200">
              <a:latin typeface="Arial" panose="020B0604020202020204" pitchFamily="34" charset="0"/>
              <a:cs typeface="Arial" panose="020B0604020202020204" pitchFamily="34" charset="0"/>
            </a:rPr>
            <a:t>Działania </a:t>
          </a:r>
          <a:br>
            <a:rPr lang="pl-PL" sz="700" kern="1200">
              <a:latin typeface="Arial" panose="020B0604020202020204" pitchFamily="34" charset="0"/>
              <a:cs typeface="Arial" panose="020B0604020202020204" pitchFamily="34" charset="0"/>
            </a:rPr>
          </a:br>
          <a:r>
            <a:rPr lang="pl-PL" sz="700" kern="1200">
              <a:latin typeface="Arial" panose="020B0604020202020204" pitchFamily="34" charset="0"/>
              <a:cs typeface="Arial" panose="020B0604020202020204" pitchFamily="34" charset="0"/>
            </a:rPr>
            <a:t>w obszarze energetyki</a:t>
          </a:r>
        </a:p>
      </dsp:txBody>
      <dsp:txXfrm>
        <a:off x="2150593" y="1919637"/>
        <a:ext cx="868841" cy="377663"/>
      </dsp:txXfrm>
    </dsp:sp>
    <dsp:sp modelId="{4223B859-4349-452C-8834-2D8CADF7B812}">
      <dsp:nvSpPr>
        <dsp:cNvPr id="0" name=""/>
        <dsp:cNvSpPr/>
      </dsp:nvSpPr>
      <dsp:spPr>
        <a:xfrm>
          <a:off x="2015681" y="626131"/>
          <a:ext cx="91440" cy="1948312"/>
        </a:xfrm>
        <a:custGeom>
          <a:avLst/>
          <a:gdLst/>
          <a:ahLst/>
          <a:cxnLst/>
          <a:rect l="0" t="0" r="0" b="0"/>
          <a:pathLst>
            <a:path>
              <a:moveTo>
                <a:pt x="45720" y="0"/>
              </a:moveTo>
              <a:lnTo>
                <a:pt x="45720" y="1948312"/>
              </a:lnTo>
              <a:lnTo>
                <a:pt x="123162" y="1948312"/>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BDB27511-1104-4901-98D7-C31E6F0B7683}">
      <dsp:nvSpPr>
        <dsp:cNvPr id="0" name=""/>
        <dsp:cNvSpPr/>
      </dsp:nvSpPr>
      <dsp:spPr>
        <a:xfrm>
          <a:off x="2138843" y="2373861"/>
          <a:ext cx="892337" cy="401163"/>
        </a:xfrm>
        <a:prstGeom prst="roundRect">
          <a:avLst>
            <a:gd name="adj" fmla="val 10000"/>
          </a:avLst>
        </a:prstGeom>
        <a:solidFill>
          <a:srgbClr val="51BBB6">
            <a:alpha val="90000"/>
          </a:srgb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13335" tIns="8890" rIns="13335" bIns="8890" numCol="1" spcCol="1270" anchor="ctr" anchorCtr="0">
          <a:noAutofit/>
        </a:bodyPr>
        <a:lstStyle/>
        <a:p>
          <a:pPr lvl="0" algn="l" defTabSz="311150">
            <a:lnSpc>
              <a:spcPct val="90000"/>
            </a:lnSpc>
            <a:spcBef>
              <a:spcPct val="0"/>
            </a:spcBef>
            <a:spcAft>
              <a:spcPct val="35000"/>
            </a:spcAft>
          </a:pPr>
          <a:r>
            <a:rPr lang="pl-PL" sz="700" kern="1200">
              <a:latin typeface="Arial" panose="020B0604020202020204" pitchFamily="34" charset="0"/>
              <a:cs typeface="Arial" panose="020B0604020202020204" pitchFamily="34" charset="0"/>
            </a:rPr>
            <a:t>Działania </a:t>
          </a:r>
          <a:br>
            <a:rPr lang="pl-PL" sz="700" kern="1200">
              <a:latin typeface="Arial" panose="020B0604020202020204" pitchFamily="34" charset="0"/>
              <a:cs typeface="Arial" panose="020B0604020202020204" pitchFamily="34" charset="0"/>
            </a:rPr>
          </a:br>
          <a:r>
            <a:rPr lang="pl-PL" sz="700" kern="1200">
              <a:latin typeface="Arial" panose="020B0604020202020204" pitchFamily="34" charset="0"/>
              <a:cs typeface="Arial" panose="020B0604020202020204" pitchFamily="34" charset="0"/>
            </a:rPr>
            <a:t>w obszarze przemysłu</a:t>
          </a:r>
        </a:p>
      </dsp:txBody>
      <dsp:txXfrm>
        <a:off x="2150593" y="2385611"/>
        <a:ext cx="868837" cy="377663"/>
      </dsp:txXfrm>
    </dsp:sp>
    <dsp:sp modelId="{C259463E-5161-4619-B6CB-BA6DAFDD2AE8}">
      <dsp:nvSpPr>
        <dsp:cNvPr id="0" name=""/>
        <dsp:cNvSpPr/>
      </dsp:nvSpPr>
      <dsp:spPr>
        <a:xfrm>
          <a:off x="2999515" y="16395"/>
          <a:ext cx="845034" cy="609736"/>
        </a:xfrm>
        <a:prstGeom prst="roundRect">
          <a:avLst>
            <a:gd name="adj" fmla="val 10000"/>
          </a:avLst>
        </a:prstGeom>
        <a:solidFill>
          <a:srgbClr val="173457"/>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5240" tIns="10160" rIns="15240" bIns="10160" numCol="1" spcCol="1270" anchor="ctr" anchorCtr="0">
          <a:noAutofit/>
        </a:bodyPr>
        <a:lstStyle/>
        <a:p>
          <a:pPr lvl="0" algn="ctr" defTabSz="355600">
            <a:lnSpc>
              <a:spcPct val="90000"/>
            </a:lnSpc>
            <a:spcBef>
              <a:spcPct val="0"/>
            </a:spcBef>
            <a:spcAft>
              <a:spcPct val="35000"/>
            </a:spcAft>
          </a:pPr>
          <a:r>
            <a:rPr lang="pl-PL" sz="800" kern="1200">
              <a:latin typeface="Arial" panose="020B0604020202020204" pitchFamily="34" charset="0"/>
              <a:cs typeface="Arial" panose="020B0604020202020204" pitchFamily="34" charset="0"/>
            </a:rPr>
            <a:t>Nowe modele biznesowe</a:t>
          </a:r>
        </a:p>
      </dsp:txBody>
      <dsp:txXfrm>
        <a:off x="3017374" y="34254"/>
        <a:ext cx="809316" cy="574018"/>
      </dsp:txXfrm>
    </dsp:sp>
    <dsp:sp modelId="{2337C605-FF67-4686-8C4D-ACF247B0665A}">
      <dsp:nvSpPr>
        <dsp:cNvPr id="0" name=""/>
        <dsp:cNvSpPr/>
      </dsp:nvSpPr>
      <dsp:spPr>
        <a:xfrm>
          <a:off x="3038299" y="626131"/>
          <a:ext cx="91440" cy="333536"/>
        </a:xfrm>
        <a:custGeom>
          <a:avLst/>
          <a:gdLst/>
          <a:ahLst/>
          <a:cxnLst/>
          <a:rect l="0" t="0" r="0" b="0"/>
          <a:pathLst>
            <a:path>
              <a:moveTo>
                <a:pt x="45720" y="0"/>
              </a:moveTo>
              <a:lnTo>
                <a:pt x="45720" y="333536"/>
              </a:lnTo>
              <a:lnTo>
                <a:pt x="130223" y="333536"/>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48974477-FC4B-415A-8161-1AEFB54FBB94}">
      <dsp:nvSpPr>
        <dsp:cNvPr id="0" name=""/>
        <dsp:cNvSpPr/>
      </dsp:nvSpPr>
      <dsp:spPr>
        <a:xfrm>
          <a:off x="3168522" y="690942"/>
          <a:ext cx="802505" cy="537450"/>
        </a:xfrm>
        <a:prstGeom prst="roundRect">
          <a:avLst>
            <a:gd name="adj" fmla="val 10000"/>
          </a:avLst>
        </a:prstGeom>
        <a:solidFill>
          <a:srgbClr val="51BBB6">
            <a:alpha val="90000"/>
          </a:srgb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13335" tIns="8890" rIns="13335" bIns="8890" numCol="1" spcCol="1270" anchor="ctr" anchorCtr="0">
          <a:noAutofit/>
        </a:bodyPr>
        <a:lstStyle/>
        <a:p>
          <a:pPr lvl="0" algn="l" defTabSz="311150">
            <a:lnSpc>
              <a:spcPct val="90000"/>
            </a:lnSpc>
            <a:spcBef>
              <a:spcPct val="0"/>
            </a:spcBef>
            <a:spcAft>
              <a:spcPct val="35000"/>
            </a:spcAft>
          </a:pPr>
          <a:r>
            <a:rPr lang="pl-PL" sz="700" kern="1200">
              <a:latin typeface="Arial" panose="020B0604020202020204" pitchFamily="34" charset="0"/>
              <a:cs typeface="Arial" panose="020B0604020202020204" pitchFamily="34" charset="0"/>
            </a:rPr>
            <a:t>Dostarczanie wartości dla klienta</a:t>
          </a:r>
        </a:p>
      </dsp:txBody>
      <dsp:txXfrm>
        <a:off x="3184263" y="706683"/>
        <a:ext cx="771023" cy="505968"/>
      </dsp:txXfrm>
    </dsp:sp>
    <dsp:sp modelId="{50273F0E-1E2F-427F-B387-388D12F87C97}">
      <dsp:nvSpPr>
        <dsp:cNvPr id="0" name=""/>
        <dsp:cNvSpPr/>
      </dsp:nvSpPr>
      <dsp:spPr>
        <a:xfrm>
          <a:off x="3038299" y="626131"/>
          <a:ext cx="91440" cy="935798"/>
        </a:xfrm>
        <a:custGeom>
          <a:avLst/>
          <a:gdLst/>
          <a:ahLst/>
          <a:cxnLst/>
          <a:rect l="0" t="0" r="0" b="0"/>
          <a:pathLst>
            <a:path>
              <a:moveTo>
                <a:pt x="45720" y="0"/>
              </a:moveTo>
              <a:lnTo>
                <a:pt x="45720" y="935798"/>
              </a:lnTo>
              <a:lnTo>
                <a:pt x="130223" y="935798"/>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C3210782-35D9-45C7-9005-E1EC38A75D5E}">
      <dsp:nvSpPr>
        <dsp:cNvPr id="0" name=""/>
        <dsp:cNvSpPr/>
      </dsp:nvSpPr>
      <dsp:spPr>
        <a:xfrm>
          <a:off x="3168522" y="1293204"/>
          <a:ext cx="802505" cy="537450"/>
        </a:xfrm>
        <a:prstGeom prst="roundRect">
          <a:avLst>
            <a:gd name="adj" fmla="val 10000"/>
          </a:avLst>
        </a:prstGeom>
        <a:solidFill>
          <a:srgbClr val="51BBB6">
            <a:alpha val="90000"/>
          </a:srgb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13335" tIns="8890" rIns="13335" bIns="8890" numCol="1" spcCol="1270" anchor="ctr" anchorCtr="0">
          <a:noAutofit/>
        </a:bodyPr>
        <a:lstStyle/>
        <a:p>
          <a:pPr lvl="0" algn="l" defTabSz="311150">
            <a:lnSpc>
              <a:spcPct val="90000"/>
            </a:lnSpc>
            <a:spcBef>
              <a:spcPct val="0"/>
            </a:spcBef>
            <a:spcAft>
              <a:spcPct val="35000"/>
            </a:spcAft>
          </a:pPr>
          <a:r>
            <a:rPr lang="pl-PL" sz="700" kern="1200">
              <a:latin typeface="Arial" panose="020B0604020202020204" pitchFamily="34" charset="0"/>
              <a:cs typeface="Arial" panose="020B0604020202020204" pitchFamily="34" charset="0"/>
            </a:rPr>
            <a:t>Działanie </a:t>
          </a:r>
          <a:br>
            <a:rPr lang="pl-PL" sz="700" kern="1200">
              <a:latin typeface="Arial" panose="020B0604020202020204" pitchFamily="34" charset="0"/>
              <a:cs typeface="Arial" panose="020B0604020202020204" pitchFamily="34" charset="0"/>
            </a:rPr>
          </a:br>
          <a:r>
            <a:rPr lang="pl-PL" sz="700" kern="1200">
              <a:latin typeface="Arial" panose="020B0604020202020204" pitchFamily="34" charset="0"/>
              <a:cs typeface="Arial" panose="020B0604020202020204" pitchFamily="34" charset="0"/>
            </a:rPr>
            <a:t>w kierunku „zamykania obiegu”</a:t>
          </a:r>
        </a:p>
      </dsp:txBody>
      <dsp:txXfrm>
        <a:off x="3184263" y="1308945"/>
        <a:ext cx="771023" cy="505968"/>
      </dsp:txXfrm>
    </dsp:sp>
    <dsp:sp modelId="{4CA5CDCD-DA14-4872-B6C7-B5EB740B8A6E}">
      <dsp:nvSpPr>
        <dsp:cNvPr id="0" name=""/>
        <dsp:cNvSpPr/>
      </dsp:nvSpPr>
      <dsp:spPr>
        <a:xfrm>
          <a:off x="3974172" y="16395"/>
          <a:ext cx="855803" cy="626138"/>
        </a:xfrm>
        <a:prstGeom prst="roundRect">
          <a:avLst>
            <a:gd name="adj" fmla="val 10000"/>
          </a:avLst>
        </a:prstGeom>
        <a:solidFill>
          <a:srgbClr val="173457"/>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5240" tIns="10160" rIns="15240" bIns="10160" numCol="1" spcCol="1270" anchor="ctr" anchorCtr="0">
          <a:noAutofit/>
        </a:bodyPr>
        <a:lstStyle/>
        <a:p>
          <a:pPr lvl="0" algn="ctr" defTabSz="355600">
            <a:lnSpc>
              <a:spcPct val="90000"/>
            </a:lnSpc>
            <a:spcBef>
              <a:spcPct val="0"/>
            </a:spcBef>
            <a:spcAft>
              <a:spcPct val="35000"/>
            </a:spcAft>
          </a:pPr>
          <a:r>
            <a:rPr lang="pl-PL" sz="800" kern="1200">
              <a:latin typeface="Arial" panose="020B0604020202020204" pitchFamily="34" charset="0"/>
              <a:cs typeface="Arial" panose="020B0604020202020204" pitchFamily="34" charset="0"/>
            </a:rPr>
            <a:t>Wdrażanie, monitorowanie </a:t>
          </a:r>
          <a:br>
            <a:rPr lang="pl-PL" sz="800" kern="1200">
              <a:latin typeface="Arial" panose="020B0604020202020204" pitchFamily="34" charset="0"/>
              <a:cs typeface="Arial" panose="020B0604020202020204" pitchFamily="34" charset="0"/>
            </a:rPr>
          </a:br>
          <a:r>
            <a:rPr lang="pl-PL" sz="800" kern="1200">
              <a:latin typeface="Arial" panose="020B0604020202020204" pitchFamily="34" charset="0"/>
              <a:cs typeface="Arial" panose="020B0604020202020204" pitchFamily="34" charset="0"/>
            </a:rPr>
            <a:t>i finansowanie GOZ</a:t>
          </a:r>
        </a:p>
      </dsp:txBody>
      <dsp:txXfrm>
        <a:off x="3992511" y="34734"/>
        <a:ext cx="819125" cy="589460"/>
      </dsp:txXfrm>
    </dsp:sp>
    <dsp:sp modelId="{141C978E-9F23-46B9-911B-2975389B0EFC}">
      <dsp:nvSpPr>
        <dsp:cNvPr id="0" name=""/>
        <dsp:cNvSpPr/>
      </dsp:nvSpPr>
      <dsp:spPr>
        <a:xfrm>
          <a:off x="4014033" y="642533"/>
          <a:ext cx="91440" cy="333536"/>
        </a:xfrm>
        <a:custGeom>
          <a:avLst/>
          <a:gdLst/>
          <a:ahLst/>
          <a:cxnLst/>
          <a:rect l="0" t="0" r="0" b="0"/>
          <a:pathLst>
            <a:path>
              <a:moveTo>
                <a:pt x="45720" y="0"/>
              </a:moveTo>
              <a:lnTo>
                <a:pt x="45720" y="333536"/>
              </a:lnTo>
              <a:lnTo>
                <a:pt x="131300" y="333536"/>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4756E287-73C9-43DA-87D0-201766259544}">
      <dsp:nvSpPr>
        <dsp:cNvPr id="0" name=""/>
        <dsp:cNvSpPr/>
      </dsp:nvSpPr>
      <dsp:spPr>
        <a:xfrm>
          <a:off x="4145333" y="707345"/>
          <a:ext cx="717668" cy="537450"/>
        </a:xfrm>
        <a:prstGeom prst="roundRect">
          <a:avLst>
            <a:gd name="adj" fmla="val 10000"/>
          </a:avLst>
        </a:prstGeom>
        <a:solidFill>
          <a:srgbClr val="51BBB6">
            <a:alpha val="90000"/>
          </a:srgb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13335" tIns="8890" rIns="13335" bIns="8890" numCol="1" spcCol="1270" anchor="ctr" anchorCtr="0">
          <a:noAutofit/>
        </a:bodyPr>
        <a:lstStyle/>
        <a:p>
          <a:pPr lvl="0" algn="just" defTabSz="311150">
            <a:lnSpc>
              <a:spcPct val="90000"/>
            </a:lnSpc>
            <a:spcBef>
              <a:spcPct val="0"/>
            </a:spcBef>
            <a:spcAft>
              <a:spcPct val="35000"/>
            </a:spcAft>
          </a:pPr>
          <a:r>
            <a:rPr lang="pl-PL" sz="700" kern="1200">
              <a:latin typeface="Arial" panose="020B0604020202020204" pitchFamily="34" charset="0"/>
              <a:cs typeface="Arial" panose="020B0604020202020204" pitchFamily="34" charset="0"/>
            </a:rPr>
            <a:t>Wdrażanie GOZ</a:t>
          </a:r>
        </a:p>
      </dsp:txBody>
      <dsp:txXfrm>
        <a:off x="4161074" y="723086"/>
        <a:ext cx="686186" cy="505968"/>
      </dsp:txXfrm>
    </dsp:sp>
    <dsp:sp modelId="{8CE3882A-DAB4-4775-8F95-2E3B98F1E462}">
      <dsp:nvSpPr>
        <dsp:cNvPr id="0" name=""/>
        <dsp:cNvSpPr/>
      </dsp:nvSpPr>
      <dsp:spPr>
        <a:xfrm>
          <a:off x="4014033" y="642533"/>
          <a:ext cx="91440" cy="935798"/>
        </a:xfrm>
        <a:custGeom>
          <a:avLst/>
          <a:gdLst/>
          <a:ahLst/>
          <a:cxnLst/>
          <a:rect l="0" t="0" r="0" b="0"/>
          <a:pathLst>
            <a:path>
              <a:moveTo>
                <a:pt x="45720" y="0"/>
              </a:moveTo>
              <a:lnTo>
                <a:pt x="45720" y="935798"/>
              </a:lnTo>
              <a:lnTo>
                <a:pt x="131300" y="935798"/>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D91DE354-6AEC-4BA5-A0FF-6398F3FCA1DF}">
      <dsp:nvSpPr>
        <dsp:cNvPr id="0" name=""/>
        <dsp:cNvSpPr/>
      </dsp:nvSpPr>
      <dsp:spPr>
        <a:xfrm>
          <a:off x="4145333" y="1309607"/>
          <a:ext cx="717668" cy="537450"/>
        </a:xfrm>
        <a:prstGeom prst="roundRect">
          <a:avLst>
            <a:gd name="adj" fmla="val 10000"/>
          </a:avLst>
        </a:prstGeom>
        <a:solidFill>
          <a:srgbClr val="51BBB6">
            <a:alpha val="90000"/>
          </a:srgb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13335" tIns="8890" rIns="13335" bIns="8890" numCol="1" spcCol="1270" anchor="ctr" anchorCtr="0">
          <a:noAutofit/>
        </a:bodyPr>
        <a:lstStyle/>
        <a:p>
          <a:pPr lvl="0" algn="just" defTabSz="311150">
            <a:lnSpc>
              <a:spcPct val="90000"/>
            </a:lnSpc>
            <a:spcBef>
              <a:spcPct val="0"/>
            </a:spcBef>
            <a:spcAft>
              <a:spcPct val="35000"/>
            </a:spcAft>
          </a:pPr>
          <a:r>
            <a:rPr lang="pl-PL" sz="700" kern="1200">
              <a:latin typeface="Arial" panose="020B0604020202020204" pitchFamily="34" charset="0"/>
              <a:cs typeface="Arial" panose="020B0604020202020204" pitchFamily="34" charset="0"/>
            </a:rPr>
            <a:t>Monitorowanie GOZ</a:t>
          </a:r>
        </a:p>
      </dsp:txBody>
      <dsp:txXfrm>
        <a:off x="4161074" y="1325348"/>
        <a:ext cx="686186" cy="505968"/>
      </dsp:txXfrm>
    </dsp:sp>
    <dsp:sp modelId="{7B3A00F0-DE27-48B1-B043-2BBAD219D907}">
      <dsp:nvSpPr>
        <dsp:cNvPr id="0" name=""/>
        <dsp:cNvSpPr/>
      </dsp:nvSpPr>
      <dsp:spPr>
        <a:xfrm>
          <a:off x="4014033" y="642533"/>
          <a:ext cx="91440" cy="1538060"/>
        </a:xfrm>
        <a:custGeom>
          <a:avLst/>
          <a:gdLst/>
          <a:ahLst/>
          <a:cxnLst/>
          <a:rect l="0" t="0" r="0" b="0"/>
          <a:pathLst>
            <a:path>
              <a:moveTo>
                <a:pt x="45720" y="0"/>
              </a:moveTo>
              <a:lnTo>
                <a:pt x="45720" y="1538060"/>
              </a:lnTo>
              <a:lnTo>
                <a:pt x="131300" y="1538060"/>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8DF3B008-6267-424E-890D-BC81816A7DCE}">
      <dsp:nvSpPr>
        <dsp:cNvPr id="0" name=""/>
        <dsp:cNvSpPr/>
      </dsp:nvSpPr>
      <dsp:spPr>
        <a:xfrm>
          <a:off x="4145333" y="1911869"/>
          <a:ext cx="717668" cy="537450"/>
        </a:xfrm>
        <a:prstGeom prst="roundRect">
          <a:avLst>
            <a:gd name="adj" fmla="val 10000"/>
          </a:avLst>
        </a:prstGeom>
        <a:solidFill>
          <a:srgbClr val="51BBB6">
            <a:alpha val="90000"/>
          </a:srgb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13335" tIns="8890" rIns="13335" bIns="8890" numCol="1" spcCol="1270" anchor="ctr" anchorCtr="0">
          <a:noAutofit/>
        </a:bodyPr>
        <a:lstStyle/>
        <a:p>
          <a:pPr lvl="0" algn="just" defTabSz="311150">
            <a:lnSpc>
              <a:spcPct val="90000"/>
            </a:lnSpc>
            <a:spcBef>
              <a:spcPct val="0"/>
            </a:spcBef>
            <a:spcAft>
              <a:spcPct val="35000"/>
            </a:spcAft>
          </a:pPr>
          <a:r>
            <a:rPr lang="pl-PL" sz="700" kern="1200">
              <a:latin typeface="Arial" panose="020B0604020202020204" pitchFamily="34" charset="0"/>
              <a:cs typeface="Arial" panose="020B0604020202020204" pitchFamily="34" charset="0"/>
            </a:rPr>
            <a:t>Finansowanie GOZ</a:t>
          </a:r>
        </a:p>
      </dsp:txBody>
      <dsp:txXfrm>
        <a:off x="4161074" y="1927610"/>
        <a:ext cx="686186" cy="505968"/>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D94CD42A-B70C-421B-BD14-AA6941DF7688}">
      <dsp:nvSpPr>
        <dsp:cNvPr id="0" name=""/>
        <dsp:cNvSpPr/>
      </dsp:nvSpPr>
      <dsp:spPr>
        <a:xfrm rot="1774884">
          <a:off x="1443095" y="1965345"/>
          <a:ext cx="429265" cy="66708"/>
        </a:xfrm>
        <a:custGeom>
          <a:avLst/>
          <a:gdLst/>
          <a:ahLst/>
          <a:cxnLst/>
          <a:rect l="0" t="0" r="0" b="0"/>
          <a:pathLst>
            <a:path>
              <a:moveTo>
                <a:pt x="0" y="33354"/>
              </a:moveTo>
              <a:lnTo>
                <a:pt x="429265" y="33354"/>
              </a:lnTo>
            </a:path>
          </a:pathLst>
        </a:custGeom>
        <a:noFill/>
        <a:ln w="25400" cap="flat" cmpd="sng" algn="ctr">
          <a:solidFill>
            <a:srgbClr val="173457"/>
          </a:solidFill>
          <a:prstDash val="solid"/>
        </a:ln>
        <a:effectLst/>
      </dsp:spPr>
      <dsp:style>
        <a:lnRef idx="2">
          <a:scrgbClr r="0" g="0" b="0"/>
        </a:lnRef>
        <a:fillRef idx="0">
          <a:scrgbClr r="0" g="0" b="0"/>
        </a:fillRef>
        <a:effectRef idx="0">
          <a:scrgbClr r="0" g="0" b="0"/>
        </a:effectRef>
        <a:fontRef idx="minor"/>
      </dsp:style>
    </dsp:sp>
    <dsp:sp modelId="{403B48EA-5E04-4862-B8CC-5D5B252F35C0}">
      <dsp:nvSpPr>
        <dsp:cNvPr id="0" name=""/>
        <dsp:cNvSpPr/>
      </dsp:nvSpPr>
      <dsp:spPr>
        <a:xfrm rot="19952016">
          <a:off x="1447527" y="1063493"/>
          <a:ext cx="417753" cy="66708"/>
        </a:xfrm>
        <a:custGeom>
          <a:avLst/>
          <a:gdLst/>
          <a:ahLst/>
          <a:cxnLst/>
          <a:rect l="0" t="0" r="0" b="0"/>
          <a:pathLst>
            <a:path>
              <a:moveTo>
                <a:pt x="0" y="33354"/>
              </a:moveTo>
              <a:lnTo>
                <a:pt x="417753" y="33354"/>
              </a:lnTo>
            </a:path>
          </a:pathLst>
        </a:custGeom>
        <a:noFill/>
        <a:ln w="25400" cap="flat" cmpd="sng" algn="ctr">
          <a:solidFill>
            <a:srgbClr val="173457"/>
          </a:solidFill>
          <a:prstDash val="solid"/>
        </a:ln>
        <a:effectLst/>
      </dsp:spPr>
      <dsp:style>
        <a:lnRef idx="2">
          <a:scrgbClr r="0" g="0" b="0"/>
        </a:lnRef>
        <a:fillRef idx="0">
          <a:scrgbClr r="0" g="0" b="0"/>
        </a:fillRef>
        <a:effectRef idx="0">
          <a:scrgbClr r="0" g="0" b="0"/>
        </a:effectRef>
        <a:fontRef idx="minor"/>
      </dsp:style>
    </dsp:sp>
    <dsp:sp modelId="{ADA339B6-21E2-4F5C-AA1C-06197B7307B6}">
      <dsp:nvSpPr>
        <dsp:cNvPr id="0" name=""/>
        <dsp:cNvSpPr/>
      </dsp:nvSpPr>
      <dsp:spPr>
        <a:xfrm>
          <a:off x="0" y="816594"/>
          <a:ext cx="1372847" cy="1359926"/>
        </a:xfrm>
        <a:prstGeom prst="ellipse">
          <a:avLst/>
        </a:prstGeom>
        <a:blipFill>
          <a:blip xmlns:r="http://schemas.openxmlformats.org/officeDocument/2006/relationships" r:embed="rId1">
            <a:extLst>
              <a:ext uri="{28A0092B-C50C-407E-A947-70E740481C1C}">
                <a14:useLocalDpi xmlns:a14="http://schemas.microsoft.com/office/drawing/2010/main" val="0"/>
              </a:ext>
            </a:extLst>
          </a:blip>
          <a:srcRect/>
          <a:stretch>
            <a:fillRect/>
          </a:stretch>
        </a:blipFill>
        <a:ln w="38100" cap="flat" cmpd="sng" algn="ctr">
          <a:solidFill>
            <a:srgbClr val="CCA879"/>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sp>
    <dsp:sp modelId="{A9032A85-A547-4877-8901-D98DC34D0643}">
      <dsp:nvSpPr>
        <dsp:cNvPr id="0" name=""/>
        <dsp:cNvSpPr/>
      </dsp:nvSpPr>
      <dsp:spPr>
        <a:xfrm>
          <a:off x="1780322" y="305263"/>
          <a:ext cx="992620" cy="938353"/>
        </a:xfrm>
        <a:prstGeom prst="ellipse">
          <a:avLst/>
        </a:prstGeom>
        <a:solidFill>
          <a:srgbClr val="51BBB6"/>
        </a:solidFill>
        <a:ln w="38100" cap="flat" cmpd="sng" algn="ctr">
          <a:solidFill>
            <a:srgbClr val="CCA879"/>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8890" tIns="8890" rIns="8890" bIns="8890" numCol="1" spcCol="1270" anchor="ctr" anchorCtr="0">
          <a:noAutofit/>
        </a:bodyPr>
        <a:lstStyle/>
        <a:p>
          <a:pPr lvl="0" algn="ctr" defTabSz="622300">
            <a:lnSpc>
              <a:spcPct val="90000"/>
            </a:lnSpc>
            <a:spcBef>
              <a:spcPct val="0"/>
            </a:spcBef>
            <a:spcAft>
              <a:spcPct val="35000"/>
            </a:spcAft>
          </a:pPr>
          <a:r>
            <a:rPr lang="pl-PL" sz="1400" kern="1200">
              <a:solidFill>
                <a:srgbClr val="173457"/>
              </a:solidFill>
              <a:latin typeface="Arial" panose="020B0604020202020204" pitchFamily="34" charset="0"/>
              <a:cs typeface="Arial" panose="020B0604020202020204" pitchFamily="34" charset="0"/>
            </a:rPr>
            <a:t>obszar miejski</a:t>
          </a:r>
        </a:p>
      </dsp:txBody>
      <dsp:txXfrm>
        <a:off x="1925688" y="442682"/>
        <a:ext cx="701888" cy="663515"/>
      </dsp:txXfrm>
    </dsp:sp>
    <dsp:sp modelId="{61A3AE0D-3B22-4B66-BDB3-086DBEA05565}">
      <dsp:nvSpPr>
        <dsp:cNvPr id="0" name=""/>
        <dsp:cNvSpPr/>
      </dsp:nvSpPr>
      <dsp:spPr>
        <a:xfrm>
          <a:off x="3020916" y="305263"/>
          <a:ext cx="1488931" cy="938353"/>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0" tIns="0" rIns="0" bIns="0" numCol="1" spcCol="1270" anchor="ctr" anchorCtr="0">
          <a:noAutofit/>
        </a:bodyPr>
        <a:lstStyle/>
        <a:p>
          <a:pPr marL="57150" lvl="1" indent="-57150" algn="l" defTabSz="355600">
            <a:lnSpc>
              <a:spcPct val="90000"/>
            </a:lnSpc>
            <a:spcBef>
              <a:spcPct val="0"/>
            </a:spcBef>
            <a:spcAft>
              <a:spcPct val="15000"/>
            </a:spcAft>
            <a:buChar char="••"/>
          </a:pPr>
          <a:r>
            <a:rPr lang="pl-PL" sz="800" kern="1200">
              <a:solidFill>
                <a:srgbClr val="173457"/>
              </a:solidFill>
              <a:latin typeface="Arial" panose="020B0604020202020204" pitchFamily="34" charset="0"/>
              <a:cs typeface="Arial" panose="020B0604020202020204" pitchFamily="34" charset="0"/>
            </a:rPr>
            <a:t>ograniczenie generowanych odpadów do minimum</a:t>
          </a:r>
        </a:p>
        <a:p>
          <a:pPr marL="57150" lvl="1" indent="-57150" algn="l" defTabSz="355600">
            <a:lnSpc>
              <a:spcPct val="90000"/>
            </a:lnSpc>
            <a:spcBef>
              <a:spcPct val="0"/>
            </a:spcBef>
            <a:spcAft>
              <a:spcPct val="15000"/>
            </a:spcAft>
            <a:buChar char="••"/>
          </a:pPr>
          <a:r>
            <a:rPr lang="pl-PL" sz="800" kern="1200">
              <a:solidFill>
                <a:srgbClr val="173457"/>
              </a:solidFill>
              <a:latin typeface="Arial" panose="020B0604020202020204" pitchFamily="34" charset="0"/>
              <a:cs typeface="Arial" panose="020B0604020202020204" pitchFamily="34" charset="0"/>
            </a:rPr>
            <a:t>wdrażanie rozwiązań z zakresu błękitno-zielonej infrastruktury</a:t>
          </a:r>
        </a:p>
        <a:p>
          <a:pPr marL="57150" lvl="1" indent="-57150" algn="l" defTabSz="355600">
            <a:lnSpc>
              <a:spcPct val="90000"/>
            </a:lnSpc>
            <a:spcBef>
              <a:spcPct val="0"/>
            </a:spcBef>
            <a:spcAft>
              <a:spcPct val="15000"/>
            </a:spcAft>
            <a:buChar char="••"/>
          </a:pPr>
          <a:r>
            <a:rPr lang="pl-PL" sz="800" kern="1200">
              <a:solidFill>
                <a:srgbClr val="173457"/>
              </a:solidFill>
              <a:latin typeface="Arial" panose="020B0604020202020204" pitchFamily="34" charset="0"/>
              <a:cs typeface="Arial" panose="020B0604020202020204" pitchFamily="34" charset="0"/>
            </a:rPr>
            <a:t>działania z zakresu poprawy jakości powietrza i redukcji miejskich wysp ciepła</a:t>
          </a:r>
        </a:p>
        <a:p>
          <a:pPr marL="57150" lvl="1" indent="-57150" algn="l" defTabSz="355600">
            <a:lnSpc>
              <a:spcPct val="90000"/>
            </a:lnSpc>
            <a:spcBef>
              <a:spcPct val="0"/>
            </a:spcBef>
            <a:spcAft>
              <a:spcPct val="15000"/>
            </a:spcAft>
            <a:buChar char="••"/>
          </a:pPr>
          <a:r>
            <a:rPr lang="pl-PL" sz="800" kern="1200">
              <a:solidFill>
                <a:srgbClr val="173457"/>
              </a:solidFill>
              <a:latin typeface="Arial" panose="020B0604020202020204" pitchFamily="34" charset="0"/>
              <a:cs typeface="Arial" panose="020B0604020202020204" pitchFamily="34" charset="0"/>
            </a:rPr>
            <a:t>wzmacnianie lokalnej bioróżnorodności</a:t>
          </a:r>
        </a:p>
        <a:p>
          <a:pPr marL="57150" lvl="1" indent="-57150" algn="l" defTabSz="355600">
            <a:lnSpc>
              <a:spcPct val="90000"/>
            </a:lnSpc>
            <a:spcBef>
              <a:spcPct val="0"/>
            </a:spcBef>
            <a:spcAft>
              <a:spcPct val="15000"/>
            </a:spcAft>
            <a:buChar char="••"/>
          </a:pPr>
          <a:r>
            <a:rPr lang="pl-PL" sz="800" kern="1200">
              <a:solidFill>
                <a:srgbClr val="173457"/>
              </a:solidFill>
              <a:latin typeface="Arial" panose="020B0604020202020204" pitchFamily="34" charset="0"/>
              <a:cs typeface="Arial" panose="020B0604020202020204" pitchFamily="34" charset="0"/>
            </a:rPr>
            <a:t>działania rewitalizacyjne</a:t>
          </a:r>
        </a:p>
        <a:p>
          <a:pPr marL="57150" lvl="1" indent="-57150" algn="l" defTabSz="355600">
            <a:lnSpc>
              <a:spcPct val="90000"/>
            </a:lnSpc>
            <a:spcBef>
              <a:spcPct val="0"/>
            </a:spcBef>
            <a:spcAft>
              <a:spcPct val="15000"/>
            </a:spcAft>
            <a:buChar char="••"/>
          </a:pPr>
          <a:r>
            <a:rPr lang="pl-PL" sz="800" kern="1200">
              <a:solidFill>
                <a:srgbClr val="173457"/>
              </a:solidFill>
              <a:latin typeface="Arial" panose="020B0604020202020204" pitchFamily="34" charset="0"/>
              <a:cs typeface="Arial" panose="020B0604020202020204" pitchFamily="34" charset="0"/>
            </a:rPr>
            <a:t>kształtowanie wysokiej jakości przestrzeni publicznych (rozwój koncepcji zielonych miast)</a:t>
          </a:r>
        </a:p>
      </dsp:txBody>
      <dsp:txXfrm>
        <a:off x="3020916" y="305263"/>
        <a:ext cx="1488931" cy="938353"/>
      </dsp:txXfrm>
    </dsp:sp>
    <dsp:sp modelId="{FFD1CBE3-7E1E-4C65-B1F1-D653B9C77C76}">
      <dsp:nvSpPr>
        <dsp:cNvPr id="0" name=""/>
        <dsp:cNvSpPr/>
      </dsp:nvSpPr>
      <dsp:spPr>
        <a:xfrm>
          <a:off x="1770196" y="1873552"/>
          <a:ext cx="1024579" cy="959581"/>
        </a:xfrm>
        <a:prstGeom prst="ellipse">
          <a:avLst/>
        </a:prstGeom>
        <a:solidFill>
          <a:srgbClr val="51BBB6"/>
        </a:solidFill>
        <a:ln w="38100" cap="flat" cmpd="sng" algn="ctr">
          <a:solidFill>
            <a:srgbClr val="CCA879"/>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8890" tIns="8890" rIns="8890" bIns="8890" numCol="1" spcCol="1270" anchor="ctr" anchorCtr="0">
          <a:noAutofit/>
        </a:bodyPr>
        <a:lstStyle/>
        <a:p>
          <a:pPr lvl="0" algn="ctr" defTabSz="622300">
            <a:lnSpc>
              <a:spcPct val="90000"/>
            </a:lnSpc>
            <a:spcBef>
              <a:spcPct val="0"/>
            </a:spcBef>
            <a:spcAft>
              <a:spcPct val="35000"/>
            </a:spcAft>
          </a:pPr>
          <a:r>
            <a:rPr lang="pl-PL" sz="1400" kern="1200">
              <a:solidFill>
                <a:srgbClr val="173457"/>
              </a:solidFill>
              <a:latin typeface="Arial" panose="020B0604020202020204" pitchFamily="34" charset="0"/>
              <a:cs typeface="Arial" panose="020B0604020202020204" pitchFamily="34" charset="0"/>
            </a:rPr>
            <a:t>obszar wiejski</a:t>
          </a:r>
        </a:p>
      </dsp:txBody>
      <dsp:txXfrm>
        <a:off x="1920242" y="2014079"/>
        <a:ext cx="724487" cy="678527"/>
      </dsp:txXfrm>
    </dsp:sp>
    <dsp:sp modelId="{EA3AD288-FB32-4D3A-9767-0CBFE5958BC6}">
      <dsp:nvSpPr>
        <dsp:cNvPr id="0" name=""/>
        <dsp:cNvSpPr/>
      </dsp:nvSpPr>
      <dsp:spPr>
        <a:xfrm>
          <a:off x="3002800" y="1873552"/>
          <a:ext cx="1536869" cy="959581"/>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0" tIns="0" rIns="0" bIns="0" numCol="1" spcCol="1270" anchor="ctr" anchorCtr="0">
          <a:noAutofit/>
        </a:bodyPr>
        <a:lstStyle/>
        <a:p>
          <a:pPr marL="57150" lvl="1" indent="-57150" algn="l" defTabSz="355600">
            <a:lnSpc>
              <a:spcPct val="90000"/>
            </a:lnSpc>
            <a:spcBef>
              <a:spcPct val="0"/>
            </a:spcBef>
            <a:spcAft>
              <a:spcPct val="15000"/>
            </a:spcAft>
            <a:buChar char="••"/>
          </a:pPr>
          <a:r>
            <a:rPr lang="pl-PL" sz="800" kern="1200">
              <a:solidFill>
                <a:srgbClr val="173457"/>
              </a:solidFill>
              <a:latin typeface="Arial" panose="020B0604020202020204" pitchFamily="34" charset="0"/>
              <a:cs typeface="Arial" panose="020B0604020202020204" pitchFamily="34" charset="0"/>
            </a:rPr>
            <a:t>rozwój koncepcji inteligentnych wiosek</a:t>
          </a:r>
        </a:p>
        <a:p>
          <a:pPr marL="57150" lvl="1" indent="-57150" algn="l" defTabSz="355600">
            <a:lnSpc>
              <a:spcPct val="90000"/>
            </a:lnSpc>
            <a:spcBef>
              <a:spcPct val="0"/>
            </a:spcBef>
            <a:spcAft>
              <a:spcPct val="15000"/>
            </a:spcAft>
            <a:buChar char="••"/>
          </a:pPr>
          <a:r>
            <a:rPr lang="pl-PL" sz="800" kern="1200">
              <a:solidFill>
                <a:srgbClr val="173457"/>
              </a:solidFill>
              <a:latin typeface="Arial" panose="020B0604020202020204" pitchFamily="34" charset="0"/>
              <a:cs typeface="Arial" panose="020B0604020202020204" pitchFamily="34" charset="0"/>
            </a:rPr>
            <a:t>wykorzystywanie ekologicznych technologii w rolnictwie</a:t>
          </a:r>
        </a:p>
        <a:p>
          <a:pPr marL="57150" lvl="1" indent="-57150" algn="l" defTabSz="355600">
            <a:lnSpc>
              <a:spcPct val="90000"/>
            </a:lnSpc>
            <a:spcBef>
              <a:spcPct val="0"/>
            </a:spcBef>
            <a:spcAft>
              <a:spcPct val="15000"/>
            </a:spcAft>
            <a:buChar char="••"/>
          </a:pPr>
          <a:r>
            <a:rPr lang="pl-PL" sz="800" kern="1200">
              <a:solidFill>
                <a:srgbClr val="173457"/>
              </a:solidFill>
              <a:latin typeface="Arial" panose="020B0604020202020204" pitchFamily="34" charset="0"/>
              <a:cs typeface="Arial" panose="020B0604020202020204" pitchFamily="34" charset="0"/>
            </a:rPr>
            <a:t>wdrażanie nowych modeli gospodarowania obok GOZ, tj. zielona gospdarka, inteligentne rolnictwo, biogospodarka</a:t>
          </a:r>
        </a:p>
        <a:p>
          <a:pPr marL="57150" lvl="1" indent="-57150" algn="l" defTabSz="355600">
            <a:lnSpc>
              <a:spcPct val="90000"/>
            </a:lnSpc>
            <a:spcBef>
              <a:spcPct val="0"/>
            </a:spcBef>
            <a:spcAft>
              <a:spcPct val="15000"/>
            </a:spcAft>
            <a:buChar char="••"/>
          </a:pPr>
          <a:r>
            <a:rPr lang="pl-PL" sz="800" kern="1200">
              <a:solidFill>
                <a:srgbClr val="173457"/>
              </a:solidFill>
              <a:latin typeface="Arial" panose="020B0604020202020204" pitchFamily="34" charset="0"/>
              <a:cs typeface="Arial" panose="020B0604020202020204" pitchFamily="34" charset="0"/>
            </a:rPr>
            <a:t>koncepcja rozwoju wielofunkcyjnego – powiązania przestrzenno-funkcjonalne </a:t>
          </a:r>
          <a:br>
            <a:rPr lang="pl-PL" sz="800" kern="1200">
              <a:solidFill>
                <a:srgbClr val="173457"/>
              </a:solidFill>
              <a:latin typeface="Arial" panose="020B0604020202020204" pitchFamily="34" charset="0"/>
              <a:cs typeface="Arial" panose="020B0604020202020204" pitchFamily="34" charset="0"/>
            </a:rPr>
          </a:br>
          <a:r>
            <a:rPr lang="pl-PL" sz="800" kern="1200">
              <a:solidFill>
                <a:srgbClr val="173457"/>
              </a:solidFill>
              <a:latin typeface="Arial" panose="020B0604020202020204" pitchFamily="34" charset="0"/>
              <a:cs typeface="Arial" panose="020B0604020202020204" pitchFamily="34" charset="0"/>
            </a:rPr>
            <a:t>z ośrodkami miejskimi</a:t>
          </a:r>
        </a:p>
      </dsp:txBody>
      <dsp:txXfrm>
        <a:off x="3002800" y="1873552"/>
        <a:ext cx="1536869" cy="959581"/>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CBFF44E0-251E-4C5C-B96B-AA7DEA27542C}">
      <dsp:nvSpPr>
        <dsp:cNvPr id="0" name=""/>
        <dsp:cNvSpPr/>
      </dsp:nvSpPr>
      <dsp:spPr>
        <a:xfrm>
          <a:off x="812685" y="451"/>
          <a:ext cx="963584" cy="963584"/>
        </a:xfrm>
        <a:prstGeom prst="ellipse">
          <a:avLst/>
        </a:prstGeom>
        <a:solidFill>
          <a:srgbClr val="51BBB6"/>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2700" tIns="12700" rIns="12700" bIns="12700" numCol="1" spcCol="1270" anchor="ctr" anchorCtr="0">
          <a:noAutofit/>
        </a:bodyPr>
        <a:lstStyle/>
        <a:p>
          <a:pPr lvl="0" algn="ctr" defTabSz="444500">
            <a:lnSpc>
              <a:spcPct val="90000"/>
            </a:lnSpc>
            <a:spcBef>
              <a:spcPct val="0"/>
            </a:spcBef>
            <a:spcAft>
              <a:spcPct val="35000"/>
            </a:spcAft>
          </a:pPr>
          <a:r>
            <a:rPr lang="pl-PL" sz="1000" b="0" kern="1200">
              <a:latin typeface="Arial" panose="020B0604020202020204" pitchFamily="34" charset="0"/>
              <a:cs typeface="Arial" panose="020B0604020202020204" pitchFamily="34" charset="0"/>
            </a:rPr>
            <a:t>OLEJ ROŚLINNY</a:t>
          </a:r>
        </a:p>
      </dsp:txBody>
      <dsp:txXfrm>
        <a:off x="953799" y="141565"/>
        <a:ext cx="681356" cy="681356"/>
      </dsp:txXfrm>
    </dsp:sp>
    <dsp:sp modelId="{27983256-7A58-4E99-B544-F60076B2C31D}">
      <dsp:nvSpPr>
        <dsp:cNvPr id="0" name=""/>
        <dsp:cNvSpPr/>
      </dsp:nvSpPr>
      <dsp:spPr>
        <a:xfrm>
          <a:off x="1128118" y="1010616"/>
          <a:ext cx="332717" cy="332717"/>
        </a:xfrm>
        <a:prstGeom prst="mathPlus">
          <a:avLst/>
        </a:prstGeom>
        <a:solidFill>
          <a:srgbClr val="CCA879"/>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222250">
            <a:lnSpc>
              <a:spcPct val="90000"/>
            </a:lnSpc>
            <a:spcBef>
              <a:spcPct val="0"/>
            </a:spcBef>
            <a:spcAft>
              <a:spcPct val="35000"/>
            </a:spcAft>
          </a:pPr>
          <a:endParaRPr lang="pl-PL" sz="500" b="1" kern="1200">
            <a:latin typeface="Arial Black" panose="020B0A04020102020204" pitchFamily="34" charset="0"/>
          </a:endParaRPr>
        </a:p>
      </dsp:txBody>
      <dsp:txXfrm>
        <a:off x="1172220" y="1137847"/>
        <a:ext cx="244513" cy="78255"/>
      </dsp:txXfrm>
    </dsp:sp>
    <dsp:sp modelId="{15F1FCB9-FBEE-4982-9CF9-B4CF5164D60E}">
      <dsp:nvSpPr>
        <dsp:cNvPr id="0" name=""/>
        <dsp:cNvSpPr/>
      </dsp:nvSpPr>
      <dsp:spPr>
        <a:xfrm>
          <a:off x="856314" y="1390365"/>
          <a:ext cx="924203" cy="924209"/>
        </a:xfrm>
        <a:prstGeom prst="ellipse">
          <a:avLst/>
        </a:prstGeom>
        <a:solidFill>
          <a:srgbClr val="51BBB6"/>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2700" tIns="12700" rIns="12700" bIns="12700" numCol="1" spcCol="1270" anchor="ctr" anchorCtr="0">
          <a:noAutofit/>
        </a:bodyPr>
        <a:lstStyle/>
        <a:p>
          <a:pPr lvl="0" algn="ctr" defTabSz="444500">
            <a:lnSpc>
              <a:spcPct val="90000"/>
            </a:lnSpc>
            <a:spcBef>
              <a:spcPct val="0"/>
            </a:spcBef>
            <a:spcAft>
              <a:spcPct val="35000"/>
            </a:spcAft>
          </a:pPr>
          <a:r>
            <a:rPr lang="pl-PL" sz="1000" b="0" i="0" kern="1200">
              <a:latin typeface="Arial" panose="020B0604020202020204" pitchFamily="34" charset="0"/>
              <a:cs typeface="Arial" panose="020B0604020202020204" pitchFamily="34" charset="0"/>
            </a:rPr>
            <a:t>WODÓR</a:t>
          </a:r>
        </a:p>
      </dsp:txBody>
      <dsp:txXfrm>
        <a:off x="991660" y="1525712"/>
        <a:ext cx="653511" cy="653515"/>
      </dsp:txXfrm>
    </dsp:sp>
    <dsp:sp modelId="{67E0D459-D166-4B25-A9FF-CEC740926565}">
      <dsp:nvSpPr>
        <dsp:cNvPr id="0" name=""/>
        <dsp:cNvSpPr/>
      </dsp:nvSpPr>
      <dsp:spPr>
        <a:xfrm rot="21599527">
          <a:off x="1865503" y="1050723"/>
          <a:ext cx="180169" cy="213398"/>
        </a:xfrm>
        <a:prstGeom prst="rightArrow">
          <a:avLst>
            <a:gd name="adj1" fmla="val 60000"/>
            <a:gd name="adj2" fmla="val 50000"/>
          </a:avLst>
        </a:prstGeom>
        <a:solidFill>
          <a:srgbClr val="CCA879"/>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311150">
            <a:lnSpc>
              <a:spcPct val="90000"/>
            </a:lnSpc>
            <a:spcBef>
              <a:spcPct val="0"/>
            </a:spcBef>
            <a:spcAft>
              <a:spcPct val="35000"/>
            </a:spcAft>
          </a:pPr>
          <a:endParaRPr lang="pl-PL" sz="700" b="1" kern="1200">
            <a:latin typeface="Arial Black" panose="020B0A04020102020204" pitchFamily="34" charset="0"/>
          </a:endParaRPr>
        </a:p>
      </dsp:txBody>
      <dsp:txXfrm>
        <a:off x="1865503" y="1093407"/>
        <a:ext cx="126118" cy="128038"/>
      </dsp:txXfrm>
    </dsp:sp>
    <dsp:sp modelId="{4818DD58-26AD-47F4-BEFB-3F76506F88EE}">
      <dsp:nvSpPr>
        <dsp:cNvPr id="0" name=""/>
        <dsp:cNvSpPr/>
      </dsp:nvSpPr>
      <dsp:spPr>
        <a:xfrm>
          <a:off x="2120460" y="383105"/>
          <a:ext cx="1629329" cy="1548364"/>
        </a:xfrm>
        <a:prstGeom prst="ellipse">
          <a:avLst/>
        </a:prstGeom>
        <a:solidFill>
          <a:srgbClr val="173457"/>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2700" tIns="12700" rIns="12700" bIns="12700" numCol="1" spcCol="1270" anchor="ctr" anchorCtr="0">
          <a:noAutofit/>
        </a:bodyPr>
        <a:lstStyle/>
        <a:p>
          <a:pPr lvl="0" algn="ctr" defTabSz="444500">
            <a:lnSpc>
              <a:spcPct val="90000"/>
            </a:lnSpc>
            <a:spcBef>
              <a:spcPct val="0"/>
            </a:spcBef>
            <a:spcAft>
              <a:spcPct val="35000"/>
            </a:spcAft>
          </a:pPr>
          <a:r>
            <a:rPr lang="pl-PL" sz="1000" b="1" kern="1200">
              <a:latin typeface="Arial" panose="020B0604020202020204" pitchFamily="34" charset="0"/>
              <a:cs typeface="Arial" panose="020B0604020202020204" pitchFamily="34" charset="0"/>
            </a:rPr>
            <a:t>BIO DIESEL (93%) </a:t>
          </a:r>
        </a:p>
        <a:p>
          <a:pPr lvl="0" algn="ctr" defTabSz="444500">
            <a:lnSpc>
              <a:spcPct val="90000"/>
            </a:lnSpc>
            <a:spcBef>
              <a:spcPct val="0"/>
            </a:spcBef>
            <a:spcAft>
              <a:spcPct val="35000"/>
            </a:spcAft>
          </a:pPr>
          <a:r>
            <a:rPr lang="pl-PL" sz="1000" b="1" kern="1200">
              <a:latin typeface="Arial" panose="020B0604020202020204" pitchFamily="34" charset="0"/>
              <a:cs typeface="Arial" panose="020B0604020202020204" pitchFamily="34" charset="0"/>
            </a:rPr>
            <a:t>I BIO PROPAN (5%)</a:t>
          </a:r>
        </a:p>
      </dsp:txBody>
      <dsp:txXfrm>
        <a:off x="2359070" y="609858"/>
        <a:ext cx="1152109" cy="1094858"/>
      </dsp:txXfrm>
    </dsp:sp>
  </dsp:spTree>
</dsp:drawing>
</file>

<file path=word/diagrams/drawing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7AF0DB51-9F26-42F5-9567-9A0737A53E49}">
      <dsp:nvSpPr>
        <dsp:cNvPr id="0" name=""/>
        <dsp:cNvSpPr/>
      </dsp:nvSpPr>
      <dsp:spPr>
        <a:xfrm>
          <a:off x="1900384" y="1069357"/>
          <a:ext cx="1050631" cy="720709"/>
        </a:xfrm>
        <a:prstGeom prst="ellipse">
          <a:avLst/>
        </a:prstGeom>
        <a:solidFill>
          <a:srgbClr val="173457"/>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6510" tIns="16510" rIns="16510" bIns="16510" numCol="1" spcCol="1270" anchor="ctr" anchorCtr="0">
          <a:noAutofit/>
        </a:bodyPr>
        <a:lstStyle/>
        <a:p>
          <a:pPr lvl="0" algn="ctr" defTabSz="577850">
            <a:lnSpc>
              <a:spcPct val="90000"/>
            </a:lnSpc>
            <a:spcBef>
              <a:spcPct val="0"/>
            </a:spcBef>
            <a:spcAft>
              <a:spcPct val="35000"/>
            </a:spcAft>
          </a:pPr>
          <a:r>
            <a:rPr lang="pl-PL" sz="1300" kern="1200"/>
            <a:t>BARIERY</a:t>
          </a:r>
        </a:p>
      </dsp:txBody>
      <dsp:txXfrm>
        <a:off x="2054245" y="1174902"/>
        <a:ext cx="742909" cy="509619"/>
      </dsp:txXfrm>
    </dsp:sp>
    <dsp:sp modelId="{BEAA8C77-3C60-4F27-A74D-9674A620AAA5}">
      <dsp:nvSpPr>
        <dsp:cNvPr id="0" name=""/>
        <dsp:cNvSpPr/>
      </dsp:nvSpPr>
      <dsp:spPr>
        <a:xfrm rot="16141788">
          <a:off x="2312615" y="744188"/>
          <a:ext cx="207533" cy="270617"/>
        </a:xfrm>
        <a:prstGeom prst="rightArrow">
          <a:avLst>
            <a:gd name="adj1" fmla="val 60000"/>
            <a:gd name="adj2" fmla="val 50000"/>
          </a:avLst>
        </a:prstGeom>
        <a:solidFill>
          <a:srgbClr val="CCA879"/>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488950">
            <a:lnSpc>
              <a:spcPct val="90000"/>
            </a:lnSpc>
            <a:spcBef>
              <a:spcPct val="0"/>
            </a:spcBef>
            <a:spcAft>
              <a:spcPct val="35000"/>
            </a:spcAft>
          </a:pPr>
          <a:endParaRPr lang="pl-PL" sz="1100" kern="1200"/>
        </a:p>
      </dsp:txBody>
      <dsp:txXfrm rot="10800000">
        <a:off x="2344272" y="829437"/>
        <a:ext cx="145273" cy="162371"/>
      </dsp:txXfrm>
    </dsp:sp>
    <dsp:sp modelId="{62DBE28F-F506-4626-9844-976051CE5F4F}">
      <dsp:nvSpPr>
        <dsp:cNvPr id="0" name=""/>
        <dsp:cNvSpPr/>
      </dsp:nvSpPr>
      <dsp:spPr>
        <a:xfrm>
          <a:off x="1887083" y="215725"/>
          <a:ext cx="1043943" cy="462146"/>
        </a:xfrm>
        <a:prstGeom prst="ellipse">
          <a:avLst/>
        </a:prstGeom>
        <a:solidFill>
          <a:srgbClr val="51BBB6"/>
        </a:solidFill>
        <a:ln w="19050" cap="flat" cmpd="sng" algn="ctr">
          <a:solidFill>
            <a:srgbClr val="173457"/>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1430" tIns="11430" rIns="11430" bIns="11430" numCol="1" spcCol="1270" anchor="ctr" anchorCtr="0">
          <a:noAutofit/>
        </a:bodyPr>
        <a:lstStyle/>
        <a:p>
          <a:pPr lvl="0" algn="ctr" defTabSz="400050">
            <a:lnSpc>
              <a:spcPct val="90000"/>
            </a:lnSpc>
            <a:spcBef>
              <a:spcPct val="0"/>
            </a:spcBef>
            <a:spcAft>
              <a:spcPts val="0"/>
            </a:spcAft>
          </a:pPr>
          <a:r>
            <a:rPr lang="pl-PL" sz="900" b="1" kern="1200"/>
            <a:t> </a:t>
          </a:r>
          <a:r>
            <a:rPr lang="pl-PL" sz="850" b="1" kern="1200"/>
            <a:t>ZWIĄZANE </a:t>
          </a:r>
        </a:p>
        <a:p>
          <a:pPr lvl="0" algn="ctr" defTabSz="400050">
            <a:lnSpc>
              <a:spcPct val="90000"/>
            </a:lnSpc>
            <a:spcBef>
              <a:spcPct val="0"/>
            </a:spcBef>
            <a:spcAft>
              <a:spcPts val="0"/>
            </a:spcAft>
          </a:pPr>
          <a:r>
            <a:rPr lang="pl-PL" sz="850" b="1" kern="1200"/>
            <a:t>Z BRAKIEM ŚWIADOMOŚCI</a:t>
          </a:r>
        </a:p>
      </dsp:txBody>
      <dsp:txXfrm>
        <a:off x="2039965" y="283405"/>
        <a:ext cx="738179" cy="326786"/>
      </dsp:txXfrm>
    </dsp:sp>
    <dsp:sp modelId="{3874664F-2805-43BA-808D-0752FB13F8BB}">
      <dsp:nvSpPr>
        <dsp:cNvPr id="0" name=""/>
        <dsp:cNvSpPr/>
      </dsp:nvSpPr>
      <dsp:spPr>
        <a:xfrm rot="20039709">
          <a:off x="2936292" y="982915"/>
          <a:ext cx="255832" cy="270617"/>
        </a:xfrm>
        <a:prstGeom prst="rightArrow">
          <a:avLst>
            <a:gd name="adj1" fmla="val 60000"/>
            <a:gd name="adj2" fmla="val 50000"/>
          </a:avLst>
        </a:prstGeom>
        <a:solidFill>
          <a:srgbClr val="CCA879"/>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488950">
            <a:lnSpc>
              <a:spcPct val="90000"/>
            </a:lnSpc>
            <a:spcBef>
              <a:spcPct val="0"/>
            </a:spcBef>
            <a:spcAft>
              <a:spcPct val="35000"/>
            </a:spcAft>
          </a:pPr>
          <a:endParaRPr lang="pl-PL" sz="1100" kern="1200"/>
        </a:p>
      </dsp:txBody>
      <dsp:txXfrm>
        <a:off x="2940177" y="1053863"/>
        <a:ext cx="179082" cy="162371"/>
      </dsp:txXfrm>
    </dsp:sp>
    <dsp:sp modelId="{90EB0898-1C76-4F28-8AEE-CAE0C76F2793}">
      <dsp:nvSpPr>
        <dsp:cNvPr id="0" name=""/>
        <dsp:cNvSpPr/>
      </dsp:nvSpPr>
      <dsp:spPr>
        <a:xfrm>
          <a:off x="3128661" y="609744"/>
          <a:ext cx="1008383" cy="462146"/>
        </a:xfrm>
        <a:prstGeom prst="ellipse">
          <a:avLst/>
        </a:prstGeom>
        <a:solidFill>
          <a:srgbClr val="51BBB6"/>
        </a:solidFill>
        <a:ln w="19050" cap="flat" cmpd="sng" algn="ctr">
          <a:solidFill>
            <a:srgbClr val="173457"/>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1430" tIns="11430" rIns="11430" bIns="11430" numCol="1" spcCol="1270" anchor="ctr" anchorCtr="0">
          <a:noAutofit/>
        </a:bodyPr>
        <a:lstStyle/>
        <a:p>
          <a:pPr lvl="0" algn="ctr" defTabSz="377825">
            <a:lnSpc>
              <a:spcPct val="90000"/>
            </a:lnSpc>
            <a:spcBef>
              <a:spcPct val="0"/>
            </a:spcBef>
            <a:spcAft>
              <a:spcPct val="35000"/>
            </a:spcAft>
          </a:pPr>
          <a:r>
            <a:rPr lang="pl-PL" sz="850" b="1" kern="1200"/>
            <a:t>INFRASTRUK./</a:t>
          </a:r>
          <a:br>
            <a:rPr lang="pl-PL" sz="850" b="1" kern="1200"/>
          </a:br>
          <a:r>
            <a:rPr lang="pl-PL" sz="850" b="1" kern="1200"/>
            <a:t>TECHNOLOG.</a:t>
          </a:r>
        </a:p>
      </dsp:txBody>
      <dsp:txXfrm>
        <a:off x="3276335" y="677424"/>
        <a:ext cx="713035" cy="326786"/>
      </dsp:txXfrm>
    </dsp:sp>
    <dsp:sp modelId="{BA4B11A1-90A0-4751-9168-41FF04CB2D68}">
      <dsp:nvSpPr>
        <dsp:cNvPr id="0" name=""/>
        <dsp:cNvSpPr/>
      </dsp:nvSpPr>
      <dsp:spPr>
        <a:xfrm rot="511889">
          <a:off x="3015789" y="1397168"/>
          <a:ext cx="189894" cy="270617"/>
        </a:xfrm>
        <a:prstGeom prst="rightArrow">
          <a:avLst>
            <a:gd name="adj1" fmla="val 60000"/>
            <a:gd name="adj2" fmla="val 50000"/>
          </a:avLst>
        </a:prstGeom>
        <a:solidFill>
          <a:srgbClr val="CCA879"/>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488950">
            <a:lnSpc>
              <a:spcPct val="90000"/>
            </a:lnSpc>
            <a:spcBef>
              <a:spcPct val="0"/>
            </a:spcBef>
            <a:spcAft>
              <a:spcPct val="35000"/>
            </a:spcAft>
          </a:pPr>
          <a:endParaRPr lang="pl-PL" sz="1100" kern="1200"/>
        </a:p>
      </dsp:txBody>
      <dsp:txXfrm>
        <a:off x="3016104" y="1447065"/>
        <a:ext cx="132926" cy="162371"/>
      </dsp:txXfrm>
    </dsp:sp>
    <dsp:sp modelId="{05A90B3C-33A1-4DB5-9D31-0352CD2FE5E6}">
      <dsp:nvSpPr>
        <dsp:cNvPr id="0" name=""/>
        <dsp:cNvSpPr/>
      </dsp:nvSpPr>
      <dsp:spPr>
        <a:xfrm>
          <a:off x="3268134" y="1393443"/>
          <a:ext cx="1035304" cy="480599"/>
        </a:xfrm>
        <a:prstGeom prst="ellipse">
          <a:avLst/>
        </a:prstGeom>
        <a:solidFill>
          <a:srgbClr val="51BBB6"/>
        </a:solidFill>
        <a:ln w="19050" cap="flat" cmpd="sng" algn="ctr">
          <a:solidFill>
            <a:srgbClr val="173457"/>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1430" tIns="11430" rIns="11430" bIns="11430" numCol="1" spcCol="1270" anchor="ctr" anchorCtr="0">
          <a:noAutofit/>
        </a:bodyPr>
        <a:lstStyle/>
        <a:p>
          <a:pPr lvl="0" algn="ctr" defTabSz="377825">
            <a:lnSpc>
              <a:spcPct val="90000"/>
            </a:lnSpc>
            <a:spcBef>
              <a:spcPct val="0"/>
            </a:spcBef>
            <a:spcAft>
              <a:spcPct val="35000"/>
            </a:spcAft>
          </a:pPr>
          <a:r>
            <a:rPr lang="pl-PL" sz="850" b="1" kern="1200"/>
            <a:t>FINANSOWE</a:t>
          </a:r>
        </a:p>
      </dsp:txBody>
      <dsp:txXfrm>
        <a:off x="3419751" y="1463825"/>
        <a:ext cx="732070" cy="339835"/>
      </dsp:txXfrm>
    </dsp:sp>
    <dsp:sp modelId="{E3CC0C3A-677D-4E31-95D1-0DC679552D50}">
      <dsp:nvSpPr>
        <dsp:cNvPr id="0" name=""/>
        <dsp:cNvSpPr/>
      </dsp:nvSpPr>
      <dsp:spPr>
        <a:xfrm rot="2957919">
          <a:off x="2713575" y="1754744"/>
          <a:ext cx="216196" cy="270617"/>
        </a:xfrm>
        <a:prstGeom prst="rightArrow">
          <a:avLst>
            <a:gd name="adj1" fmla="val 60000"/>
            <a:gd name="adj2" fmla="val 50000"/>
          </a:avLst>
        </a:prstGeom>
        <a:solidFill>
          <a:srgbClr val="CCA879"/>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488950">
            <a:lnSpc>
              <a:spcPct val="90000"/>
            </a:lnSpc>
            <a:spcBef>
              <a:spcPct val="0"/>
            </a:spcBef>
            <a:spcAft>
              <a:spcPct val="35000"/>
            </a:spcAft>
          </a:pPr>
          <a:endParaRPr lang="pl-PL" sz="1100" kern="1200"/>
        </a:p>
      </dsp:txBody>
      <dsp:txXfrm>
        <a:off x="2724857" y="1784282"/>
        <a:ext cx="151337" cy="162371"/>
      </dsp:txXfrm>
    </dsp:sp>
    <dsp:sp modelId="{C22AA92A-046C-401A-9652-C7D4FB55B2B7}">
      <dsp:nvSpPr>
        <dsp:cNvPr id="0" name=""/>
        <dsp:cNvSpPr/>
      </dsp:nvSpPr>
      <dsp:spPr>
        <a:xfrm>
          <a:off x="2600366" y="2034050"/>
          <a:ext cx="1103743" cy="480599"/>
        </a:xfrm>
        <a:prstGeom prst="ellipse">
          <a:avLst/>
        </a:prstGeom>
        <a:solidFill>
          <a:srgbClr val="51BBB6"/>
        </a:solidFill>
        <a:ln w="19050" cap="flat" cmpd="sng" algn="ctr">
          <a:solidFill>
            <a:srgbClr val="173457"/>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1430" tIns="11430" rIns="11430" bIns="11430" numCol="1" spcCol="1270" anchor="ctr" anchorCtr="0">
          <a:noAutofit/>
        </a:bodyPr>
        <a:lstStyle/>
        <a:p>
          <a:pPr lvl="0" algn="ctr" defTabSz="377825">
            <a:lnSpc>
              <a:spcPct val="90000"/>
            </a:lnSpc>
            <a:spcBef>
              <a:spcPct val="0"/>
            </a:spcBef>
            <a:spcAft>
              <a:spcPct val="35000"/>
            </a:spcAft>
          </a:pPr>
          <a:r>
            <a:rPr lang="pl-PL" sz="850" b="1" kern="1200"/>
            <a:t>RYNKOWE</a:t>
          </a:r>
        </a:p>
      </dsp:txBody>
      <dsp:txXfrm>
        <a:off x="2762005" y="2104432"/>
        <a:ext cx="780465" cy="339835"/>
      </dsp:txXfrm>
    </dsp:sp>
    <dsp:sp modelId="{62CA5AB3-54D2-4E97-9F1A-3B6163F71B7F}">
      <dsp:nvSpPr>
        <dsp:cNvPr id="0" name=""/>
        <dsp:cNvSpPr/>
      </dsp:nvSpPr>
      <dsp:spPr>
        <a:xfrm rot="7816407">
          <a:off x="1935844" y="1750441"/>
          <a:ext cx="206940" cy="270617"/>
        </a:xfrm>
        <a:prstGeom prst="rightArrow">
          <a:avLst>
            <a:gd name="adj1" fmla="val 60000"/>
            <a:gd name="adj2" fmla="val 50000"/>
          </a:avLst>
        </a:prstGeom>
        <a:solidFill>
          <a:srgbClr val="CCA879"/>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488950">
            <a:lnSpc>
              <a:spcPct val="90000"/>
            </a:lnSpc>
            <a:spcBef>
              <a:spcPct val="0"/>
            </a:spcBef>
            <a:spcAft>
              <a:spcPct val="35000"/>
            </a:spcAft>
          </a:pPr>
          <a:endParaRPr lang="pl-PL" sz="1100" kern="1200"/>
        </a:p>
      </dsp:txBody>
      <dsp:txXfrm rot="10800000">
        <a:off x="1986951" y="1780881"/>
        <a:ext cx="144858" cy="162371"/>
      </dsp:txXfrm>
    </dsp:sp>
    <dsp:sp modelId="{FAD60A75-BDBF-41FA-AC84-FE8A5E9E678A}">
      <dsp:nvSpPr>
        <dsp:cNvPr id="0" name=""/>
        <dsp:cNvSpPr/>
      </dsp:nvSpPr>
      <dsp:spPr>
        <a:xfrm>
          <a:off x="1141726" y="2025418"/>
          <a:ext cx="1151308" cy="480599"/>
        </a:xfrm>
        <a:prstGeom prst="ellipse">
          <a:avLst/>
        </a:prstGeom>
        <a:solidFill>
          <a:srgbClr val="51BBB6"/>
        </a:solidFill>
        <a:ln w="19050" cap="flat" cmpd="sng" algn="ctr">
          <a:solidFill>
            <a:srgbClr val="173457"/>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1430" tIns="11430" rIns="11430" bIns="11430" numCol="1" spcCol="1270" anchor="ctr" anchorCtr="0">
          <a:noAutofit/>
        </a:bodyPr>
        <a:lstStyle/>
        <a:p>
          <a:pPr lvl="0" algn="ctr" defTabSz="377825">
            <a:lnSpc>
              <a:spcPct val="90000"/>
            </a:lnSpc>
            <a:spcBef>
              <a:spcPct val="0"/>
            </a:spcBef>
            <a:spcAft>
              <a:spcPct val="35000"/>
            </a:spcAft>
          </a:pPr>
          <a:r>
            <a:rPr lang="pl-PL" sz="850" b="1" kern="1200"/>
            <a:t>ORGANIZACYJNE</a:t>
          </a:r>
        </a:p>
      </dsp:txBody>
      <dsp:txXfrm>
        <a:off x="1310331" y="2095800"/>
        <a:ext cx="814098" cy="339835"/>
      </dsp:txXfrm>
    </dsp:sp>
    <dsp:sp modelId="{6EF3BD34-BF6D-478A-A3DF-5CC513501F9B}">
      <dsp:nvSpPr>
        <dsp:cNvPr id="0" name=""/>
        <dsp:cNvSpPr/>
      </dsp:nvSpPr>
      <dsp:spPr>
        <a:xfrm rot="10346307">
          <a:off x="1644682" y="1385567"/>
          <a:ext cx="188517" cy="270617"/>
        </a:xfrm>
        <a:prstGeom prst="rightArrow">
          <a:avLst>
            <a:gd name="adj1" fmla="val 60000"/>
            <a:gd name="adj2" fmla="val 50000"/>
          </a:avLst>
        </a:prstGeom>
        <a:solidFill>
          <a:srgbClr val="CCA879"/>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488950">
            <a:lnSpc>
              <a:spcPct val="90000"/>
            </a:lnSpc>
            <a:spcBef>
              <a:spcPct val="0"/>
            </a:spcBef>
            <a:spcAft>
              <a:spcPct val="35000"/>
            </a:spcAft>
          </a:pPr>
          <a:endParaRPr lang="pl-PL" sz="1100" kern="1200"/>
        </a:p>
      </dsp:txBody>
      <dsp:txXfrm rot="10800000">
        <a:off x="1700991" y="1435969"/>
        <a:ext cx="131962" cy="162371"/>
      </dsp:txXfrm>
    </dsp:sp>
    <dsp:sp modelId="{2D7C0AFD-91F2-489C-8B62-8FABEACBB9E1}">
      <dsp:nvSpPr>
        <dsp:cNvPr id="0" name=""/>
        <dsp:cNvSpPr/>
      </dsp:nvSpPr>
      <dsp:spPr>
        <a:xfrm>
          <a:off x="541997" y="1370749"/>
          <a:ext cx="1035304" cy="480599"/>
        </a:xfrm>
        <a:prstGeom prst="ellipse">
          <a:avLst/>
        </a:prstGeom>
        <a:solidFill>
          <a:srgbClr val="51BBB6"/>
        </a:solidFill>
        <a:ln w="19050" cap="flat" cmpd="sng" algn="ctr">
          <a:solidFill>
            <a:srgbClr val="173457"/>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1430" tIns="11430" rIns="11430" bIns="11430" numCol="1" spcCol="1270" anchor="ctr" anchorCtr="0">
          <a:noAutofit/>
        </a:bodyPr>
        <a:lstStyle/>
        <a:p>
          <a:pPr lvl="0" algn="ctr" defTabSz="377825">
            <a:lnSpc>
              <a:spcPct val="90000"/>
            </a:lnSpc>
            <a:spcBef>
              <a:spcPct val="0"/>
            </a:spcBef>
            <a:spcAft>
              <a:spcPct val="35000"/>
            </a:spcAft>
          </a:pPr>
          <a:r>
            <a:rPr lang="pl-PL" sz="850" b="1" kern="1200"/>
            <a:t>PRAWNE</a:t>
          </a:r>
        </a:p>
      </dsp:txBody>
      <dsp:txXfrm>
        <a:off x="693614" y="1441131"/>
        <a:ext cx="732070" cy="339835"/>
      </dsp:txXfrm>
    </dsp:sp>
    <dsp:sp modelId="{C0889C18-C450-4D23-814A-E3E7311F4B1B}">
      <dsp:nvSpPr>
        <dsp:cNvPr id="0" name=""/>
        <dsp:cNvSpPr/>
      </dsp:nvSpPr>
      <dsp:spPr>
        <a:xfrm rot="12334341">
          <a:off x="1690764" y="997610"/>
          <a:ext cx="229424" cy="270617"/>
        </a:xfrm>
        <a:prstGeom prst="rightArrow">
          <a:avLst>
            <a:gd name="adj1" fmla="val 60000"/>
            <a:gd name="adj2" fmla="val 50000"/>
          </a:avLst>
        </a:prstGeom>
        <a:solidFill>
          <a:srgbClr val="CCA879"/>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488950">
            <a:lnSpc>
              <a:spcPct val="90000"/>
            </a:lnSpc>
            <a:spcBef>
              <a:spcPct val="0"/>
            </a:spcBef>
            <a:spcAft>
              <a:spcPct val="35000"/>
            </a:spcAft>
          </a:pPr>
          <a:endParaRPr lang="pl-PL" sz="1100" kern="1200"/>
        </a:p>
      </dsp:txBody>
      <dsp:txXfrm rot="10800000">
        <a:off x="1756220" y="1066588"/>
        <a:ext cx="160597" cy="162371"/>
      </dsp:txXfrm>
    </dsp:sp>
    <dsp:sp modelId="{E27970B1-A247-411A-9966-6B030C454C4B}">
      <dsp:nvSpPr>
        <dsp:cNvPr id="0" name=""/>
        <dsp:cNvSpPr/>
      </dsp:nvSpPr>
      <dsp:spPr>
        <a:xfrm>
          <a:off x="726295" y="623913"/>
          <a:ext cx="1035304" cy="480599"/>
        </a:xfrm>
        <a:prstGeom prst="ellipse">
          <a:avLst/>
        </a:prstGeom>
        <a:solidFill>
          <a:srgbClr val="51BBB6"/>
        </a:solidFill>
        <a:ln w="19050" cap="flat" cmpd="sng" algn="ctr">
          <a:solidFill>
            <a:srgbClr val="173457"/>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1430" tIns="11430" rIns="11430" bIns="11430" numCol="1" spcCol="1270" anchor="ctr" anchorCtr="0">
          <a:noAutofit/>
        </a:bodyPr>
        <a:lstStyle/>
        <a:p>
          <a:pPr lvl="0" algn="ctr" defTabSz="377825">
            <a:lnSpc>
              <a:spcPct val="90000"/>
            </a:lnSpc>
            <a:spcBef>
              <a:spcPct val="0"/>
            </a:spcBef>
            <a:spcAft>
              <a:spcPct val="35000"/>
            </a:spcAft>
          </a:pPr>
          <a:r>
            <a:rPr lang="pl-PL" sz="850" b="1" kern="1200"/>
            <a:t>KADROWE</a:t>
          </a:r>
        </a:p>
      </dsp:txBody>
      <dsp:txXfrm>
        <a:off x="877912" y="694295"/>
        <a:ext cx="732070" cy="339835"/>
      </dsp:txXfrm>
    </dsp:sp>
  </dsp:spTree>
</dsp:drawing>
</file>

<file path=word/diagrams/layout1.xml><?xml version="1.0" encoding="utf-8"?>
<dgm:layoutDef xmlns:dgm="http://schemas.openxmlformats.org/drawingml/2006/diagram" xmlns:a="http://schemas.openxmlformats.org/drawingml/2006/main" uniqueId="urn:microsoft.com/office/officeart/2005/8/layout/hierarchy3">
  <dgm:title val=""/>
  <dgm:desc val=""/>
  <dgm:catLst>
    <dgm:cat type="hierarchy" pri="7000"/>
    <dgm:cat type="list" pri="23000"/>
    <dgm:cat type="relationship" pri="15000"/>
    <dgm:cat type="convert" pri="7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Lst>
      <dgm:cxnLst>
        <dgm:cxn modelId="4" srcId="0" destId="1" srcOrd="0" destOrd="0"/>
        <dgm:cxn modelId="5" srcId="1" destId="11" srcOrd="0" destOrd="0"/>
        <dgm:cxn modelId="6" srcId="1" destId="12" srcOrd="1" destOrd="0"/>
        <dgm:cxn modelId="7" srcId="0" destId="2" srcOrd="1" destOrd="0"/>
        <dgm:cxn modelId="8" srcId="2" destId="21" srcOrd="0" destOrd="0"/>
        <dgm:cxn modelId="9" srcId="2" destId="2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diagram">
    <dgm:varLst>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primFontSz" for="des" forName="rootText" op="equ" val="65"/>
      <dgm:constr type="primFontSz" for="des" forName="childText" op="equ" val="65"/>
      <dgm:constr type="w" for="des" forName="rootComposite" refType="w"/>
      <dgm:constr type="h" for="des" forName="rootComposite" refType="w" fact="0.5"/>
      <dgm:constr type="w" for="des" forName="childText" refType="w" refFor="des" refForName="rootComposite" fact="0.8"/>
      <dgm:constr type="h" for="des" forName="childText" refType="h" refFor="des" refForName="rootComposite"/>
      <dgm:constr type="sibSp" refType="w" refFor="des" refForName="rootComposite" fact="0.25"/>
      <dgm:constr type="sibSp" for="des" forName="childShape" refType="h" refFor="des" refForName="childText" fact="0.25"/>
      <dgm:constr type="sp" for="des" forName="root" refType="h" refFor="des" refForName="childText" fact="0.25"/>
    </dgm:constrLst>
    <dgm:ruleLst/>
    <dgm:forEach name="Name3" axis="ch">
      <dgm:forEach name="Name4" axis="self" ptType="node" cnt="1">
        <dgm:layoutNode name="root">
          <dgm:choose name="Name5">
            <dgm:if name="Name6" func="var" arg="dir" op="equ" val="norm">
              <dgm:alg type="hierRoot">
                <dgm:param type="hierAlign" val="tL"/>
              </dgm:alg>
            </dgm:if>
            <dgm:else name="Name7">
              <dgm:alg type="hierRoot">
                <dgm:param type="hierAlign" val="tR"/>
              </dgm:alg>
            </dgm:else>
          </dgm:choose>
          <dgm:shape xmlns:r="http://schemas.openxmlformats.org/officeDocument/2006/relationships" r:blip="">
            <dgm:adjLst/>
          </dgm:shape>
          <dgm:presOf/>
          <dgm:constrLst>
            <dgm:constr type="alignOff" val="0.2"/>
          </dgm:constrLst>
          <dgm:ruleLst/>
          <dgm:layoutNode name="rootComposite">
            <dgm:alg type="composite"/>
            <dgm:shape xmlns:r="http://schemas.openxmlformats.org/officeDocument/2006/relationships" r:blip="">
              <dgm:adjLst/>
            </dgm:shape>
            <dgm:presOf axis="self" ptType="node" cnt="1"/>
            <dgm:choose name="Name8">
              <dgm:if name="Name9" func="var" arg="dir" op="equ" val="norm">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10">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styleLbl="node1">
              <dgm:alg type="tx"/>
              <dgm:shape xmlns:r="http://schemas.openxmlformats.org/officeDocument/2006/relationships" type="roundRect" r:blip="">
                <dgm:adjLst>
                  <dgm:adj idx="1" val="0.1"/>
                </dgm:adjLst>
              </dgm:shape>
              <dgm:presOf axis="self" ptType="node" cnt="1"/>
              <dgm:constrLst>
                <dgm:constr type="tMarg" refType="primFontSz" fact="0.1"/>
                <dgm:constr type="bMarg" refType="primFontSz" fact="0.1"/>
                <dgm:constr type="lMarg" refType="primFontSz" fact="0.15"/>
                <dgm:constr type="rMarg" refType="primFontSz" fact="0.15"/>
              </dgm:constrLst>
              <dgm:ruleLst>
                <dgm:rule type="primFontSz" val="5" fact="NaN" max="NaN"/>
              </dgm:ruleLst>
            </dgm:layoutNode>
            <dgm:layoutNode name="rootConnector" moveWith="rootText">
              <dgm:alg type="sp"/>
              <dgm:shape xmlns:r="http://schemas.openxmlformats.org/officeDocument/2006/relationships" type="roundRect" r:blip="" hideGeom="1">
                <dgm:adjLst>
                  <dgm:adj idx="1" val="0.1"/>
                </dgm:adjLst>
              </dgm:shape>
              <dgm:presOf axis="self" ptType="node" cnt="1"/>
              <dgm:constrLst/>
              <dgm:ruleLst/>
            </dgm:layoutNode>
          </dgm:layoutNode>
          <dgm:layoutNode name="childShape">
            <dgm:alg type="hierChild">
              <dgm:param type="chAlign" val="l"/>
              <dgm:param type="linDir" val="fromT"/>
            </dgm:alg>
            <dgm:shape xmlns:r="http://schemas.openxmlformats.org/officeDocument/2006/relationships" r:blip="">
              <dgm:adjLst/>
            </dgm:shape>
            <dgm:presOf/>
            <dgm:constrLst/>
            <dgm:ruleLst/>
            <dgm:forEach name="Name11" axis="ch">
              <dgm:forEach name="Name12" axis="self" ptType="parTrans" cnt="1">
                <dgm:layoutNode name="Name13">
                  <dgm:choose name="Name14">
                    <dgm:if name="Name15" func="var" arg="dir" op="equ" val="norm">
                      <dgm:alg type="conn">
                        <dgm:param type="dim" val="1D"/>
                        <dgm:param type="endSty" val="noArr"/>
                        <dgm:param type="connRout" val="bend"/>
                        <dgm:param type="srcNode" val="rootConnector"/>
                        <dgm:param type="begPts" val="bCtr"/>
                        <dgm:param type="endPts" val="midL"/>
                      </dgm:alg>
                    </dgm:if>
                    <dgm:else name="Name16">
                      <dgm:alg type="conn">
                        <dgm:param type="dim" val="1D"/>
                        <dgm:param type="endSty" val="noArr"/>
                        <dgm:param type="connRout" val="bend"/>
                        <dgm:param type="srcNode" val="rootConnector"/>
                        <dgm:param type="begPts" val="bCtr"/>
                        <dgm:param type="endPts" val="midR"/>
                      </dgm:alg>
                    </dgm:else>
                  </dgm:choose>
                  <dgm:shape xmlns:r="http://schemas.openxmlformats.org/officeDocument/2006/relationships" type="conn" r:blip="">
                    <dgm:adjLst/>
                  </dgm:shape>
                  <dgm:presOf axis="self"/>
                  <dgm:constrLst>
                    <dgm:constr type="begPad"/>
                    <dgm:constr type="endPad"/>
                  </dgm:constrLst>
                  <dgm:ruleLst/>
                </dgm:layoutNode>
              </dgm:forEach>
              <dgm:forEach name="Name17" axis="self" ptType="node">
                <dgm:layoutNode name="childText" styleLbl="bgAcc1">
                  <dgm:varLst>
                    <dgm:bulletEnabled val="1"/>
                  </dgm:varLst>
                  <dgm:alg type="tx"/>
                  <dgm:shape xmlns:r="http://schemas.openxmlformats.org/officeDocument/2006/relationships" type="roundRect" r:blip="">
                    <dgm:adjLst>
                      <dgm:adj idx="1" val="0.1"/>
                    </dgm:adjLst>
                  </dgm:shape>
                  <dgm:presOf axis="self desOrSelf" ptType="node node" st="1 1" cnt="1 0"/>
                  <dgm:constrLst>
                    <dgm:constr type="tMarg" refType="primFontSz" fact="0.1"/>
                    <dgm:constr type="bMarg" refType="primFontSz" fact="0.1"/>
                    <dgm:constr type="lMarg" refType="primFontSz" fact="0.15"/>
                    <dgm:constr type="rMarg" refType="primFontSz" fact="0.15"/>
                  </dgm:constrLst>
                  <dgm:ruleLst>
                    <dgm:rule type="primFontSz" val="5" fact="NaN" max="NaN"/>
                  </dgm:ruleLst>
                </dgm:layoutNode>
              </dgm:forEach>
            </dgm:forEach>
          </dgm:layoutNode>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radial2">
  <dgm:title val=""/>
  <dgm:desc val=""/>
  <dgm:catLst>
    <dgm:cat type="relationship" pri="20000"/>
    <dgm:cat type="convert" pri="9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composite">
    <dgm:varLst>
      <dgm:chMax val="5"/>
      <dgm:dir/>
      <dgm:animLvl val="ctr"/>
      <dgm:resizeHandles val="exact"/>
    </dgm:varLst>
    <dgm:alg type="composite"/>
    <dgm:shape xmlns:r="http://schemas.openxmlformats.org/officeDocument/2006/relationships" r:blip="">
      <dgm:adjLst/>
    </dgm:shape>
    <dgm:presOf/>
    <dgm:constrLst>
      <dgm:constr type="w" for="ch" forName="cycle" refType="w"/>
      <dgm:constr type="h" for="ch" forName="cycle" refType="h"/>
    </dgm:constrLst>
    <dgm:ruleLst/>
    <dgm:layoutNode name="cycle">
      <dgm:choose name="Name0">
        <dgm:if name="Name1" func="var" arg="dir" op="equ" val="norm">
          <dgm:choose name="Name2">
            <dgm:if name="Name3" axis="ch" ptType="node" func="cnt" op="lte" val="1">
              <dgm:alg type="cycle">
                <dgm:param type="stAng" val="90"/>
                <dgm:param type="spanAng" val="360"/>
                <dgm:param type="ctrShpMap" val="fNode"/>
              </dgm:alg>
            </dgm:if>
            <dgm:if name="Name4" axis="ch" ptType="node" func="cnt" op="equ" val="2">
              <dgm:alg type="cycle">
                <dgm:param type="stAng" val="70"/>
                <dgm:param type="spanAng" val="40"/>
                <dgm:param type="ctrShpMap" val="fNode"/>
              </dgm:alg>
            </dgm:if>
            <dgm:if name="Name5" axis="ch" ptType="node" func="cnt" op="equ" val="3">
              <dgm:alg type="cycle">
                <dgm:param type="stAng" val="60"/>
                <dgm:param type="spanAng" val="60"/>
                <dgm:param type="ctrShpMap" val="fNode"/>
              </dgm:alg>
            </dgm:if>
            <dgm:else name="Name6">
              <dgm:alg type="cycle">
                <dgm:param type="stAng" val="45"/>
                <dgm:param type="spanAng" val="90"/>
                <dgm:param type="ctrShpMap" val="fNode"/>
              </dgm:alg>
            </dgm:else>
          </dgm:choose>
        </dgm:if>
        <dgm:else name="Name7">
          <dgm:choose name="Name8">
            <dgm:if name="Name9" axis="ch" ptType="node" func="cnt" op="lte" val="1">
              <dgm:alg type="cycle">
                <dgm:param type="stAng" val="-90"/>
                <dgm:param type="spanAng" val="-360"/>
                <dgm:param type="ctrShpMap" val="fNode"/>
              </dgm:alg>
            </dgm:if>
            <dgm:if name="Name10" axis="ch" ptType="node" func="cnt" op="equ" val="2">
              <dgm:alg type="cycle">
                <dgm:param type="stAng" val="-70"/>
                <dgm:param type="spanAng" val="-40"/>
                <dgm:param type="ctrShpMap" val="fNode"/>
              </dgm:alg>
            </dgm:if>
            <dgm:if name="Name11" axis="ch" ptType="node" func="cnt" op="equ" val="3">
              <dgm:alg type="cycle">
                <dgm:param type="stAng" val="-60"/>
                <dgm:param type="spanAng" val="-60"/>
                <dgm:param type="ctrShpMap" val="fNode"/>
              </dgm:alg>
            </dgm:if>
            <dgm:else name="Name12">
              <dgm:alg type="cycle">
                <dgm:param type="stAng" val="-45"/>
                <dgm:param type="spanAng" val="-90"/>
                <dgm:param type="ctrShpMap" val="fNode"/>
              </dgm:alg>
            </dgm:else>
          </dgm:choose>
        </dgm:else>
      </dgm:choose>
      <dgm:shape xmlns:r="http://schemas.openxmlformats.org/officeDocument/2006/relationships" r:blip="">
        <dgm:adjLst/>
      </dgm:shape>
      <dgm:presOf/>
      <dgm:constrLst>
        <dgm:constr type="sp" val="20"/>
        <dgm:constr type="w" for="ch" forName="centerShape" refType="w"/>
        <dgm:constr type="w" for="ch" forName="node" refType="w" refFor="ch" refForName="centerShape" fact="1.5"/>
        <dgm:constr type="sibSp" refType="w" refFor="ch" refForName="centerShape" op="equ" fact="0.08"/>
        <dgm:constr type="primFontSz" for="des" forName="parentNode" op="equ" val="65"/>
        <dgm:constr type="secFontSz" for="des" forName="childNode" op="equ" val="65"/>
      </dgm:constrLst>
      <dgm:ruleLst/>
      <dgm:choose name="Name13">
        <dgm:if name="Name14" axis="ch" ptType="node" hideLastTrans="0" func="cnt" op="gte" val="1">
          <dgm:layoutNode name="centerShape" styleLbl="node0">
            <dgm:alg type="composite"/>
            <dgm:shape xmlns:r="http://schemas.openxmlformats.org/officeDocument/2006/relationships" r:blip="">
              <dgm:adjLst/>
            </dgm:shape>
            <dgm:presOf axis="ch" ptType="node" cnt="1"/>
            <dgm:constrLst>
              <dgm:constr type="w" for="ch" forName="connSite" refType="w" fact="0.7"/>
              <dgm:constr type="h" for="ch" forName="connSite" refType="w" fact="0.7"/>
              <dgm:constr type="ctrX" for="ch" forName="connSite" refType="w" fact="0.5"/>
              <dgm:constr type="ctrY" for="ch" forName="connSite" refType="h" fact="0.5"/>
              <dgm:constr type="w" for="ch" forName="visible" refType="w"/>
              <dgm:constr type="h" for="ch" forName="visible" refType="w"/>
              <dgm:constr type="ctrX" for="ch" forName="visible" refType="w" fact="0.5"/>
              <dgm:constr type="ctrY" for="ch" forName="visible" refType="h" fact="0.5"/>
            </dgm:constrLst>
            <dgm:ruleLst/>
            <dgm:layoutNode name="connSite">
              <dgm:alg type="sp"/>
              <dgm:shape xmlns:r="http://schemas.openxmlformats.org/officeDocument/2006/relationships" type="ellipse" r:blip="" hideGeom="1">
                <dgm:adjLst/>
              </dgm:shape>
              <dgm:presOf/>
              <dgm:constrLst/>
              <dgm:ruleLst/>
            </dgm:layoutNode>
            <dgm:layoutNode name="visible">
              <dgm:alg type="sp"/>
              <dgm:shape xmlns:r="http://schemas.openxmlformats.org/officeDocument/2006/relationships" type="ellipse" r:blip="" blipPhldr="1">
                <dgm:adjLst/>
              </dgm:shape>
              <dgm:presOf/>
              <dgm:constrLst/>
              <dgm:ruleLst/>
            </dgm:layoutNode>
          </dgm:layoutNode>
        </dgm:if>
        <dgm:else name="Name15"/>
      </dgm:choose>
      <dgm:forEach name="Name16" axis="ch">
        <dgm:forEach name="Name17" axis="self" ptType="node">
          <dgm:layoutNode name="node">
            <dgm:alg type="composite"/>
            <dgm:shape xmlns:r="http://schemas.openxmlformats.org/officeDocument/2006/relationships" r:blip="">
              <dgm:adjLst/>
            </dgm:shape>
            <dgm:presOf/>
            <dgm:choose name="Name18">
              <dgm:if name="Name19" func="var" arg="dir" op="equ" val="norm">
                <dgm:constrLst>
                  <dgm:constr type="t" for="ch" forName="parentNode"/>
                  <dgm:constr type="l" for="ch" forName="parentNode"/>
                  <dgm:constr type="w" for="ch" forName="parentNode" refType="w" fact="0.4"/>
                  <dgm:constr type="h" for="ch" forName="parentNode" refType="w" refFor="ch" refForName="parentNode" op="equ"/>
                  <dgm:constr type="ctrY" for="ch" forName="childNode" refType="h" refFor="ch" refForName="parentNode" fact="0.5"/>
                  <dgm:constr type="l" for="ch" forName="childNode" refType="w" refFor="ch" refForName="parentNode" op="equ" fact="1.1"/>
                  <dgm:constr type="w" for="ch" forName="childNode" refType="w" fact="0.6"/>
                  <dgm:constr type="h" for="ch" forName="childNode" refType="h" refFor="ch" refForName="parentNode"/>
                </dgm:constrLst>
              </dgm:if>
              <dgm:else name="Name20">
                <dgm:constrLst>
                  <dgm:constr type="t" for="ch" forName="parentNode"/>
                  <dgm:constr type="r" for="ch" forName="parentNode" refType="w"/>
                  <dgm:constr type="w" for="ch" forName="parentNode" refType="w" fact="0.4"/>
                  <dgm:constr type="h" for="ch" forName="parentNode" refType="w" refFor="ch" refForName="parentNode" op="equ"/>
                  <dgm:constr type="ctrY" for="ch" forName="childNode" refType="h" refFor="ch" refForName="parentNode" fact="0.5"/>
                  <dgm:constr type="l" for="ch" forName="childNode"/>
                  <dgm:constr type="w" for="ch" forName="childNode" refType="w" fact="0.6"/>
                  <dgm:constr type="h" for="ch" forName="childNode" refType="h" refFor="ch" refForName="parentNode"/>
                </dgm:constrLst>
              </dgm:else>
            </dgm:choose>
            <dgm:ruleLst/>
            <dgm:layoutNode name="parentNode" styleLbl="node1">
              <dgm:varLst>
                <dgm:chMax val="1"/>
                <dgm:bulletEnabled val="1"/>
              </dgm:varLst>
              <dgm:alg type="tx"/>
              <dgm:shape xmlns:r="http://schemas.openxmlformats.org/officeDocument/2006/relationships" type="ellipse" r:blip="">
                <dgm:adjLst/>
              </dgm:shape>
              <dgm:presOf axis="self"/>
              <dgm:constrLst>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layoutNode name="childNode" styleLbl="revTx" moveWith="parentNode">
              <dgm:varLst>
                <dgm:bulletEnabled val="1"/>
              </dgm:varLst>
              <dgm:alg type="tx">
                <dgm:param type="txAnchorVertCh" val="mid"/>
                <dgm:param type="stBulletLvl" val="1"/>
              </dgm:alg>
              <dgm:choose name="Name21">
                <dgm:if name="Name22" axis="ch" ptType="node" func="cnt" op="gte" val="1">
                  <dgm:shape xmlns:r="http://schemas.openxmlformats.org/officeDocument/2006/relationships" type="rect" r:blip="">
                    <dgm:adjLst/>
                  </dgm:shape>
                </dgm:if>
                <dgm:else name="Name23">
                  <dgm:shape xmlns:r="http://schemas.openxmlformats.org/officeDocument/2006/relationships" type="rect" r:blip="" hideGeom="1">
                    <dgm:adjLst/>
                  </dgm:shape>
                </dgm:else>
              </dgm:choose>
              <dgm:presOf axis="des" ptType="node"/>
              <dgm:constrLst>
                <dgm:constr type="tMarg"/>
                <dgm:constr type="bMarg"/>
                <dgm:constr type="lMarg"/>
                <dgm:constr type="rMarg"/>
              </dgm:constrLst>
              <dgm:ruleLst>
                <dgm:rule type="secFontSz" val="5" fact="NaN" max="NaN"/>
              </dgm:ruleLst>
            </dgm:layoutNode>
          </dgm:layoutNode>
        </dgm:forEach>
        <dgm:forEach name="Name24" axis="self" ptType="parTrans" cnt="1">
          <dgm:layoutNode name="Name25">
            <dgm:alg type="conn">
              <dgm:param type="dim" val="1D"/>
              <dgm:param type="endSty" val="noArr"/>
              <dgm:param type="begPts" val="auto"/>
              <dgm:param type="endPts" val="auto"/>
              <dgm:param type="srcNode" val="connSite"/>
              <dgm:param type="dstNode" val="parentNode"/>
            </dgm:alg>
            <dgm:shape xmlns:r="http://schemas.openxmlformats.org/officeDocument/2006/relationships" type="conn" r:blip="" zOrderOff="-99">
              <dgm:adjLst/>
            </dgm:shape>
            <dgm:presOf axis="self"/>
            <dgm:constrLst>
              <dgm:constr type="connDist"/>
              <dgm:constr type="w" val="1"/>
              <dgm:constr type="h" val="5"/>
              <dgm:constr type="begPad"/>
              <dgm:constr type="endPad"/>
            </dgm:constrLst>
            <dgm:ruleLst/>
          </dgm:layoutNode>
        </dgm:forEach>
      </dgm:forEach>
    </dgm:layoutNode>
  </dgm:layoutNode>
</dgm:layoutDef>
</file>

<file path=word/diagrams/layout3.xml><?xml version="1.0" encoding="utf-8"?>
<dgm:layoutDef xmlns:dgm="http://schemas.openxmlformats.org/drawingml/2006/diagram" xmlns:a="http://schemas.openxmlformats.org/drawingml/2006/main" uniqueId="urn:microsoft.com/office/officeart/2005/8/layout/equation2">
  <dgm:title val=""/>
  <dgm:desc val=""/>
  <dgm:catLst>
    <dgm:cat type="relationship" pri="18000"/>
    <dgm:cat type="process" pri="26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resizeHandles val="exact"/>
    </dgm:varLst>
    <dgm:choose name="Name1">
      <dgm:if name="Name2" func="var" arg="dir" op="equ" val="norm">
        <dgm:alg type="lin">
          <dgm:param type="linDir" val="fromL"/>
          <dgm:param type="fallback" val="2D"/>
        </dgm:alg>
      </dgm:if>
      <dgm:else name="Name3">
        <dgm:alg type="lin">
          <dgm:param type="linDir" val="fromR"/>
          <dgm:param type="fallback" val="2D"/>
        </dgm:alg>
      </dgm:else>
    </dgm:choose>
    <dgm:shape xmlns:r="http://schemas.openxmlformats.org/officeDocument/2006/relationships" r:blip="">
      <dgm:adjLst/>
    </dgm:shape>
    <dgm:presOf/>
    <dgm:choose name="Name4">
      <dgm:if name="Name5" axis="ch" ptType="node" func="cnt" op="gte" val="3">
        <dgm:constrLst>
          <dgm:constr type="h" for="des" forName="node" refType="w" fact="0.5"/>
          <dgm:constr type="w" for="ch" forName="lastNode" refType="w"/>
          <dgm:constr type="w" for="des" forName="node" refType="h" refFor="des" refForName="node"/>
          <dgm:constr type="w" for="ch" forName="sibTransLast" refType="h" refFor="des" refForName="node" fact="0.6"/>
          <dgm:constr type="h" for="des" forName="sibTrans" refType="h" refFor="des" refForName="node" op="equ" fact="0.58"/>
          <dgm:constr type="w" for="des" forName="sibTrans" refType="h" refFor="des" refForName="sibTrans" op="equ"/>
          <dgm:constr type="primFontSz" for="ch" forName="lastNode" op="equ" val="65"/>
          <dgm:constr type="primFontSz" for="des" forName="node" op="equ" val="65"/>
          <dgm:constr type="primFontSz" for="des" forName="sibTrans" val="55"/>
          <dgm:constr type="primFontSz" for="des" forName="sibTrans" refType="primFontSz" refFor="des" refForName="node" op="lte" fact="0.8"/>
          <dgm:constr type="primFontSz" for="des" forName="connectorText" refType="primFontSz" refFor="des" refForName="node" op="lte" fact="0.8"/>
          <dgm:constr type="primFontSz" for="des" forName="connectorText" refType="primFontSz" refFor="des" refForName="sibTrans" op="equ"/>
          <dgm:constr type="h" for="des" forName="spacerT" refType="h" refFor="des" refForName="sibTrans" fact="0.14"/>
          <dgm:constr type="h" for="des" forName="spacerB" refType="h" refFor="des" refForName="sibTrans" fact="0.14"/>
        </dgm:constrLst>
      </dgm:if>
      <dgm:else name="Name6">
        <dgm:constrLst>
          <dgm:constr type="h" for="des" forName="node" refType="w"/>
          <dgm:constr type="w" for="ch" forName="lastNode" refType="w"/>
          <dgm:constr type="w" for="des" forName="node" refType="h" refFor="des" refForName="node"/>
          <dgm:constr type="w" for="ch" forName="sibTransLast" refType="h" refFor="des" refForName="node" fact="0.6"/>
          <dgm:constr type="h" for="des" forName="sibTrans" refType="h" refFor="des" refForName="node" op="equ" fact="0.58"/>
          <dgm:constr type="w" for="des" forName="sibTrans" refType="h" refFor="des" refForName="sibTrans" op="equ"/>
          <dgm:constr type="primFontSz" for="des" forName="node" val="65"/>
          <dgm:constr type="primFontSz" for="ch" forName="lastNode" refType="primFontSz" refFor="des" refForName="node" op="equ"/>
          <dgm:constr type="primFontSz" for="des" forName="sibTrans" val="55"/>
          <dgm:constr type="primFontSz" for="des" forName="connectorText" refType="primFontSz" refFor="des" refForName="node" op="lte" fact="0.8"/>
          <dgm:constr type="primFontSz" for="des" forName="connectorText" refType="primFontSz" refFor="des" refForName="sibTrans" op="equ"/>
          <dgm:constr type="h" for="des" forName="spacerT" refType="h" refFor="des" refForName="sibTrans" fact="0.14"/>
          <dgm:constr type="h" for="des" forName="spacerB" refType="h" refFor="des" refForName="sibTrans" fact="0.14"/>
        </dgm:constrLst>
      </dgm:else>
    </dgm:choose>
    <dgm:ruleLst/>
    <dgm:choose name="Name7">
      <dgm:if name="Name8" axis="ch" ptType="node" func="cnt" op="gte" val="1">
        <dgm:layoutNode name="vNodes">
          <dgm:alg type="lin">
            <dgm:param type="linDir" val="fromT"/>
            <dgm:param type="fallback" val="2D"/>
          </dgm:alg>
          <dgm:shape xmlns:r="http://schemas.openxmlformats.org/officeDocument/2006/relationships" r:blip="">
            <dgm:adjLst/>
          </dgm:shape>
          <dgm:presOf/>
          <dgm:constrLst/>
          <dgm:ruleLst/>
          <dgm:forEach name="Name9" axis="ch" ptType="node">
            <dgm:choose name="Name10">
              <dgm:if name="Name11" axis="self" func="revPos" op="neq" val="1">
                <dgm:layoutNode name="node">
                  <dgm:varLst>
                    <dgm:bulletEnabled val="1"/>
                  </dgm:varLst>
                  <dgm:alg type="tx">
                    <dgm:param type="txAnchorVertCh" val="mid"/>
                  </dgm:alg>
                  <dgm:shape xmlns:r="http://schemas.openxmlformats.org/officeDocument/2006/relationships" type="ellipse" r:blip="">
                    <dgm:adjLst/>
                  </dgm:shape>
                  <dgm:presOf axis="desOrSelf" ptType="node"/>
                  <dgm:constrLst>
                    <dgm:constr type="tMarg" refType="primFontSz" fact="0.1"/>
                    <dgm:constr type="bMarg" refType="primFontSz" fact="0.1"/>
                    <dgm:constr type="lMarg" refType="primFontSz" fact="0.1"/>
                    <dgm:constr type="rMarg" refType="primFontSz" fact="0.1"/>
                  </dgm:constrLst>
                  <dgm:ruleLst>
                    <dgm:rule type="primFontSz" val="5" fact="NaN" max="NaN"/>
                  </dgm:ruleLst>
                </dgm:layoutNode>
                <dgm:choose name="Name12">
                  <dgm:if name="Name13" axis="self" ptType="node" func="revPos" op="gt" val="2">
                    <dgm:forEach name="sibTransForEach" axis="followSib" ptType="sibTrans" cnt="1">
                      <dgm:layoutNode name="spacerT">
                        <dgm:alg type="sp"/>
                        <dgm:shape xmlns:r="http://schemas.openxmlformats.org/officeDocument/2006/relationships" r:blip="">
                          <dgm:adjLst/>
                        </dgm:shape>
                        <dgm:presOf axis="self"/>
                        <dgm:constrLst/>
                        <dgm:ruleLst/>
                      </dgm:layoutNode>
                      <dgm:layoutNode name="sibTrans">
                        <dgm:alg type="tx"/>
                        <dgm:shape xmlns:r="http://schemas.openxmlformats.org/officeDocument/2006/relationships" type="mathPlus" r:blip="">
                          <dgm:adjLst/>
                        </dgm:shape>
                        <dgm:presOf axis="self"/>
                        <dgm:constrLst>
                          <dgm:constr type="h" refType="w"/>
                          <dgm:constr type="lMarg"/>
                          <dgm:constr type="rMarg"/>
                          <dgm:constr type="tMarg"/>
                          <dgm:constr type="bMarg"/>
                        </dgm:constrLst>
                        <dgm:ruleLst>
                          <dgm:rule type="primFontSz" val="5" fact="NaN" max="NaN"/>
                        </dgm:ruleLst>
                      </dgm:layoutNode>
                      <dgm:layoutNode name="spacerB">
                        <dgm:alg type="sp"/>
                        <dgm:shape xmlns:r="http://schemas.openxmlformats.org/officeDocument/2006/relationships" r:blip="">
                          <dgm:adjLst/>
                        </dgm:shape>
                        <dgm:presOf axis="self"/>
                        <dgm:constrLst/>
                        <dgm:ruleLst/>
                      </dgm:layoutNode>
                    </dgm:forEach>
                  </dgm:if>
                  <dgm:else name="Name14"/>
                </dgm:choose>
              </dgm:if>
              <dgm:else name="Name15"/>
            </dgm:choose>
          </dgm:forEach>
        </dgm:layoutNode>
        <dgm:choose name="Name16">
          <dgm:if name="Name17" axis="ch" ptType="node" func="cnt" op="gt" val="1">
            <dgm:layoutNode name="sibTransLast">
              <dgm:alg type="conn">
                <dgm:param type="begPts" val="auto"/>
                <dgm:param type="endPts" val="auto"/>
                <dgm:param type="srcNode" val="vNodes"/>
                <dgm:param type="dstNode" val="lastNode"/>
              </dgm:alg>
              <dgm:shape xmlns:r="http://schemas.openxmlformats.org/officeDocument/2006/relationships" type="conn" r:blip="">
                <dgm:adjLst/>
              </dgm:shape>
              <dgm:presOf axis="ch" ptType="sibTrans" st="-1" cnt="1"/>
              <dgm:constrLst>
                <dgm:constr type="h" refType="w" fact="0.62"/>
                <dgm:constr type="connDist"/>
                <dgm:constr type="begPad" refType="connDist" fact="0.25"/>
                <dgm:constr type="endPad" refType="connDist" fact="0.22"/>
              </dgm:constrLst>
              <dgm:ruleLst/>
              <dgm:layoutNode name="connectorText">
                <dgm:alg type="tx">
                  <dgm:param type="autoTxRot" val="grav"/>
                </dgm:alg>
                <dgm:shape xmlns:r="http://schemas.openxmlformats.org/officeDocument/2006/relationships" type="conn" r:blip="" hideGeom="1">
                  <dgm:adjLst/>
                </dgm:shape>
                <dgm:presOf axis="ch desOrSelf" ptType="sibTrans sibTrans" st="-1 1" cnt="1 0"/>
                <dgm:constrLst>
                  <dgm:constr type="lMarg"/>
                  <dgm:constr type="rMarg"/>
                  <dgm:constr type="tMarg"/>
                  <dgm:constr type="bMarg"/>
                </dgm:constrLst>
                <dgm:ruleLst>
                  <dgm:rule type="primFontSz" val="5" fact="NaN" max="NaN"/>
                </dgm:ruleLst>
              </dgm:layoutNode>
            </dgm:layoutNode>
          </dgm:if>
          <dgm:else name="Name18"/>
        </dgm:choose>
        <dgm:layoutNode name="lastNode">
          <dgm:varLst>
            <dgm:bulletEnabled val="1"/>
          </dgm:varLst>
          <dgm:alg type="tx">
            <dgm:param type="txAnchorVertCh" val="mid"/>
          </dgm:alg>
          <dgm:shape xmlns:r="http://schemas.openxmlformats.org/officeDocument/2006/relationships" type="ellipse" r:blip="">
            <dgm:adjLst/>
          </dgm:shape>
          <dgm:presOf axis="ch desOrSelf" ptType="node node" st="-1 1" cnt="1 0"/>
          <dgm:constrLst>
            <dgm:constr type="h" refType="w"/>
            <dgm:constr type="tMarg" refType="primFontSz" fact="0.1"/>
            <dgm:constr type="bMarg" refType="primFontSz" fact="0.1"/>
            <dgm:constr type="lMarg" refType="primFontSz" fact="0.1"/>
            <dgm:constr type="rMarg" refType="primFontSz" fact="0.1"/>
          </dgm:constrLst>
          <dgm:ruleLst>
            <dgm:rule type="primFontSz" val="5" fact="NaN" max="NaN"/>
          </dgm:ruleLst>
        </dgm:layoutNode>
      </dgm:if>
      <dgm:else name="Name19"/>
    </dgm:choose>
  </dgm:layoutNode>
</dgm:layoutDef>
</file>

<file path=word/diagrams/layout4.xml><?xml version="1.0" encoding="utf-8"?>
<dgm:layoutDef xmlns:dgm="http://schemas.openxmlformats.org/drawingml/2006/diagram" xmlns:a="http://schemas.openxmlformats.org/drawingml/2006/main" uniqueId="urn:microsoft.com/office/officeart/2005/8/layout/radial5">
  <dgm:title val=""/>
  <dgm:desc val=""/>
  <dgm:catLst>
    <dgm:cat type="relationship" pri="23000"/>
    <dgm:cat type="cycle" pri="11000"/>
  </dgm:catLst>
  <dgm:sampData>
    <dgm:dataModel>
      <dgm:ptLst>
        <dgm:pt modelId="0" type="doc"/>
        <dgm:pt modelId="1">
          <dgm:prSet phldr="1"/>
        </dgm:pt>
        <dgm:pt modelId="11">
          <dgm:prSet phldr="1"/>
        </dgm:pt>
        <dgm:pt modelId="12">
          <dgm:prSet phldr="1"/>
        </dgm:pt>
        <dgm:pt modelId="13">
          <dgm:prSet phldr="1"/>
        </dgm:pt>
        <dgm:pt modelId="14">
          <dgm:prSet phldr="1"/>
        </dgm:pt>
      </dgm:ptLst>
      <dgm:cxnLst>
        <dgm:cxn modelId="2" srcId="0" destId="1" srcOrd="0" destOrd="0"/>
        <dgm:cxn modelId="3" srcId="1" destId="11" srcOrd="0" destOrd="0"/>
        <dgm:cxn modelId="4" srcId="1" destId="12" srcOrd="1" destOrd="0"/>
        <dgm:cxn modelId="5" srcId="1" destId="13" srcOrd="2" destOrd="0"/>
        <dgm:cxn modelId="6" srcId="1" destId="14" srcOrd="3" destOrd="0"/>
      </dgm:cxnLst>
      <dgm:bg/>
      <dgm:whole/>
    </dgm:dataModel>
  </dgm:sampData>
  <dgm:styleData>
    <dgm:dataModel>
      <dgm:ptLst>
        <dgm:pt modelId="0" type="doc"/>
        <dgm:pt modelId="1"/>
        <dgm:pt modelId="11"/>
        <dgm:pt modelId="12"/>
        <dgm:pt modelId="13"/>
      </dgm:ptLst>
      <dgm:cxnLst>
        <dgm:cxn modelId="2" srcId="0" destId="1" srcOrd="0" destOrd="0"/>
        <dgm:cxn modelId="15" srcId="1" destId="11" srcOrd="0" destOrd="0"/>
        <dgm:cxn modelId="16" srcId="1" destId="12" srcOrd="1" destOrd="0"/>
        <dgm:cxn modelId="17" srcId="1" destId="13" srcOrd="2" destOrd="0"/>
      </dgm:cxnLst>
      <dgm:bg/>
      <dgm:whole/>
    </dgm:dataModel>
  </dgm:styleData>
  <dgm:clrData>
    <dgm:dataModel>
      <dgm:ptLst>
        <dgm:pt modelId="0" type="doc"/>
        <dgm:pt modelId="1"/>
        <dgm:pt modelId="11"/>
        <dgm:pt modelId="12"/>
        <dgm:pt modelId="13"/>
        <dgm:pt modelId="14"/>
        <dgm:pt modelId="15"/>
        <dgm:pt modelId="16"/>
      </dgm:ptLst>
      <dgm:cxnLst>
        <dgm:cxn modelId="2" srcId="0" destId="1" srcOrd="0" destOrd="0"/>
        <dgm:cxn modelId="16" srcId="1" destId="11" srcOrd="0" destOrd="0"/>
        <dgm:cxn modelId="17" srcId="1" destId="12" srcOrd="1" destOrd="0"/>
        <dgm:cxn modelId="18" srcId="1" destId="13" srcOrd="2" destOrd="0"/>
        <dgm:cxn modelId="19" srcId="1" destId="14" srcOrd="3" destOrd="0"/>
        <dgm:cxn modelId="20" srcId="1" destId="15" srcOrd="4" destOrd="0"/>
        <dgm:cxn modelId="21" srcId="1" destId="16" srcOrd="5" destOrd="0"/>
      </dgm:cxnLst>
      <dgm:bg/>
      <dgm:whole/>
    </dgm:dataModel>
  </dgm:clrData>
  <dgm:layoutNode name="Name0">
    <dgm:varLst>
      <dgm:chMax val="1"/>
      <dgm:dir/>
      <dgm:animLvl val="ctr"/>
      <dgm:resizeHandles val="exact"/>
    </dgm:varLst>
    <dgm:choose name="Name1">
      <dgm:if name="Name2" func="var" arg="dir" op="equ" val="norm">
        <dgm:alg type="cycle">
          <dgm:param type="stAng" val="0"/>
          <dgm:param type="spanAng" val="360"/>
          <dgm:param type="ctrShpMap" val="fNode"/>
        </dgm:alg>
      </dgm:if>
      <dgm:else name="Name3">
        <dgm:alg type="cycle">
          <dgm:param type="stAng" val="0"/>
          <dgm:param type="spanAng" val="-360"/>
          <dgm:param type="ctrShpMap" val="fNode"/>
        </dgm:alg>
      </dgm:else>
    </dgm:choose>
    <dgm:shape xmlns:r="http://schemas.openxmlformats.org/officeDocument/2006/relationships" r:blip="">
      <dgm:adjLst/>
    </dgm:shape>
    <dgm:presOf/>
    <dgm:constrLst>
      <dgm:constr type="w" for="ch" forName="centerShape" refType="w"/>
      <dgm:constr type="w" for="ch" forName="parTrans" refType="w" refFor="ch" refForName="centerShape" fact="0.4"/>
      <dgm:constr type="w" for="ch" forName="node" refType="w" refFor="ch" refForName="centerShape" op="equ" fact="1.25"/>
      <dgm:constr type="sp" refType="w" refFor="ch" refForName="centerShape" op="equ" fact="0.4"/>
      <dgm:constr type="sibSp" refType="w" refFor="ch" refForName="node" fact="0.3"/>
      <dgm:constr type="primFontSz" for="ch" forName="centerShape" val="65"/>
      <dgm:constr type="primFontSz" for="des" forName="node" op="equ" val="65"/>
      <dgm:constr type="primFontSz" for="des" forName="node" refType="primFontSz" refFor="ch" refForName="centerShape" op="lte"/>
      <dgm:constr type="primFontSz" for="des" forName="connectorText" op="equ" val="55"/>
      <dgm:constr type="primFontSz" for="des" forName="connectorText" refType="primFontSz" refFor="ch" refForName="centerShape" op="lte" fact="0.8"/>
      <dgm:constr type="primFontSz" for="des" forName="connectorText" refType="primFontSz" refFor="des" refForName="node" op="lte"/>
    </dgm:constrLst>
    <dgm:choose name="Name4">
      <dgm:if name="Name5" axis="ch ch" ptType="node node" st="1 1" cnt="1 0" func="cnt" op="lte" val="6">
        <dgm:ruleLst>
          <dgm:rule type="w" for="ch" forName="node" val="NaN" fact="1" max="NaN"/>
        </dgm:ruleLst>
      </dgm:if>
      <dgm:if name="Name6" axis="ch ch" ptType="node node" st="1 1" cnt="1 0" func="cnt" op="lte" val="8">
        <dgm:ruleLst>
          <dgm:rule type="w" for="ch" forName="node" val="NaN" fact="0.9" max="NaN"/>
        </dgm:ruleLst>
      </dgm:if>
      <dgm:if name="Name7" axis="ch ch" ptType="node node" st="1 1" cnt="1 0" func="cnt" op="lte" val="10">
        <dgm:ruleLst>
          <dgm:rule type="w" for="ch" forName="node" val="NaN" fact="0.8" max="NaN"/>
        </dgm:ruleLst>
      </dgm:if>
      <dgm:if name="Name8" axis="ch ch" ptType="node node" st="1 1" cnt="1 0" func="cnt" op="lte" val="12">
        <dgm:ruleLst>
          <dgm:rule type="w" for="ch" forName="node" val="NaN" fact="0.7" max="NaN"/>
        </dgm:ruleLst>
      </dgm:if>
      <dgm:if name="Name9" axis="ch ch" ptType="node node" st="1 1" cnt="1 0" func="cnt" op="lte" val="14">
        <dgm:ruleLst>
          <dgm:rule type="w" for="ch" forName="node" val="NaN" fact="0.6" max="NaN"/>
        </dgm:ruleLst>
      </dgm:if>
      <dgm:else name="Name10">
        <dgm:ruleLst>
          <dgm:rule type="w" for="ch" forName="node" val="NaN" fact="0.5" max="NaN"/>
        </dgm:ruleLst>
      </dgm:else>
    </dgm:choose>
    <dgm:forEach name="Name11" axis="ch" ptType="node" cnt="1">
      <dgm:layoutNode name="centerShape" styleLbl="node0">
        <dgm:alg type="tx"/>
        <dgm:shape xmlns:r="http://schemas.openxmlformats.org/officeDocument/2006/relationships" type="ellipse" r:blip="">
          <dgm:adjLst/>
        </dgm:shape>
        <dgm:presOf axis="self"/>
        <dgm:constrLst>
          <dgm:constr type="h" refType="w"/>
          <dgm:constr type="tMarg" refType="primFontSz" fact="0.1"/>
          <dgm:constr type="bMarg" refType="primFontSz" fact="0.1"/>
          <dgm:constr type="lMarg" refType="primFontSz" fact="0.1"/>
          <dgm:constr type="rMarg" refType="primFontSz" fact="0.1"/>
        </dgm:constrLst>
        <dgm:ruleLst>
          <dgm:rule type="primFontSz" val="5" fact="NaN" max="NaN"/>
        </dgm:ruleLst>
      </dgm:layoutNode>
      <dgm:forEach name="Name12" axis="ch">
        <dgm:forEach name="Name13" axis="self" ptType="parTrans">
          <dgm:layoutNode name="parTrans" styleLbl="sibTrans2D1">
            <dgm:alg type="conn">
              <dgm:param type="begPts" val="auto"/>
              <dgm:param type="endPts" val="auto"/>
            </dgm:alg>
            <dgm:shape xmlns:r="http://schemas.openxmlformats.org/officeDocument/2006/relationships" type="conn" r:blip="">
              <dgm:adjLst/>
            </dgm:shape>
            <dgm:presOf axis="self"/>
            <dgm:constrLst>
              <dgm:constr type="h" refType="w" fact="0.85"/>
            </dgm:constrLst>
            <dgm:ruleLst/>
            <dgm:layoutNode name="connectorText">
              <dgm:alg type="tx">
                <dgm:param type="autoTxRot" val="grav"/>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forEach name="Name14" axis="self" ptType="node">
          <dgm:layoutNode name="node" styleLbl="node1">
            <dgm:varLst>
              <dgm:bulletEnabled val="1"/>
            </dgm:varLst>
            <dgm:alg type="tx">
              <dgm:param type="txAnchorVertCh" val="mid"/>
            </dgm:alg>
            <dgm:shape xmlns:r="http://schemas.openxmlformats.org/officeDocument/2006/relationships" type="ellipse" r:blip="">
              <dgm:adjLst/>
            </dgm:shape>
            <dgm:presOf axis="desOrSelf" ptType="node"/>
            <dgm:constrLst>
              <dgm:constr type="h" refType="w"/>
              <dgm:constr type="tMarg" refType="primFontSz" fact="0.1"/>
              <dgm:constr type="bMarg" refType="primFontSz" fact="0.1"/>
              <dgm:constr type="lMarg" refType="primFontSz" fact="0.1"/>
              <dgm:constr type="rMarg" refType="primFontSz" fact="0.1"/>
            </dgm:constrLst>
            <dgm:ruleLst>
              <dgm:rule type="w" val="INF" fact="NaN" max="NaN"/>
              <dgm:rule type="primFontSz" val="5" fact="NaN" max="NaN"/>
            </dgm:ruleLst>
          </dgm:layoutNode>
        </dgm:forEach>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2">
  <dgm:title val=""/>
  <dgm:desc val=""/>
  <dgm:catLst>
    <dgm:cat type="simple" pri="10200"/>
  </dgm:catLst>
  <dgm:scene3d>
    <a:camera prst="orthographicFront"/>
    <a:lightRig rig="threePt" dir="t"/>
  </dgm:scene3d>
  <dgm:styleLbl name="node0">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lnNode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vennNode1">
    <dgm:scene3d>
      <a:camera prst="orthographicFront"/>
      <a:lightRig rig="threePt" dir="t"/>
    </dgm:scene3d>
    <dgm:sp3d/>
    <dgm:txPr/>
    <dgm:style>
      <a:lnRef idx="3">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1">
        <a:scrgbClr r="0" g="0" b="0"/>
      </a:effectRef>
      <a:fontRef idx="minor">
        <a:schemeClr val="lt1"/>
      </a:fontRef>
    </dgm:style>
  </dgm:styleLbl>
  <dgm:styleLbl name="node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fg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4.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Motyw pakietu Office">
  <a:themeElements>
    <a:clrScheme name="IGSMIE PAN">
      <a:dk1>
        <a:sysClr val="windowText" lastClr="000000"/>
      </a:dk1>
      <a:lt1>
        <a:sysClr val="window" lastClr="FFFFFF"/>
      </a:lt1>
      <a:dk2>
        <a:srgbClr val="44546A"/>
      </a:dk2>
      <a:lt2>
        <a:srgbClr val="E7E6E6"/>
      </a:lt2>
      <a:accent1>
        <a:srgbClr val="51BBB6"/>
      </a:accent1>
      <a:accent2>
        <a:srgbClr val="CCA879"/>
      </a:accent2>
      <a:accent3>
        <a:srgbClr val="173457"/>
      </a:accent3>
      <a:accent4>
        <a:srgbClr val="A7B1B3"/>
      </a:accent4>
      <a:accent5>
        <a:srgbClr val="9CC3E5"/>
      </a:accent5>
      <a:accent6>
        <a:srgbClr val="70AD47"/>
      </a:accent6>
      <a:hlink>
        <a:srgbClr val="0563C1"/>
      </a:hlink>
      <a:folHlink>
        <a:srgbClr val="954F72"/>
      </a:folHlink>
    </a:clrScheme>
    <a:fontScheme name="Pakiet 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Sheets">
    <a:dk1>
      <a:srgbClr val="000000"/>
    </a:dk1>
    <a:lt1>
      <a:srgbClr val="FFFFFF"/>
    </a:lt1>
    <a:dk2>
      <a:srgbClr val="000000"/>
    </a:dk2>
    <a:lt2>
      <a:srgbClr val="FFFFFF"/>
    </a:lt2>
    <a:accent1>
      <a:srgbClr val="4285F4"/>
    </a:accent1>
    <a:accent2>
      <a:srgbClr val="EA4335"/>
    </a:accent2>
    <a:accent3>
      <a:srgbClr val="FBBC04"/>
    </a:accent3>
    <a:accent4>
      <a:srgbClr val="34A853"/>
    </a:accent4>
    <a:accent5>
      <a:srgbClr val="FF6D01"/>
    </a:accent5>
    <a:accent6>
      <a:srgbClr val="46BDC6"/>
    </a:accent6>
    <a:hlink>
      <a:srgbClr val="1155CC"/>
    </a:hlink>
    <a:folHlink>
      <a:srgbClr val="1155CC"/>
    </a:folHlink>
  </a:clrScheme>
  <a:fontScheme name="Sheets">
    <a:majorFont>
      <a:latin typeface="Arial"/>
      <a:ea typeface="Arial"/>
      <a:cs typeface="Arial"/>
    </a:majorFont>
    <a:minorFont>
      <a:latin typeface="Arial"/>
      <a:ea typeface="Arial"/>
      <a:cs typeface="Arial"/>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overPageProperties xmlns="http://schemas.microsoft.com/office/2006/coverPageProps">
  <PublishDate>201</PublishDate>
  <Abstract/>
  <CompanyAddress>Realizacja projektu pn.: „Wsparcie funkcjonowania Wielkopolskiego Regionalnego Obserwatorium Terytorialnego” współfinansowana ze środków Unii Europejskiej 
w ramach Europejskiego Funduszu Społecznego</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Fifth Edition"/>
</file>

<file path=customXml/item3.xml><?xml version="1.0" encoding="utf-8"?>
<b:Sources xmlns:b="http://schemas.openxmlformats.org/officeDocument/2006/bibliography" xmlns="http://schemas.openxmlformats.org/officeDocument/2006/bibliography" SelectedStyle="\APA.XSL" StyleName="APA Fifth Edition"/>
</file>

<file path=customXml/item4.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0089AA3E-B7DB-492B-AC61-A4337200D13A}">
  <ds:schemaRefs>
    <ds:schemaRef ds:uri="http://schemas.openxmlformats.org/officeDocument/2006/bibliography"/>
  </ds:schemaRefs>
</ds:datastoreItem>
</file>

<file path=customXml/itemProps3.xml><?xml version="1.0" encoding="utf-8"?>
<ds:datastoreItem xmlns:ds="http://schemas.openxmlformats.org/officeDocument/2006/customXml" ds:itemID="{C1F55D3A-EBE7-4F53-9FB2-39D8D45920B8}">
  <ds:schemaRefs>
    <ds:schemaRef ds:uri="http://schemas.openxmlformats.org/officeDocument/2006/bibliography"/>
  </ds:schemaRefs>
</ds:datastoreItem>
</file>

<file path=customXml/itemProps4.xml><?xml version="1.0" encoding="utf-8"?>
<ds:datastoreItem xmlns:ds="http://schemas.openxmlformats.org/officeDocument/2006/customXml" ds:itemID="{6E0A19B5-E24F-4638-B68B-A862FB210E3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167</Pages>
  <Words>42671</Words>
  <Characters>256026</Characters>
  <Application>Microsoft Office Word</Application>
  <DocSecurity>0</DocSecurity>
  <Lines>2133</Lines>
  <Paragraphs>596</Paragraphs>
  <ScaleCrop>false</ScaleCrop>
  <HeadingPairs>
    <vt:vector size="2" baseType="variant">
      <vt:variant>
        <vt:lpstr>Tytuł</vt:lpstr>
      </vt:variant>
      <vt:variant>
        <vt:i4>1</vt:i4>
      </vt:variant>
    </vt:vector>
  </HeadingPairs>
  <TitlesOfParts>
    <vt:vector size="1" baseType="lpstr">
      <vt:lpstr/>
    </vt:vector>
  </TitlesOfParts>
  <Company/>
  <LinksUpToDate>false</LinksUpToDate>
  <CharactersWithSpaces>298101</CharactersWithSpaces>
  <SharedDoc>false</SharedDoc>
  <HLinks>
    <vt:vector size="648" baseType="variant">
      <vt:variant>
        <vt:i4>1507383</vt:i4>
      </vt:variant>
      <vt:variant>
        <vt:i4>827</vt:i4>
      </vt:variant>
      <vt:variant>
        <vt:i4>0</vt:i4>
      </vt:variant>
      <vt:variant>
        <vt:i4>5</vt:i4>
      </vt:variant>
      <vt:variant>
        <vt:lpwstr/>
      </vt:variant>
      <vt:variant>
        <vt:lpwstr>_Toc432177659</vt:lpwstr>
      </vt:variant>
      <vt:variant>
        <vt:i4>1507383</vt:i4>
      </vt:variant>
      <vt:variant>
        <vt:i4>821</vt:i4>
      </vt:variant>
      <vt:variant>
        <vt:i4>0</vt:i4>
      </vt:variant>
      <vt:variant>
        <vt:i4>5</vt:i4>
      </vt:variant>
      <vt:variant>
        <vt:lpwstr/>
      </vt:variant>
      <vt:variant>
        <vt:lpwstr>_Toc432177658</vt:lpwstr>
      </vt:variant>
      <vt:variant>
        <vt:i4>1507383</vt:i4>
      </vt:variant>
      <vt:variant>
        <vt:i4>815</vt:i4>
      </vt:variant>
      <vt:variant>
        <vt:i4>0</vt:i4>
      </vt:variant>
      <vt:variant>
        <vt:i4>5</vt:i4>
      </vt:variant>
      <vt:variant>
        <vt:lpwstr/>
      </vt:variant>
      <vt:variant>
        <vt:lpwstr>_Toc432177657</vt:lpwstr>
      </vt:variant>
      <vt:variant>
        <vt:i4>1507383</vt:i4>
      </vt:variant>
      <vt:variant>
        <vt:i4>809</vt:i4>
      </vt:variant>
      <vt:variant>
        <vt:i4>0</vt:i4>
      </vt:variant>
      <vt:variant>
        <vt:i4>5</vt:i4>
      </vt:variant>
      <vt:variant>
        <vt:lpwstr/>
      </vt:variant>
      <vt:variant>
        <vt:lpwstr>_Toc432177656</vt:lpwstr>
      </vt:variant>
      <vt:variant>
        <vt:i4>1507383</vt:i4>
      </vt:variant>
      <vt:variant>
        <vt:i4>803</vt:i4>
      </vt:variant>
      <vt:variant>
        <vt:i4>0</vt:i4>
      </vt:variant>
      <vt:variant>
        <vt:i4>5</vt:i4>
      </vt:variant>
      <vt:variant>
        <vt:lpwstr/>
      </vt:variant>
      <vt:variant>
        <vt:lpwstr>_Toc432177655</vt:lpwstr>
      </vt:variant>
      <vt:variant>
        <vt:i4>1507383</vt:i4>
      </vt:variant>
      <vt:variant>
        <vt:i4>797</vt:i4>
      </vt:variant>
      <vt:variant>
        <vt:i4>0</vt:i4>
      </vt:variant>
      <vt:variant>
        <vt:i4>5</vt:i4>
      </vt:variant>
      <vt:variant>
        <vt:lpwstr/>
      </vt:variant>
      <vt:variant>
        <vt:lpwstr>_Toc432177654</vt:lpwstr>
      </vt:variant>
      <vt:variant>
        <vt:i4>1507383</vt:i4>
      </vt:variant>
      <vt:variant>
        <vt:i4>791</vt:i4>
      </vt:variant>
      <vt:variant>
        <vt:i4>0</vt:i4>
      </vt:variant>
      <vt:variant>
        <vt:i4>5</vt:i4>
      </vt:variant>
      <vt:variant>
        <vt:lpwstr/>
      </vt:variant>
      <vt:variant>
        <vt:lpwstr>_Toc432177653</vt:lpwstr>
      </vt:variant>
      <vt:variant>
        <vt:i4>1507383</vt:i4>
      </vt:variant>
      <vt:variant>
        <vt:i4>785</vt:i4>
      </vt:variant>
      <vt:variant>
        <vt:i4>0</vt:i4>
      </vt:variant>
      <vt:variant>
        <vt:i4>5</vt:i4>
      </vt:variant>
      <vt:variant>
        <vt:lpwstr/>
      </vt:variant>
      <vt:variant>
        <vt:lpwstr>_Toc432177652</vt:lpwstr>
      </vt:variant>
      <vt:variant>
        <vt:i4>1507383</vt:i4>
      </vt:variant>
      <vt:variant>
        <vt:i4>779</vt:i4>
      </vt:variant>
      <vt:variant>
        <vt:i4>0</vt:i4>
      </vt:variant>
      <vt:variant>
        <vt:i4>5</vt:i4>
      </vt:variant>
      <vt:variant>
        <vt:lpwstr/>
      </vt:variant>
      <vt:variant>
        <vt:lpwstr>_Toc432177651</vt:lpwstr>
      </vt:variant>
      <vt:variant>
        <vt:i4>1507383</vt:i4>
      </vt:variant>
      <vt:variant>
        <vt:i4>773</vt:i4>
      </vt:variant>
      <vt:variant>
        <vt:i4>0</vt:i4>
      </vt:variant>
      <vt:variant>
        <vt:i4>5</vt:i4>
      </vt:variant>
      <vt:variant>
        <vt:lpwstr/>
      </vt:variant>
      <vt:variant>
        <vt:lpwstr>_Toc432177650</vt:lpwstr>
      </vt:variant>
      <vt:variant>
        <vt:i4>1441847</vt:i4>
      </vt:variant>
      <vt:variant>
        <vt:i4>767</vt:i4>
      </vt:variant>
      <vt:variant>
        <vt:i4>0</vt:i4>
      </vt:variant>
      <vt:variant>
        <vt:i4>5</vt:i4>
      </vt:variant>
      <vt:variant>
        <vt:lpwstr/>
      </vt:variant>
      <vt:variant>
        <vt:lpwstr>_Toc432177649</vt:lpwstr>
      </vt:variant>
      <vt:variant>
        <vt:i4>1441847</vt:i4>
      </vt:variant>
      <vt:variant>
        <vt:i4>761</vt:i4>
      </vt:variant>
      <vt:variant>
        <vt:i4>0</vt:i4>
      </vt:variant>
      <vt:variant>
        <vt:i4>5</vt:i4>
      </vt:variant>
      <vt:variant>
        <vt:lpwstr/>
      </vt:variant>
      <vt:variant>
        <vt:lpwstr>_Toc432177648</vt:lpwstr>
      </vt:variant>
      <vt:variant>
        <vt:i4>1441847</vt:i4>
      </vt:variant>
      <vt:variant>
        <vt:i4>755</vt:i4>
      </vt:variant>
      <vt:variant>
        <vt:i4>0</vt:i4>
      </vt:variant>
      <vt:variant>
        <vt:i4>5</vt:i4>
      </vt:variant>
      <vt:variant>
        <vt:lpwstr/>
      </vt:variant>
      <vt:variant>
        <vt:lpwstr>_Toc432177647</vt:lpwstr>
      </vt:variant>
      <vt:variant>
        <vt:i4>1441847</vt:i4>
      </vt:variant>
      <vt:variant>
        <vt:i4>749</vt:i4>
      </vt:variant>
      <vt:variant>
        <vt:i4>0</vt:i4>
      </vt:variant>
      <vt:variant>
        <vt:i4>5</vt:i4>
      </vt:variant>
      <vt:variant>
        <vt:lpwstr/>
      </vt:variant>
      <vt:variant>
        <vt:lpwstr>_Toc432177646</vt:lpwstr>
      </vt:variant>
      <vt:variant>
        <vt:i4>1441847</vt:i4>
      </vt:variant>
      <vt:variant>
        <vt:i4>743</vt:i4>
      </vt:variant>
      <vt:variant>
        <vt:i4>0</vt:i4>
      </vt:variant>
      <vt:variant>
        <vt:i4>5</vt:i4>
      </vt:variant>
      <vt:variant>
        <vt:lpwstr/>
      </vt:variant>
      <vt:variant>
        <vt:lpwstr>_Toc432177645</vt:lpwstr>
      </vt:variant>
      <vt:variant>
        <vt:i4>1441847</vt:i4>
      </vt:variant>
      <vt:variant>
        <vt:i4>737</vt:i4>
      </vt:variant>
      <vt:variant>
        <vt:i4>0</vt:i4>
      </vt:variant>
      <vt:variant>
        <vt:i4>5</vt:i4>
      </vt:variant>
      <vt:variant>
        <vt:lpwstr/>
      </vt:variant>
      <vt:variant>
        <vt:lpwstr>_Toc432177644</vt:lpwstr>
      </vt:variant>
      <vt:variant>
        <vt:i4>1441847</vt:i4>
      </vt:variant>
      <vt:variant>
        <vt:i4>731</vt:i4>
      </vt:variant>
      <vt:variant>
        <vt:i4>0</vt:i4>
      </vt:variant>
      <vt:variant>
        <vt:i4>5</vt:i4>
      </vt:variant>
      <vt:variant>
        <vt:lpwstr/>
      </vt:variant>
      <vt:variant>
        <vt:lpwstr>_Toc432177643</vt:lpwstr>
      </vt:variant>
      <vt:variant>
        <vt:i4>1441847</vt:i4>
      </vt:variant>
      <vt:variant>
        <vt:i4>725</vt:i4>
      </vt:variant>
      <vt:variant>
        <vt:i4>0</vt:i4>
      </vt:variant>
      <vt:variant>
        <vt:i4>5</vt:i4>
      </vt:variant>
      <vt:variant>
        <vt:lpwstr/>
      </vt:variant>
      <vt:variant>
        <vt:lpwstr>_Toc432177642</vt:lpwstr>
      </vt:variant>
      <vt:variant>
        <vt:i4>1441847</vt:i4>
      </vt:variant>
      <vt:variant>
        <vt:i4>719</vt:i4>
      </vt:variant>
      <vt:variant>
        <vt:i4>0</vt:i4>
      </vt:variant>
      <vt:variant>
        <vt:i4>5</vt:i4>
      </vt:variant>
      <vt:variant>
        <vt:lpwstr/>
      </vt:variant>
      <vt:variant>
        <vt:lpwstr>_Toc432177641</vt:lpwstr>
      </vt:variant>
      <vt:variant>
        <vt:i4>1441847</vt:i4>
      </vt:variant>
      <vt:variant>
        <vt:i4>713</vt:i4>
      </vt:variant>
      <vt:variant>
        <vt:i4>0</vt:i4>
      </vt:variant>
      <vt:variant>
        <vt:i4>5</vt:i4>
      </vt:variant>
      <vt:variant>
        <vt:lpwstr/>
      </vt:variant>
      <vt:variant>
        <vt:lpwstr>_Toc432177640</vt:lpwstr>
      </vt:variant>
      <vt:variant>
        <vt:i4>1114167</vt:i4>
      </vt:variant>
      <vt:variant>
        <vt:i4>707</vt:i4>
      </vt:variant>
      <vt:variant>
        <vt:i4>0</vt:i4>
      </vt:variant>
      <vt:variant>
        <vt:i4>5</vt:i4>
      </vt:variant>
      <vt:variant>
        <vt:lpwstr/>
      </vt:variant>
      <vt:variant>
        <vt:lpwstr>_Toc432177639</vt:lpwstr>
      </vt:variant>
      <vt:variant>
        <vt:i4>1114167</vt:i4>
      </vt:variant>
      <vt:variant>
        <vt:i4>701</vt:i4>
      </vt:variant>
      <vt:variant>
        <vt:i4>0</vt:i4>
      </vt:variant>
      <vt:variant>
        <vt:i4>5</vt:i4>
      </vt:variant>
      <vt:variant>
        <vt:lpwstr/>
      </vt:variant>
      <vt:variant>
        <vt:lpwstr>_Toc432177638</vt:lpwstr>
      </vt:variant>
      <vt:variant>
        <vt:i4>1703988</vt:i4>
      </vt:variant>
      <vt:variant>
        <vt:i4>692</vt:i4>
      </vt:variant>
      <vt:variant>
        <vt:i4>0</vt:i4>
      </vt:variant>
      <vt:variant>
        <vt:i4>5</vt:i4>
      </vt:variant>
      <vt:variant>
        <vt:lpwstr/>
      </vt:variant>
      <vt:variant>
        <vt:lpwstr>_Toc432177584</vt:lpwstr>
      </vt:variant>
      <vt:variant>
        <vt:i4>1703988</vt:i4>
      </vt:variant>
      <vt:variant>
        <vt:i4>686</vt:i4>
      </vt:variant>
      <vt:variant>
        <vt:i4>0</vt:i4>
      </vt:variant>
      <vt:variant>
        <vt:i4>5</vt:i4>
      </vt:variant>
      <vt:variant>
        <vt:lpwstr/>
      </vt:variant>
      <vt:variant>
        <vt:lpwstr>_Toc432177583</vt:lpwstr>
      </vt:variant>
      <vt:variant>
        <vt:i4>1703988</vt:i4>
      </vt:variant>
      <vt:variant>
        <vt:i4>680</vt:i4>
      </vt:variant>
      <vt:variant>
        <vt:i4>0</vt:i4>
      </vt:variant>
      <vt:variant>
        <vt:i4>5</vt:i4>
      </vt:variant>
      <vt:variant>
        <vt:lpwstr/>
      </vt:variant>
      <vt:variant>
        <vt:lpwstr>_Toc432177582</vt:lpwstr>
      </vt:variant>
      <vt:variant>
        <vt:i4>1703988</vt:i4>
      </vt:variant>
      <vt:variant>
        <vt:i4>674</vt:i4>
      </vt:variant>
      <vt:variant>
        <vt:i4>0</vt:i4>
      </vt:variant>
      <vt:variant>
        <vt:i4>5</vt:i4>
      </vt:variant>
      <vt:variant>
        <vt:lpwstr/>
      </vt:variant>
      <vt:variant>
        <vt:lpwstr>_Toc432177581</vt:lpwstr>
      </vt:variant>
      <vt:variant>
        <vt:i4>1703988</vt:i4>
      </vt:variant>
      <vt:variant>
        <vt:i4>668</vt:i4>
      </vt:variant>
      <vt:variant>
        <vt:i4>0</vt:i4>
      </vt:variant>
      <vt:variant>
        <vt:i4>5</vt:i4>
      </vt:variant>
      <vt:variant>
        <vt:lpwstr/>
      </vt:variant>
      <vt:variant>
        <vt:lpwstr>_Toc432177580</vt:lpwstr>
      </vt:variant>
      <vt:variant>
        <vt:i4>1376308</vt:i4>
      </vt:variant>
      <vt:variant>
        <vt:i4>662</vt:i4>
      </vt:variant>
      <vt:variant>
        <vt:i4>0</vt:i4>
      </vt:variant>
      <vt:variant>
        <vt:i4>5</vt:i4>
      </vt:variant>
      <vt:variant>
        <vt:lpwstr/>
      </vt:variant>
      <vt:variant>
        <vt:lpwstr>_Toc432177579</vt:lpwstr>
      </vt:variant>
      <vt:variant>
        <vt:i4>1376308</vt:i4>
      </vt:variant>
      <vt:variant>
        <vt:i4>656</vt:i4>
      </vt:variant>
      <vt:variant>
        <vt:i4>0</vt:i4>
      </vt:variant>
      <vt:variant>
        <vt:i4>5</vt:i4>
      </vt:variant>
      <vt:variant>
        <vt:lpwstr/>
      </vt:variant>
      <vt:variant>
        <vt:lpwstr>_Toc432177578</vt:lpwstr>
      </vt:variant>
      <vt:variant>
        <vt:i4>1376308</vt:i4>
      </vt:variant>
      <vt:variant>
        <vt:i4>650</vt:i4>
      </vt:variant>
      <vt:variant>
        <vt:i4>0</vt:i4>
      </vt:variant>
      <vt:variant>
        <vt:i4>5</vt:i4>
      </vt:variant>
      <vt:variant>
        <vt:lpwstr/>
      </vt:variant>
      <vt:variant>
        <vt:lpwstr>_Toc432177577</vt:lpwstr>
      </vt:variant>
      <vt:variant>
        <vt:i4>1376308</vt:i4>
      </vt:variant>
      <vt:variant>
        <vt:i4>644</vt:i4>
      </vt:variant>
      <vt:variant>
        <vt:i4>0</vt:i4>
      </vt:variant>
      <vt:variant>
        <vt:i4>5</vt:i4>
      </vt:variant>
      <vt:variant>
        <vt:lpwstr/>
      </vt:variant>
      <vt:variant>
        <vt:lpwstr>_Toc432177576</vt:lpwstr>
      </vt:variant>
      <vt:variant>
        <vt:i4>1507381</vt:i4>
      </vt:variant>
      <vt:variant>
        <vt:i4>635</vt:i4>
      </vt:variant>
      <vt:variant>
        <vt:i4>0</vt:i4>
      </vt:variant>
      <vt:variant>
        <vt:i4>5</vt:i4>
      </vt:variant>
      <vt:variant>
        <vt:lpwstr/>
      </vt:variant>
      <vt:variant>
        <vt:lpwstr>_Toc432177456</vt:lpwstr>
      </vt:variant>
      <vt:variant>
        <vt:i4>1507381</vt:i4>
      </vt:variant>
      <vt:variant>
        <vt:i4>629</vt:i4>
      </vt:variant>
      <vt:variant>
        <vt:i4>0</vt:i4>
      </vt:variant>
      <vt:variant>
        <vt:i4>5</vt:i4>
      </vt:variant>
      <vt:variant>
        <vt:lpwstr/>
      </vt:variant>
      <vt:variant>
        <vt:lpwstr>_Toc432177455</vt:lpwstr>
      </vt:variant>
      <vt:variant>
        <vt:i4>1507381</vt:i4>
      </vt:variant>
      <vt:variant>
        <vt:i4>623</vt:i4>
      </vt:variant>
      <vt:variant>
        <vt:i4>0</vt:i4>
      </vt:variant>
      <vt:variant>
        <vt:i4>5</vt:i4>
      </vt:variant>
      <vt:variant>
        <vt:lpwstr/>
      </vt:variant>
      <vt:variant>
        <vt:lpwstr>_Toc432177454</vt:lpwstr>
      </vt:variant>
      <vt:variant>
        <vt:i4>1507381</vt:i4>
      </vt:variant>
      <vt:variant>
        <vt:i4>617</vt:i4>
      </vt:variant>
      <vt:variant>
        <vt:i4>0</vt:i4>
      </vt:variant>
      <vt:variant>
        <vt:i4>5</vt:i4>
      </vt:variant>
      <vt:variant>
        <vt:lpwstr/>
      </vt:variant>
      <vt:variant>
        <vt:lpwstr>_Toc432177453</vt:lpwstr>
      </vt:variant>
      <vt:variant>
        <vt:i4>1507381</vt:i4>
      </vt:variant>
      <vt:variant>
        <vt:i4>611</vt:i4>
      </vt:variant>
      <vt:variant>
        <vt:i4>0</vt:i4>
      </vt:variant>
      <vt:variant>
        <vt:i4>5</vt:i4>
      </vt:variant>
      <vt:variant>
        <vt:lpwstr/>
      </vt:variant>
      <vt:variant>
        <vt:lpwstr>_Toc432177452</vt:lpwstr>
      </vt:variant>
      <vt:variant>
        <vt:i4>1507381</vt:i4>
      </vt:variant>
      <vt:variant>
        <vt:i4>605</vt:i4>
      </vt:variant>
      <vt:variant>
        <vt:i4>0</vt:i4>
      </vt:variant>
      <vt:variant>
        <vt:i4>5</vt:i4>
      </vt:variant>
      <vt:variant>
        <vt:lpwstr/>
      </vt:variant>
      <vt:variant>
        <vt:lpwstr>_Toc432177451</vt:lpwstr>
      </vt:variant>
      <vt:variant>
        <vt:i4>1507381</vt:i4>
      </vt:variant>
      <vt:variant>
        <vt:i4>599</vt:i4>
      </vt:variant>
      <vt:variant>
        <vt:i4>0</vt:i4>
      </vt:variant>
      <vt:variant>
        <vt:i4>5</vt:i4>
      </vt:variant>
      <vt:variant>
        <vt:lpwstr/>
      </vt:variant>
      <vt:variant>
        <vt:lpwstr>_Toc432177450</vt:lpwstr>
      </vt:variant>
      <vt:variant>
        <vt:i4>1441845</vt:i4>
      </vt:variant>
      <vt:variant>
        <vt:i4>593</vt:i4>
      </vt:variant>
      <vt:variant>
        <vt:i4>0</vt:i4>
      </vt:variant>
      <vt:variant>
        <vt:i4>5</vt:i4>
      </vt:variant>
      <vt:variant>
        <vt:lpwstr/>
      </vt:variant>
      <vt:variant>
        <vt:lpwstr>_Toc432177449</vt:lpwstr>
      </vt:variant>
      <vt:variant>
        <vt:i4>1441845</vt:i4>
      </vt:variant>
      <vt:variant>
        <vt:i4>587</vt:i4>
      </vt:variant>
      <vt:variant>
        <vt:i4>0</vt:i4>
      </vt:variant>
      <vt:variant>
        <vt:i4>5</vt:i4>
      </vt:variant>
      <vt:variant>
        <vt:lpwstr/>
      </vt:variant>
      <vt:variant>
        <vt:lpwstr>_Toc432177448</vt:lpwstr>
      </vt:variant>
      <vt:variant>
        <vt:i4>1441845</vt:i4>
      </vt:variant>
      <vt:variant>
        <vt:i4>581</vt:i4>
      </vt:variant>
      <vt:variant>
        <vt:i4>0</vt:i4>
      </vt:variant>
      <vt:variant>
        <vt:i4>5</vt:i4>
      </vt:variant>
      <vt:variant>
        <vt:lpwstr/>
      </vt:variant>
      <vt:variant>
        <vt:lpwstr>_Toc432177447</vt:lpwstr>
      </vt:variant>
      <vt:variant>
        <vt:i4>1441845</vt:i4>
      </vt:variant>
      <vt:variant>
        <vt:i4>575</vt:i4>
      </vt:variant>
      <vt:variant>
        <vt:i4>0</vt:i4>
      </vt:variant>
      <vt:variant>
        <vt:i4>5</vt:i4>
      </vt:variant>
      <vt:variant>
        <vt:lpwstr/>
      </vt:variant>
      <vt:variant>
        <vt:lpwstr>_Toc432177446</vt:lpwstr>
      </vt:variant>
      <vt:variant>
        <vt:i4>1441845</vt:i4>
      </vt:variant>
      <vt:variant>
        <vt:i4>569</vt:i4>
      </vt:variant>
      <vt:variant>
        <vt:i4>0</vt:i4>
      </vt:variant>
      <vt:variant>
        <vt:i4>5</vt:i4>
      </vt:variant>
      <vt:variant>
        <vt:lpwstr/>
      </vt:variant>
      <vt:variant>
        <vt:lpwstr>_Toc432177445</vt:lpwstr>
      </vt:variant>
      <vt:variant>
        <vt:i4>1441845</vt:i4>
      </vt:variant>
      <vt:variant>
        <vt:i4>563</vt:i4>
      </vt:variant>
      <vt:variant>
        <vt:i4>0</vt:i4>
      </vt:variant>
      <vt:variant>
        <vt:i4>5</vt:i4>
      </vt:variant>
      <vt:variant>
        <vt:lpwstr/>
      </vt:variant>
      <vt:variant>
        <vt:lpwstr>_Toc432177444</vt:lpwstr>
      </vt:variant>
      <vt:variant>
        <vt:i4>1441845</vt:i4>
      </vt:variant>
      <vt:variant>
        <vt:i4>557</vt:i4>
      </vt:variant>
      <vt:variant>
        <vt:i4>0</vt:i4>
      </vt:variant>
      <vt:variant>
        <vt:i4>5</vt:i4>
      </vt:variant>
      <vt:variant>
        <vt:lpwstr/>
      </vt:variant>
      <vt:variant>
        <vt:lpwstr>_Toc432177443</vt:lpwstr>
      </vt:variant>
      <vt:variant>
        <vt:i4>1441845</vt:i4>
      </vt:variant>
      <vt:variant>
        <vt:i4>551</vt:i4>
      </vt:variant>
      <vt:variant>
        <vt:i4>0</vt:i4>
      </vt:variant>
      <vt:variant>
        <vt:i4>5</vt:i4>
      </vt:variant>
      <vt:variant>
        <vt:lpwstr/>
      </vt:variant>
      <vt:variant>
        <vt:lpwstr>_Toc432177442</vt:lpwstr>
      </vt:variant>
      <vt:variant>
        <vt:i4>1441845</vt:i4>
      </vt:variant>
      <vt:variant>
        <vt:i4>545</vt:i4>
      </vt:variant>
      <vt:variant>
        <vt:i4>0</vt:i4>
      </vt:variant>
      <vt:variant>
        <vt:i4>5</vt:i4>
      </vt:variant>
      <vt:variant>
        <vt:lpwstr/>
      </vt:variant>
      <vt:variant>
        <vt:lpwstr>_Toc432177441</vt:lpwstr>
      </vt:variant>
      <vt:variant>
        <vt:i4>1441845</vt:i4>
      </vt:variant>
      <vt:variant>
        <vt:i4>539</vt:i4>
      </vt:variant>
      <vt:variant>
        <vt:i4>0</vt:i4>
      </vt:variant>
      <vt:variant>
        <vt:i4>5</vt:i4>
      </vt:variant>
      <vt:variant>
        <vt:lpwstr/>
      </vt:variant>
      <vt:variant>
        <vt:lpwstr>_Toc432177440</vt:lpwstr>
      </vt:variant>
      <vt:variant>
        <vt:i4>1114165</vt:i4>
      </vt:variant>
      <vt:variant>
        <vt:i4>533</vt:i4>
      </vt:variant>
      <vt:variant>
        <vt:i4>0</vt:i4>
      </vt:variant>
      <vt:variant>
        <vt:i4>5</vt:i4>
      </vt:variant>
      <vt:variant>
        <vt:lpwstr/>
      </vt:variant>
      <vt:variant>
        <vt:lpwstr>_Toc432177439</vt:lpwstr>
      </vt:variant>
      <vt:variant>
        <vt:i4>1114165</vt:i4>
      </vt:variant>
      <vt:variant>
        <vt:i4>527</vt:i4>
      </vt:variant>
      <vt:variant>
        <vt:i4>0</vt:i4>
      </vt:variant>
      <vt:variant>
        <vt:i4>5</vt:i4>
      </vt:variant>
      <vt:variant>
        <vt:lpwstr/>
      </vt:variant>
      <vt:variant>
        <vt:lpwstr>_Toc432177438</vt:lpwstr>
      </vt:variant>
      <vt:variant>
        <vt:i4>1114165</vt:i4>
      </vt:variant>
      <vt:variant>
        <vt:i4>521</vt:i4>
      </vt:variant>
      <vt:variant>
        <vt:i4>0</vt:i4>
      </vt:variant>
      <vt:variant>
        <vt:i4>5</vt:i4>
      </vt:variant>
      <vt:variant>
        <vt:lpwstr/>
      </vt:variant>
      <vt:variant>
        <vt:lpwstr>_Toc432177437</vt:lpwstr>
      </vt:variant>
      <vt:variant>
        <vt:i4>1114165</vt:i4>
      </vt:variant>
      <vt:variant>
        <vt:i4>515</vt:i4>
      </vt:variant>
      <vt:variant>
        <vt:i4>0</vt:i4>
      </vt:variant>
      <vt:variant>
        <vt:i4>5</vt:i4>
      </vt:variant>
      <vt:variant>
        <vt:lpwstr/>
      </vt:variant>
      <vt:variant>
        <vt:lpwstr>_Toc432177436</vt:lpwstr>
      </vt:variant>
      <vt:variant>
        <vt:i4>1114165</vt:i4>
      </vt:variant>
      <vt:variant>
        <vt:i4>509</vt:i4>
      </vt:variant>
      <vt:variant>
        <vt:i4>0</vt:i4>
      </vt:variant>
      <vt:variant>
        <vt:i4>5</vt:i4>
      </vt:variant>
      <vt:variant>
        <vt:lpwstr/>
      </vt:variant>
      <vt:variant>
        <vt:lpwstr>_Toc432177435</vt:lpwstr>
      </vt:variant>
      <vt:variant>
        <vt:i4>1114165</vt:i4>
      </vt:variant>
      <vt:variant>
        <vt:i4>503</vt:i4>
      </vt:variant>
      <vt:variant>
        <vt:i4>0</vt:i4>
      </vt:variant>
      <vt:variant>
        <vt:i4>5</vt:i4>
      </vt:variant>
      <vt:variant>
        <vt:lpwstr/>
      </vt:variant>
      <vt:variant>
        <vt:lpwstr>_Toc432177434</vt:lpwstr>
      </vt:variant>
      <vt:variant>
        <vt:i4>4522007</vt:i4>
      </vt:variant>
      <vt:variant>
        <vt:i4>498</vt:i4>
      </vt:variant>
      <vt:variant>
        <vt:i4>0</vt:i4>
      </vt:variant>
      <vt:variant>
        <vt:i4>5</vt:i4>
      </vt:variant>
      <vt:variant>
        <vt:lpwstr>http://www.dialog.gov.pl/regulacje-prawne/miedzynarodowe-akty-prawne/</vt:lpwstr>
      </vt:variant>
      <vt:variant>
        <vt:lpwstr/>
      </vt:variant>
      <vt:variant>
        <vt:i4>5046298</vt:i4>
      </vt:variant>
      <vt:variant>
        <vt:i4>495</vt:i4>
      </vt:variant>
      <vt:variant>
        <vt:i4>0</vt:i4>
      </vt:variant>
      <vt:variant>
        <vt:i4>5</vt:i4>
      </vt:variant>
      <vt:variant>
        <vt:lpwstr>http://www.ptpa.org.pl/projekty/rownosc-standardem-dobrego-samorzadu</vt:lpwstr>
      </vt:variant>
      <vt:variant>
        <vt:lpwstr/>
      </vt:variant>
      <vt:variant>
        <vt:i4>4456528</vt:i4>
      </vt:variant>
      <vt:variant>
        <vt:i4>492</vt:i4>
      </vt:variant>
      <vt:variant>
        <vt:i4>0</vt:i4>
      </vt:variant>
      <vt:variant>
        <vt:i4>5</vt:i4>
      </vt:variant>
      <vt:variant>
        <vt:lpwstr>http://rownosc.info/dictionary/polityka-rownosci-pci/</vt:lpwstr>
      </vt:variant>
      <vt:variant>
        <vt:lpwstr/>
      </vt:variant>
      <vt:variant>
        <vt:i4>1638491</vt:i4>
      </vt:variant>
      <vt:variant>
        <vt:i4>489</vt:i4>
      </vt:variant>
      <vt:variant>
        <vt:i4>0</vt:i4>
      </vt:variant>
      <vt:variant>
        <vt:i4>5</vt:i4>
      </vt:variant>
      <vt:variant>
        <vt:lpwstr>http://ec.europa.eu/polska/news/140107_fundusze_pl.htm</vt:lpwstr>
      </vt:variant>
      <vt:variant>
        <vt:lpwstr/>
      </vt:variant>
      <vt:variant>
        <vt:i4>7471209</vt:i4>
      </vt:variant>
      <vt:variant>
        <vt:i4>486</vt:i4>
      </vt:variant>
      <vt:variant>
        <vt:i4>0</vt:i4>
      </vt:variant>
      <vt:variant>
        <vt:i4>5</vt:i4>
      </vt:variant>
      <vt:variant>
        <vt:lpwstr>http://www.dialog.gov.pl/czym-jest-dialog-spoleczny/podstawowe-pojecia/</vt:lpwstr>
      </vt:variant>
      <vt:variant>
        <vt:lpwstr/>
      </vt:variant>
      <vt:variant>
        <vt:i4>1114161</vt:i4>
      </vt:variant>
      <vt:variant>
        <vt:i4>290</vt:i4>
      </vt:variant>
      <vt:variant>
        <vt:i4>0</vt:i4>
      </vt:variant>
      <vt:variant>
        <vt:i4>5</vt:i4>
      </vt:variant>
      <vt:variant>
        <vt:lpwstr/>
      </vt:variant>
      <vt:variant>
        <vt:lpwstr>_Toc432432434</vt:lpwstr>
      </vt:variant>
      <vt:variant>
        <vt:i4>1114161</vt:i4>
      </vt:variant>
      <vt:variant>
        <vt:i4>284</vt:i4>
      </vt:variant>
      <vt:variant>
        <vt:i4>0</vt:i4>
      </vt:variant>
      <vt:variant>
        <vt:i4>5</vt:i4>
      </vt:variant>
      <vt:variant>
        <vt:lpwstr/>
      </vt:variant>
      <vt:variant>
        <vt:lpwstr>_Toc432432433</vt:lpwstr>
      </vt:variant>
      <vt:variant>
        <vt:i4>1114161</vt:i4>
      </vt:variant>
      <vt:variant>
        <vt:i4>278</vt:i4>
      </vt:variant>
      <vt:variant>
        <vt:i4>0</vt:i4>
      </vt:variant>
      <vt:variant>
        <vt:i4>5</vt:i4>
      </vt:variant>
      <vt:variant>
        <vt:lpwstr/>
      </vt:variant>
      <vt:variant>
        <vt:lpwstr>_Toc432432432</vt:lpwstr>
      </vt:variant>
      <vt:variant>
        <vt:i4>1114161</vt:i4>
      </vt:variant>
      <vt:variant>
        <vt:i4>272</vt:i4>
      </vt:variant>
      <vt:variant>
        <vt:i4>0</vt:i4>
      </vt:variant>
      <vt:variant>
        <vt:i4>5</vt:i4>
      </vt:variant>
      <vt:variant>
        <vt:lpwstr/>
      </vt:variant>
      <vt:variant>
        <vt:lpwstr>_Toc432432431</vt:lpwstr>
      </vt:variant>
      <vt:variant>
        <vt:i4>1114161</vt:i4>
      </vt:variant>
      <vt:variant>
        <vt:i4>266</vt:i4>
      </vt:variant>
      <vt:variant>
        <vt:i4>0</vt:i4>
      </vt:variant>
      <vt:variant>
        <vt:i4>5</vt:i4>
      </vt:variant>
      <vt:variant>
        <vt:lpwstr/>
      </vt:variant>
      <vt:variant>
        <vt:lpwstr>_Toc432432430</vt:lpwstr>
      </vt:variant>
      <vt:variant>
        <vt:i4>1048625</vt:i4>
      </vt:variant>
      <vt:variant>
        <vt:i4>260</vt:i4>
      </vt:variant>
      <vt:variant>
        <vt:i4>0</vt:i4>
      </vt:variant>
      <vt:variant>
        <vt:i4>5</vt:i4>
      </vt:variant>
      <vt:variant>
        <vt:lpwstr/>
      </vt:variant>
      <vt:variant>
        <vt:lpwstr>_Toc432432429</vt:lpwstr>
      </vt:variant>
      <vt:variant>
        <vt:i4>1048625</vt:i4>
      </vt:variant>
      <vt:variant>
        <vt:i4>254</vt:i4>
      </vt:variant>
      <vt:variant>
        <vt:i4>0</vt:i4>
      </vt:variant>
      <vt:variant>
        <vt:i4>5</vt:i4>
      </vt:variant>
      <vt:variant>
        <vt:lpwstr/>
      </vt:variant>
      <vt:variant>
        <vt:lpwstr>_Toc432432428</vt:lpwstr>
      </vt:variant>
      <vt:variant>
        <vt:i4>1048625</vt:i4>
      </vt:variant>
      <vt:variant>
        <vt:i4>248</vt:i4>
      </vt:variant>
      <vt:variant>
        <vt:i4>0</vt:i4>
      </vt:variant>
      <vt:variant>
        <vt:i4>5</vt:i4>
      </vt:variant>
      <vt:variant>
        <vt:lpwstr/>
      </vt:variant>
      <vt:variant>
        <vt:lpwstr>_Toc432432427</vt:lpwstr>
      </vt:variant>
      <vt:variant>
        <vt:i4>1048625</vt:i4>
      </vt:variant>
      <vt:variant>
        <vt:i4>242</vt:i4>
      </vt:variant>
      <vt:variant>
        <vt:i4>0</vt:i4>
      </vt:variant>
      <vt:variant>
        <vt:i4>5</vt:i4>
      </vt:variant>
      <vt:variant>
        <vt:lpwstr/>
      </vt:variant>
      <vt:variant>
        <vt:lpwstr>_Toc432432426</vt:lpwstr>
      </vt:variant>
      <vt:variant>
        <vt:i4>1048625</vt:i4>
      </vt:variant>
      <vt:variant>
        <vt:i4>236</vt:i4>
      </vt:variant>
      <vt:variant>
        <vt:i4>0</vt:i4>
      </vt:variant>
      <vt:variant>
        <vt:i4>5</vt:i4>
      </vt:variant>
      <vt:variant>
        <vt:lpwstr/>
      </vt:variant>
      <vt:variant>
        <vt:lpwstr>_Toc432432425</vt:lpwstr>
      </vt:variant>
      <vt:variant>
        <vt:i4>1048625</vt:i4>
      </vt:variant>
      <vt:variant>
        <vt:i4>230</vt:i4>
      </vt:variant>
      <vt:variant>
        <vt:i4>0</vt:i4>
      </vt:variant>
      <vt:variant>
        <vt:i4>5</vt:i4>
      </vt:variant>
      <vt:variant>
        <vt:lpwstr/>
      </vt:variant>
      <vt:variant>
        <vt:lpwstr>_Toc432432424</vt:lpwstr>
      </vt:variant>
      <vt:variant>
        <vt:i4>1048625</vt:i4>
      </vt:variant>
      <vt:variant>
        <vt:i4>224</vt:i4>
      </vt:variant>
      <vt:variant>
        <vt:i4>0</vt:i4>
      </vt:variant>
      <vt:variant>
        <vt:i4>5</vt:i4>
      </vt:variant>
      <vt:variant>
        <vt:lpwstr/>
      </vt:variant>
      <vt:variant>
        <vt:lpwstr>_Toc432432423</vt:lpwstr>
      </vt:variant>
      <vt:variant>
        <vt:i4>1048625</vt:i4>
      </vt:variant>
      <vt:variant>
        <vt:i4>218</vt:i4>
      </vt:variant>
      <vt:variant>
        <vt:i4>0</vt:i4>
      </vt:variant>
      <vt:variant>
        <vt:i4>5</vt:i4>
      </vt:variant>
      <vt:variant>
        <vt:lpwstr/>
      </vt:variant>
      <vt:variant>
        <vt:lpwstr>_Toc432432422</vt:lpwstr>
      </vt:variant>
      <vt:variant>
        <vt:i4>1048625</vt:i4>
      </vt:variant>
      <vt:variant>
        <vt:i4>212</vt:i4>
      </vt:variant>
      <vt:variant>
        <vt:i4>0</vt:i4>
      </vt:variant>
      <vt:variant>
        <vt:i4>5</vt:i4>
      </vt:variant>
      <vt:variant>
        <vt:lpwstr/>
      </vt:variant>
      <vt:variant>
        <vt:lpwstr>_Toc432432421</vt:lpwstr>
      </vt:variant>
      <vt:variant>
        <vt:i4>1048625</vt:i4>
      </vt:variant>
      <vt:variant>
        <vt:i4>206</vt:i4>
      </vt:variant>
      <vt:variant>
        <vt:i4>0</vt:i4>
      </vt:variant>
      <vt:variant>
        <vt:i4>5</vt:i4>
      </vt:variant>
      <vt:variant>
        <vt:lpwstr/>
      </vt:variant>
      <vt:variant>
        <vt:lpwstr>_Toc432432420</vt:lpwstr>
      </vt:variant>
      <vt:variant>
        <vt:i4>1245233</vt:i4>
      </vt:variant>
      <vt:variant>
        <vt:i4>200</vt:i4>
      </vt:variant>
      <vt:variant>
        <vt:i4>0</vt:i4>
      </vt:variant>
      <vt:variant>
        <vt:i4>5</vt:i4>
      </vt:variant>
      <vt:variant>
        <vt:lpwstr/>
      </vt:variant>
      <vt:variant>
        <vt:lpwstr>_Toc432432419</vt:lpwstr>
      </vt:variant>
      <vt:variant>
        <vt:i4>1245233</vt:i4>
      </vt:variant>
      <vt:variant>
        <vt:i4>194</vt:i4>
      </vt:variant>
      <vt:variant>
        <vt:i4>0</vt:i4>
      </vt:variant>
      <vt:variant>
        <vt:i4>5</vt:i4>
      </vt:variant>
      <vt:variant>
        <vt:lpwstr/>
      </vt:variant>
      <vt:variant>
        <vt:lpwstr>_Toc432432418</vt:lpwstr>
      </vt:variant>
      <vt:variant>
        <vt:i4>1245233</vt:i4>
      </vt:variant>
      <vt:variant>
        <vt:i4>188</vt:i4>
      </vt:variant>
      <vt:variant>
        <vt:i4>0</vt:i4>
      </vt:variant>
      <vt:variant>
        <vt:i4>5</vt:i4>
      </vt:variant>
      <vt:variant>
        <vt:lpwstr/>
      </vt:variant>
      <vt:variant>
        <vt:lpwstr>_Toc432432417</vt:lpwstr>
      </vt:variant>
      <vt:variant>
        <vt:i4>1245233</vt:i4>
      </vt:variant>
      <vt:variant>
        <vt:i4>182</vt:i4>
      </vt:variant>
      <vt:variant>
        <vt:i4>0</vt:i4>
      </vt:variant>
      <vt:variant>
        <vt:i4>5</vt:i4>
      </vt:variant>
      <vt:variant>
        <vt:lpwstr/>
      </vt:variant>
      <vt:variant>
        <vt:lpwstr>_Toc432432416</vt:lpwstr>
      </vt:variant>
      <vt:variant>
        <vt:i4>1245233</vt:i4>
      </vt:variant>
      <vt:variant>
        <vt:i4>176</vt:i4>
      </vt:variant>
      <vt:variant>
        <vt:i4>0</vt:i4>
      </vt:variant>
      <vt:variant>
        <vt:i4>5</vt:i4>
      </vt:variant>
      <vt:variant>
        <vt:lpwstr/>
      </vt:variant>
      <vt:variant>
        <vt:lpwstr>_Toc432432415</vt:lpwstr>
      </vt:variant>
      <vt:variant>
        <vt:i4>1245233</vt:i4>
      </vt:variant>
      <vt:variant>
        <vt:i4>170</vt:i4>
      </vt:variant>
      <vt:variant>
        <vt:i4>0</vt:i4>
      </vt:variant>
      <vt:variant>
        <vt:i4>5</vt:i4>
      </vt:variant>
      <vt:variant>
        <vt:lpwstr/>
      </vt:variant>
      <vt:variant>
        <vt:lpwstr>_Toc432432414</vt:lpwstr>
      </vt:variant>
      <vt:variant>
        <vt:i4>1245233</vt:i4>
      </vt:variant>
      <vt:variant>
        <vt:i4>164</vt:i4>
      </vt:variant>
      <vt:variant>
        <vt:i4>0</vt:i4>
      </vt:variant>
      <vt:variant>
        <vt:i4>5</vt:i4>
      </vt:variant>
      <vt:variant>
        <vt:lpwstr/>
      </vt:variant>
      <vt:variant>
        <vt:lpwstr>_Toc432432413</vt:lpwstr>
      </vt:variant>
      <vt:variant>
        <vt:i4>1245233</vt:i4>
      </vt:variant>
      <vt:variant>
        <vt:i4>158</vt:i4>
      </vt:variant>
      <vt:variant>
        <vt:i4>0</vt:i4>
      </vt:variant>
      <vt:variant>
        <vt:i4>5</vt:i4>
      </vt:variant>
      <vt:variant>
        <vt:lpwstr/>
      </vt:variant>
      <vt:variant>
        <vt:lpwstr>_Toc432432412</vt:lpwstr>
      </vt:variant>
      <vt:variant>
        <vt:i4>1245233</vt:i4>
      </vt:variant>
      <vt:variant>
        <vt:i4>152</vt:i4>
      </vt:variant>
      <vt:variant>
        <vt:i4>0</vt:i4>
      </vt:variant>
      <vt:variant>
        <vt:i4>5</vt:i4>
      </vt:variant>
      <vt:variant>
        <vt:lpwstr/>
      </vt:variant>
      <vt:variant>
        <vt:lpwstr>_Toc432432411</vt:lpwstr>
      </vt:variant>
      <vt:variant>
        <vt:i4>1245233</vt:i4>
      </vt:variant>
      <vt:variant>
        <vt:i4>146</vt:i4>
      </vt:variant>
      <vt:variant>
        <vt:i4>0</vt:i4>
      </vt:variant>
      <vt:variant>
        <vt:i4>5</vt:i4>
      </vt:variant>
      <vt:variant>
        <vt:lpwstr/>
      </vt:variant>
      <vt:variant>
        <vt:lpwstr>_Toc432432410</vt:lpwstr>
      </vt:variant>
      <vt:variant>
        <vt:i4>1179697</vt:i4>
      </vt:variant>
      <vt:variant>
        <vt:i4>140</vt:i4>
      </vt:variant>
      <vt:variant>
        <vt:i4>0</vt:i4>
      </vt:variant>
      <vt:variant>
        <vt:i4>5</vt:i4>
      </vt:variant>
      <vt:variant>
        <vt:lpwstr/>
      </vt:variant>
      <vt:variant>
        <vt:lpwstr>_Toc432432409</vt:lpwstr>
      </vt:variant>
      <vt:variant>
        <vt:i4>1179697</vt:i4>
      </vt:variant>
      <vt:variant>
        <vt:i4>134</vt:i4>
      </vt:variant>
      <vt:variant>
        <vt:i4>0</vt:i4>
      </vt:variant>
      <vt:variant>
        <vt:i4>5</vt:i4>
      </vt:variant>
      <vt:variant>
        <vt:lpwstr/>
      </vt:variant>
      <vt:variant>
        <vt:lpwstr>_Toc432432408</vt:lpwstr>
      </vt:variant>
      <vt:variant>
        <vt:i4>1179697</vt:i4>
      </vt:variant>
      <vt:variant>
        <vt:i4>128</vt:i4>
      </vt:variant>
      <vt:variant>
        <vt:i4>0</vt:i4>
      </vt:variant>
      <vt:variant>
        <vt:i4>5</vt:i4>
      </vt:variant>
      <vt:variant>
        <vt:lpwstr/>
      </vt:variant>
      <vt:variant>
        <vt:lpwstr>_Toc432432407</vt:lpwstr>
      </vt:variant>
      <vt:variant>
        <vt:i4>1179697</vt:i4>
      </vt:variant>
      <vt:variant>
        <vt:i4>122</vt:i4>
      </vt:variant>
      <vt:variant>
        <vt:i4>0</vt:i4>
      </vt:variant>
      <vt:variant>
        <vt:i4>5</vt:i4>
      </vt:variant>
      <vt:variant>
        <vt:lpwstr/>
      </vt:variant>
      <vt:variant>
        <vt:lpwstr>_Toc432432406</vt:lpwstr>
      </vt:variant>
      <vt:variant>
        <vt:i4>1179697</vt:i4>
      </vt:variant>
      <vt:variant>
        <vt:i4>116</vt:i4>
      </vt:variant>
      <vt:variant>
        <vt:i4>0</vt:i4>
      </vt:variant>
      <vt:variant>
        <vt:i4>5</vt:i4>
      </vt:variant>
      <vt:variant>
        <vt:lpwstr/>
      </vt:variant>
      <vt:variant>
        <vt:lpwstr>_Toc432432405</vt:lpwstr>
      </vt:variant>
      <vt:variant>
        <vt:i4>1179697</vt:i4>
      </vt:variant>
      <vt:variant>
        <vt:i4>110</vt:i4>
      </vt:variant>
      <vt:variant>
        <vt:i4>0</vt:i4>
      </vt:variant>
      <vt:variant>
        <vt:i4>5</vt:i4>
      </vt:variant>
      <vt:variant>
        <vt:lpwstr/>
      </vt:variant>
      <vt:variant>
        <vt:lpwstr>_Toc432432404</vt:lpwstr>
      </vt:variant>
      <vt:variant>
        <vt:i4>1179697</vt:i4>
      </vt:variant>
      <vt:variant>
        <vt:i4>104</vt:i4>
      </vt:variant>
      <vt:variant>
        <vt:i4>0</vt:i4>
      </vt:variant>
      <vt:variant>
        <vt:i4>5</vt:i4>
      </vt:variant>
      <vt:variant>
        <vt:lpwstr/>
      </vt:variant>
      <vt:variant>
        <vt:lpwstr>_Toc432432403</vt:lpwstr>
      </vt:variant>
      <vt:variant>
        <vt:i4>1179697</vt:i4>
      </vt:variant>
      <vt:variant>
        <vt:i4>98</vt:i4>
      </vt:variant>
      <vt:variant>
        <vt:i4>0</vt:i4>
      </vt:variant>
      <vt:variant>
        <vt:i4>5</vt:i4>
      </vt:variant>
      <vt:variant>
        <vt:lpwstr/>
      </vt:variant>
      <vt:variant>
        <vt:lpwstr>_Toc432432402</vt:lpwstr>
      </vt:variant>
      <vt:variant>
        <vt:i4>1179697</vt:i4>
      </vt:variant>
      <vt:variant>
        <vt:i4>92</vt:i4>
      </vt:variant>
      <vt:variant>
        <vt:i4>0</vt:i4>
      </vt:variant>
      <vt:variant>
        <vt:i4>5</vt:i4>
      </vt:variant>
      <vt:variant>
        <vt:lpwstr/>
      </vt:variant>
      <vt:variant>
        <vt:lpwstr>_Toc432432401</vt:lpwstr>
      </vt:variant>
      <vt:variant>
        <vt:i4>1179697</vt:i4>
      </vt:variant>
      <vt:variant>
        <vt:i4>86</vt:i4>
      </vt:variant>
      <vt:variant>
        <vt:i4>0</vt:i4>
      </vt:variant>
      <vt:variant>
        <vt:i4>5</vt:i4>
      </vt:variant>
      <vt:variant>
        <vt:lpwstr/>
      </vt:variant>
      <vt:variant>
        <vt:lpwstr>_Toc432432400</vt:lpwstr>
      </vt:variant>
      <vt:variant>
        <vt:i4>1769526</vt:i4>
      </vt:variant>
      <vt:variant>
        <vt:i4>80</vt:i4>
      </vt:variant>
      <vt:variant>
        <vt:i4>0</vt:i4>
      </vt:variant>
      <vt:variant>
        <vt:i4>5</vt:i4>
      </vt:variant>
      <vt:variant>
        <vt:lpwstr/>
      </vt:variant>
      <vt:variant>
        <vt:lpwstr>_Toc432432399</vt:lpwstr>
      </vt:variant>
      <vt:variant>
        <vt:i4>1769526</vt:i4>
      </vt:variant>
      <vt:variant>
        <vt:i4>74</vt:i4>
      </vt:variant>
      <vt:variant>
        <vt:i4>0</vt:i4>
      </vt:variant>
      <vt:variant>
        <vt:i4>5</vt:i4>
      </vt:variant>
      <vt:variant>
        <vt:lpwstr/>
      </vt:variant>
      <vt:variant>
        <vt:lpwstr>_Toc432432398</vt:lpwstr>
      </vt:variant>
      <vt:variant>
        <vt:i4>1769526</vt:i4>
      </vt:variant>
      <vt:variant>
        <vt:i4>68</vt:i4>
      </vt:variant>
      <vt:variant>
        <vt:i4>0</vt:i4>
      </vt:variant>
      <vt:variant>
        <vt:i4>5</vt:i4>
      </vt:variant>
      <vt:variant>
        <vt:lpwstr/>
      </vt:variant>
      <vt:variant>
        <vt:lpwstr>_Toc432432397</vt:lpwstr>
      </vt:variant>
      <vt:variant>
        <vt:i4>1769526</vt:i4>
      </vt:variant>
      <vt:variant>
        <vt:i4>62</vt:i4>
      </vt:variant>
      <vt:variant>
        <vt:i4>0</vt:i4>
      </vt:variant>
      <vt:variant>
        <vt:i4>5</vt:i4>
      </vt:variant>
      <vt:variant>
        <vt:lpwstr/>
      </vt:variant>
      <vt:variant>
        <vt:lpwstr>_Toc432432396</vt:lpwstr>
      </vt:variant>
      <vt:variant>
        <vt:i4>1769526</vt:i4>
      </vt:variant>
      <vt:variant>
        <vt:i4>56</vt:i4>
      </vt:variant>
      <vt:variant>
        <vt:i4>0</vt:i4>
      </vt:variant>
      <vt:variant>
        <vt:i4>5</vt:i4>
      </vt:variant>
      <vt:variant>
        <vt:lpwstr/>
      </vt:variant>
      <vt:variant>
        <vt:lpwstr>_Toc432432395</vt:lpwstr>
      </vt:variant>
      <vt:variant>
        <vt:i4>1769526</vt:i4>
      </vt:variant>
      <vt:variant>
        <vt:i4>50</vt:i4>
      </vt:variant>
      <vt:variant>
        <vt:i4>0</vt:i4>
      </vt:variant>
      <vt:variant>
        <vt:i4>5</vt:i4>
      </vt:variant>
      <vt:variant>
        <vt:lpwstr/>
      </vt:variant>
      <vt:variant>
        <vt:lpwstr>_Toc432432394</vt:lpwstr>
      </vt:variant>
      <vt:variant>
        <vt:i4>1769526</vt:i4>
      </vt:variant>
      <vt:variant>
        <vt:i4>44</vt:i4>
      </vt:variant>
      <vt:variant>
        <vt:i4>0</vt:i4>
      </vt:variant>
      <vt:variant>
        <vt:i4>5</vt:i4>
      </vt:variant>
      <vt:variant>
        <vt:lpwstr/>
      </vt:variant>
      <vt:variant>
        <vt:lpwstr>_Toc432432393</vt:lpwstr>
      </vt:variant>
      <vt:variant>
        <vt:i4>1769526</vt:i4>
      </vt:variant>
      <vt:variant>
        <vt:i4>38</vt:i4>
      </vt:variant>
      <vt:variant>
        <vt:i4>0</vt:i4>
      </vt:variant>
      <vt:variant>
        <vt:i4>5</vt:i4>
      </vt:variant>
      <vt:variant>
        <vt:lpwstr/>
      </vt:variant>
      <vt:variant>
        <vt:lpwstr>_Toc432432392</vt:lpwstr>
      </vt:variant>
      <vt:variant>
        <vt:i4>1769526</vt:i4>
      </vt:variant>
      <vt:variant>
        <vt:i4>32</vt:i4>
      </vt:variant>
      <vt:variant>
        <vt:i4>0</vt:i4>
      </vt:variant>
      <vt:variant>
        <vt:i4>5</vt:i4>
      </vt:variant>
      <vt:variant>
        <vt:lpwstr/>
      </vt:variant>
      <vt:variant>
        <vt:lpwstr>_Toc432432391</vt:lpwstr>
      </vt:variant>
      <vt:variant>
        <vt:i4>1769526</vt:i4>
      </vt:variant>
      <vt:variant>
        <vt:i4>26</vt:i4>
      </vt:variant>
      <vt:variant>
        <vt:i4>0</vt:i4>
      </vt:variant>
      <vt:variant>
        <vt:i4>5</vt:i4>
      </vt:variant>
      <vt:variant>
        <vt:lpwstr/>
      </vt:variant>
      <vt:variant>
        <vt:lpwstr>_Toc432432390</vt:lpwstr>
      </vt:variant>
      <vt:variant>
        <vt:i4>1703990</vt:i4>
      </vt:variant>
      <vt:variant>
        <vt:i4>20</vt:i4>
      </vt:variant>
      <vt:variant>
        <vt:i4>0</vt:i4>
      </vt:variant>
      <vt:variant>
        <vt:i4>5</vt:i4>
      </vt:variant>
      <vt:variant>
        <vt:lpwstr/>
      </vt:variant>
      <vt:variant>
        <vt:lpwstr>_Toc432432389</vt:lpwstr>
      </vt:variant>
      <vt:variant>
        <vt:i4>1703990</vt:i4>
      </vt:variant>
      <vt:variant>
        <vt:i4>14</vt:i4>
      </vt:variant>
      <vt:variant>
        <vt:i4>0</vt:i4>
      </vt:variant>
      <vt:variant>
        <vt:i4>5</vt:i4>
      </vt:variant>
      <vt:variant>
        <vt:lpwstr/>
      </vt:variant>
      <vt:variant>
        <vt:lpwstr>_Toc432432388</vt:lpwstr>
      </vt:variant>
      <vt:variant>
        <vt:i4>1703990</vt:i4>
      </vt:variant>
      <vt:variant>
        <vt:i4>8</vt:i4>
      </vt:variant>
      <vt:variant>
        <vt:i4>0</vt:i4>
      </vt:variant>
      <vt:variant>
        <vt:i4>5</vt:i4>
      </vt:variant>
      <vt:variant>
        <vt:lpwstr/>
      </vt:variant>
      <vt:variant>
        <vt:lpwstr>_Toc432432387</vt:lpwstr>
      </vt:variant>
      <vt:variant>
        <vt:i4>1703990</vt:i4>
      </vt:variant>
      <vt:variant>
        <vt:i4>2</vt:i4>
      </vt:variant>
      <vt:variant>
        <vt:i4>0</vt:i4>
      </vt:variant>
      <vt:variant>
        <vt:i4>5</vt:i4>
      </vt:variant>
      <vt:variant>
        <vt:lpwstr/>
      </vt:variant>
      <vt:variant>
        <vt:lpwstr>_Toc432432386</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JC</dc:creator>
  <cp:keywords/>
  <dc:description/>
  <cp:lastModifiedBy>WROT</cp:lastModifiedBy>
  <cp:revision>2</cp:revision>
  <cp:lastPrinted>2021-09-23T12:24:00Z</cp:lastPrinted>
  <dcterms:created xsi:type="dcterms:W3CDTF">2021-09-24T12:48:00Z</dcterms:created>
  <dcterms:modified xsi:type="dcterms:W3CDTF">2021-09-24T12:48:00Z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Recent Style Id 0_1">
    <vt:lpwstr>http://www.zotero.org/styles/begell-house-apa</vt:lpwstr>
  </property>
  <property fmtid="{D5CDD505-2E9C-101B-9397-08002B2CF9AE}" pid="3" name="Mendeley Recent Style Name 0_1">
    <vt:lpwstr>Begell House - APA</vt:lpwstr>
  </property>
  <property fmtid="{D5CDD505-2E9C-101B-9397-08002B2CF9AE}" pid="4" name="Mendeley Recent Style Id 1_1">
    <vt:lpwstr>http://www.zotero.org/styles/elsevier-vancouver</vt:lpwstr>
  </property>
  <property fmtid="{D5CDD505-2E9C-101B-9397-08002B2CF9AE}" pid="5" name="Mendeley Recent Style Name 1_1">
    <vt:lpwstr>Elsevier - Vancouver</vt:lpwstr>
  </property>
  <property fmtid="{D5CDD505-2E9C-101B-9397-08002B2CF9AE}" pid="6" name="Mendeley Recent Style Id 2_1">
    <vt:lpwstr>http://www.zotero.org/styles/emerald-harvard</vt:lpwstr>
  </property>
  <property fmtid="{D5CDD505-2E9C-101B-9397-08002B2CF9AE}" pid="7" name="Mendeley Recent Style Name 2_1">
    <vt:lpwstr>Emerald - Harvard</vt:lpwstr>
  </property>
  <property fmtid="{D5CDD505-2E9C-101B-9397-08002B2CF9AE}" pid="8" name="Mendeley Recent Style Id 3_1">
    <vt:lpwstr>http://www.zotero.org/styles/energies</vt:lpwstr>
  </property>
  <property fmtid="{D5CDD505-2E9C-101B-9397-08002B2CF9AE}" pid="9" name="Mendeley Recent Style Name 3_1">
    <vt:lpwstr>Energies</vt:lpwstr>
  </property>
  <property fmtid="{D5CDD505-2E9C-101B-9397-08002B2CF9AE}" pid="10" name="Mendeley Recent Style Id 4_1">
    <vt:lpwstr>http://www.zotero.org/styles/energy-reports</vt:lpwstr>
  </property>
  <property fmtid="{D5CDD505-2E9C-101B-9397-08002B2CF9AE}" pid="11" name="Mendeley Recent Style Name 4_1">
    <vt:lpwstr>Energy Reports</vt:lpwstr>
  </property>
  <property fmtid="{D5CDD505-2E9C-101B-9397-08002B2CF9AE}" pid="12" name="Mendeley Recent Style Id 5_1">
    <vt:lpwstr>http://www.zotero.org/styles/ieee</vt:lpwstr>
  </property>
  <property fmtid="{D5CDD505-2E9C-101B-9397-08002B2CF9AE}" pid="13" name="Mendeley Recent Style Name 5_1">
    <vt:lpwstr>IEEE</vt:lpwstr>
  </property>
  <property fmtid="{D5CDD505-2E9C-101B-9397-08002B2CF9AE}" pid="14" name="Mendeley Recent Style Id 6_1">
    <vt:lpwstr>http://www.zotero.org/styles/international-journal-of-hydrogen-energy</vt:lpwstr>
  </property>
  <property fmtid="{D5CDD505-2E9C-101B-9397-08002B2CF9AE}" pid="15" name="Mendeley Recent Style Name 6_1">
    <vt:lpwstr>International Journal of Hydrogen Energy</vt:lpwstr>
  </property>
  <property fmtid="{D5CDD505-2E9C-101B-9397-08002B2CF9AE}" pid="16" name="Mendeley Recent Style Id 7_1">
    <vt:lpwstr>http://www.zotero.org/styles/journal-of-cleaner-production</vt:lpwstr>
  </property>
  <property fmtid="{D5CDD505-2E9C-101B-9397-08002B2CF9AE}" pid="17" name="Mendeley Recent Style Name 7_1">
    <vt:lpwstr>Journal of Cleaner Production</vt:lpwstr>
  </property>
  <property fmtid="{D5CDD505-2E9C-101B-9397-08002B2CF9AE}" pid="18" name="Mendeley Recent Style Id 8_1">
    <vt:lpwstr>http://www.zotero.org/styles/modern-humanities-research-association</vt:lpwstr>
  </property>
  <property fmtid="{D5CDD505-2E9C-101B-9397-08002B2CF9AE}" pid="19" name="Mendeley Recent Style Name 8_1">
    <vt:lpwstr>Modern Humanities Research Association 3rd edition (note with bibliography)</vt:lpwstr>
  </property>
  <property fmtid="{D5CDD505-2E9C-101B-9397-08002B2CF9AE}" pid="20" name="Mendeley Recent Style Id 9_1">
    <vt:lpwstr>http://www.zotero.org/styles/modern-language-association</vt:lpwstr>
  </property>
  <property fmtid="{D5CDD505-2E9C-101B-9397-08002B2CF9AE}" pid="21" name="Mendeley Recent Style Name 9_1">
    <vt:lpwstr>Modern Language Association 8th edition</vt:lpwstr>
  </property>
</Properties>
</file>