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70095E"/>
    <w:p w14:paraId="3C7B09FC" w14:textId="77777777" w:rsidR="00DC11B4" w:rsidRDefault="00B41C7E" w:rsidP="00DC11B4">
      <w:pPr>
        <w:autoSpaceDE w:val="0"/>
        <w:autoSpaceDN w:val="0"/>
        <w:adjustRightInd w:val="0"/>
        <w:ind w:left="2832" w:firstLine="708"/>
        <w:rPr>
          <w:rFonts w:cstheme="minorHAnsi"/>
          <w:szCs w:val="24"/>
        </w:rPr>
      </w:pPr>
      <w:r>
        <w:rPr>
          <w:rFonts w:cstheme="minorHAnsi"/>
          <w:szCs w:val="24"/>
        </w:rPr>
        <w:t>Załącznik numer</w:t>
      </w:r>
      <w:r w:rsidRPr="00587B52">
        <w:rPr>
          <w:rFonts w:cstheme="minorHAnsi"/>
          <w:szCs w:val="24"/>
        </w:rPr>
        <w:t xml:space="preserve"> </w:t>
      </w:r>
      <w:r w:rsidRPr="00FD27B8">
        <w:rPr>
          <w:rFonts w:cstheme="minorHAnsi"/>
          <w:szCs w:val="24"/>
        </w:rPr>
        <w:t>4</w:t>
      </w:r>
      <w:r>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p>
    <w:p w14:paraId="13B962AB" w14:textId="1680968B" w:rsidR="00D36D60" w:rsidRPr="00B41C7E" w:rsidRDefault="00B41C7E" w:rsidP="00DC11B4">
      <w:pPr>
        <w:autoSpaceDE w:val="0"/>
        <w:autoSpaceDN w:val="0"/>
        <w:adjustRightInd w:val="0"/>
        <w:ind w:left="2832" w:firstLine="708"/>
        <w:rPr>
          <w:rFonts w:cstheme="minorHAnsi"/>
          <w:szCs w:val="24"/>
        </w:rPr>
      </w:pPr>
      <w:r>
        <w:rPr>
          <w:rFonts w:cstheme="minorHAnsi"/>
          <w:szCs w:val="24"/>
        </w:rPr>
        <w:t>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 xml:space="preserve">aboru </w:t>
      </w:r>
      <w:r w:rsidR="00817E0E" w:rsidRPr="00FD27B8">
        <w:rPr>
          <w:rFonts w:cstheme="minorHAnsi"/>
          <w:szCs w:val="24"/>
        </w:rPr>
        <w:t>FEWP.01.04</w:t>
      </w:r>
      <w:r w:rsidR="00F32704" w:rsidRPr="00FD27B8">
        <w:rPr>
          <w:rFonts w:cstheme="minorHAnsi"/>
          <w:szCs w:val="24"/>
        </w:rPr>
        <w:t>-IZ.00-00</w:t>
      </w:r>
      <w:r w:rsidR="00FD27B8">
        <w:rPr>
          <w:rFonts w:cstheme="minorHAnsi"/>
          <w:szCs w:val="24"/>
        </w:rPr>
        <w:t>1</w:t>
      </w:r>
      <w:r w:rsidR="00063B8F" w:rsidRPr="00FD27B8">
        <w:rPr>
          <w:rFonts w:cstheme="minorHAnsi"/>
          <w:szCs w:val="24"/>
        </w:rPr>
        <w:t>/2</w:t>
      </w:r>
      <w:r w:rsidR="00302A31">
        <w:rPr>
          <w:rFonts w:cstheme="minorHAnsi"/>
          <w:szCs w:val="24"/>
        </w:rPr>
        <w:t>6</w:t>
      </w:r>
    </w:p>
    <w:p w14:paraId="4A0AFF94" w14:textId="77777777" w:rsidR="00D36D60" w:rsidRPr="00B41C7E" w:rsidRDefault="00D36D60" w:rsidP="00555A4E">
      <w:pPr>
        <w:rPr>
          <w:b/>
          <w:szCs w:val="24"/>
        </w:rPr>
      </w:pPr>
    </w:p>
    <w:p w14:paraId="2DFD54C3" w14:textId="77777777" w:rsidR="00D36D60" w:rsidRPr="00071ACC" w:rsidRDefault="00A7569A" w:rsidP="00555A4E">
      <w:pPr>
        <w:rPr>
          <w:b/>
          <w:sz w:val="28"/>
          <w:szCs w:val="28"/>
        </w:rPr>
      </w:pPr>
      <w:r w:rsidRPr="00071ACC">
        <w:rPr>
          <w:b/>
          <w:sz w:val="28"/>
          <w:szCs w:val="28"/>
        </w:rPr>
        <w:t xml:space="preserve">Tytuł Projektu: </w:t>
      </w:r>
    </w:p>
    <w:p w14:paraId="6AA99840" w14:textId="77777777" w:rsidR="00A7569A" w:rsidRPr="00071ACC" w:rsidRDefault="00A7569A" w:rsidP="00555A4E">
      <w:pPr>
        <w:rPr>
          <w:b/>
          <w:sz w:val="28"/>
          <w:szCs w:val="28"/>
        </w:rPr>
      </w:pPr>
      <w:r w:rsidRPr="00071ACC">
        <w:rPr>
          <w:b/>
          <w:sz w:val="28"/>
          <w:szCs w:val="28"/>
        </w:rPr>
        <w:t>Wnioskodawca:</w:t>
      </w:r>
    </w:p>
    <w:p w14:paraId="0742C02C" w14:textId="77777777" w:rsidR="00D36D60" w:rsidRPr="00B41C7E" w:rsidRDefault="00D36D60"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1E6AA286" w:rsidR="00D36D60" w:rsidRPr="00071ACC" w:rsidRDefault="000C4A9A" w:rsidP="00555A4E">
      <w:pPr>
        <w:jc w:val="center"/>
        <w:rPr>
          <w:b/>
          <w:sz w:val="28"/>
          <w:szCs w:val="28"/>
        </w:rPr>
      </w:pPr>
      <w:r w:rsidRPr="00071ACC">
        <w:rPr>
          <w:b/>
          <w:sz w:val="28"/>
          <w:szCs w:val="28"/>
        </w:rPr>
        <w:t xml:space="preserve">Działanie </w:t>
      </w:r>
      <w:r w:rsidR="00817E0E">
        <w:rPr>
          <w:b/>
          <w:sz w:val="28"/>
          <w:szCs w:val="28"/>
        </w:rPr>
        <w:t>FEWP.01.04</w:t>
      </w:r>
      <w:r w:rsidR="002346B6" w:rsidRPr="00071ACC">
        <w:rPr>
          <w:b/>
          <w:sz w:val="28"/>
          <w:szCs w:val="28"/>
        </w:rPr>
        <w:t xml:space="preserve"> </w:t>
      </w:r>
      <w:r w:rsidR="00817E0E" w:rsidRPr="00817E0E">
        <w:rPr>
          <w:b/>
          <w:sz w:val="28"/>
          <w:szCs w:val="28"/>
        </w:rPr>
        <w:t>Rozwój e-usług i e-zasobów publicznych w ramach ZIT</w:t>
      </w:r>
    </w:p>
    <w:p w14:paraId="2F3D653F" w14:textId="77777777" w:rsidR="000B3E22" w:rsidRDefault="000B3E22" w:rsidP="00555A4E">
      <w:pPr>
        <w:jc w:val="center"/>
        <w:rPr>
          <w:b/>
          <w:sz w:val="28"/>
          <w:szCs w:val="28"/>
        </w:rPr>
      </w:pPr>
    </w:p>
    <w:p w14:paraId="2A3AD913" w14:textId="77777777" w:rsidR="000B3E22" w:rsidRDefault="000B3E22" w:rsidP="00555A4E">
      <w:pPr>
        <w:jc w:val="center"/>
        <w:rPr>
          <w:b/>
          <w:sz w:val="28"/>
          <w:szCs w:val="28"/>
        </w:rPr>
      </w:pPr>
    </w:p>
    <w:p w14:paraId="41F240E4" w14:textId="77777777" w:rsidR="000B3E22" w:rsidRDefault="000B3E22" w:rsidP="00555A4E">
      <w:pPr>
        <w:jc w:val="center"/>
        <w:rPr>
          <w:b/>
          <w:sz w:val="28"/>
          <w:szCs w:val="28"/>
        </w:rPr>
      </w:pPr>
    </w:p>
    <w:p w14:paraId="5583AE96" w14:textId="77777777" w:rsidR="000B3E22" w:rsidRDefault="000B3E22" w:rsidP="00555A4E">
      <w:pPr>
        <w:jc w:val="center"/>
        <w:rPr>
          <w:b/>
          <w:sz w:val="28"/>
          <w:szCs w:val="28"/>
        </w:rPr>
      </w:pPr>
    </w:p>
    <w:p w14:paraId="64EFDD26" w14:textId="77777777" w:rsidR="000B3E22" w:rsidRDefault="000B3E22" w:rsidP="00555A4E">
      <w:pPr>
        <w:jc w:val="center"/>
        <w:rPr>
          <w:b/>
          <w:sz w:val="28"/>
          <w:szCs w:val="28"/>
        </w:rPr>
      </w:pPr>
    </w:p>
    <w:p w14:paraId="700955AC" w14:textId="77777777" w:rsidR="000B3E22" w:rsidRDefault="000B3E22" w:rsidP="00555A4E">
      <w:pPr>
        <w:jc w:val="center"/>
        <w:rPr>
          <w:b/>
          <w:sz w:val="28"/>
          <w:szCs w:val="28"/>
        </w:rPr>
      </w:pPr>
    </w:p>
    <w:p w14:paraId="7EECA5BC" w14:textId="77777777" w:rsidR="000B3E22" w:rsidRDefault="000B3E22" w:rsidP="00555A4E">
      <w:pPr>
        <w:jc w:val="center"/>
        <w:rPr>
          <w:b/>
          <w:sz w:val="28"/>
          <w:szCs w:val="28"/>
        </w:rPr>
      </w:pPr>
    </w:p>
    <w:p w14:paraId="4CA54AEF" w14:textId="3128A271" w:rsidR="00D36D60" w:rsidRPr="00B41C7E" w:rsidRDefault="00D36D60" w:rsidP="00555A4E">
      <w:pPr>
        <w:jc w:val="center"/>
        <w:rPr>
          <w:b/>
          <w:sz w:val="28"/>
          <w:szCs w:val="28"/>
        </w:rPr>
      </w:pPr>
      <w:r w:rsidRPr="00912B4B">
        <w:rPr>
          <w:b/>
          <w:sz w:val="28"/>
          <w:szCs w:val="28"/>
        </w:rPr>
        <w:t>Fundusze Europejskie dla Wielkopolski 2021-2027</w:t>
      </w:r>
    </w:p>
    <w:p w14:paraId="7C389B7F" w14:textId="77777777" w:rsidR="00570475" w:rsidRPr="00555A4E" w:rsidRDefault="00570475" w:rsidP="00555A4E">
      <w:pPr>
        <w:rPr>
          <w:szCs w:val="24"/>
        </w:rPr>
      </w:pPr>
    </w:p>
    <w:p w14:paraId="45BE1E8C" w14:textId="77777777"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7068E534" w14:textId="77777777" w:rsidR="00B41C7E" w:rsidRPr="00071ACC" w:rsidRDefault="00B41C7E" w:rsidP="00555A4E">
      <w:pPr>
        <w:rPr>
          <w:szCs w:val="24"/>
        </w:rPr>
      </w:pPr>
    </w:p>
    <w:p w14:paraId="1C407560" w14:textId="77777777" w:rsidR="000C1BDF" w:rsidRDefault="000C1BDF" w:rsidP="00555A4E">
      <w:pPr>
        <w:jc w:val="center"/>
        <w:rPr>
          <w:szCs w:val="24"/>
        </w:rPr>
      </w:pPr>
    </w:p>
    <w:p w14:paraId="0D3FDAAF" w14:textId="77777777" w:rsidR="000C1BDF" w:rsidRDefault="000C1BDF" w:rsidP="00555A4E">
      <w:pPr>
        <w:jc w:val="center"/>
        <w:rPr>
          <w:szCs w:val="24"/>
        </w:rPr>
      </w:pPr>
    </w:p>
    <w:p w14:paraId="71AB796D" w14:textId="77777777" w:rsidR="000C1BDF" w:rsidRDefault="000C1BDF" w:rsidP="00555A4E">
      <w:pPr>
        <w:jc w:val="center"/>
        <w:rPr>
          <w:szCs w:val="24"/>
        </w:rPr>
      </w:pPr>
    </w:p>
    <w:p w14:paraId="1C537817" w14:textId="0705EF5C" w:rsidR="0058099B" w:rsidRPr="00B41C7E" w:rsidRDefault="00817E0E" w:rsidP="00555A4E">
      <w:pPr>
        <w:jc w:val="center"/>
        <w:rPr>
          <w:szCs w:val="24"/>
        </w:rPr>
      </w:pPr>
      <w:r>
        <w:rPr>
          <w:szCs w:val="24"/>
        </w:rPr>
        <w:t>SW.FEWP.</w:t>
      </w:r>
      <w:r w:rsidRPr="000B3E22">
        <w:rPr>
          <w:szCs w:val="24"/>
        </w:rPr>
        <w:t>01.04</w:t>
      </w:r>
      <w:r w:rsidR="000C4A9A" w:rsidRPr="000B3E22">
        <w:rPr>
          <w:szCs w:val="24"/>
        </w:rPr>
        <w:t>.0</w:t>
      </w:r>
      <w:r w:rsidR="0056383E">
        <w:rPr>
          <w:szCs w:val="24"/>
        </w:rPr>
        <w:t>4</w:t>
      </w:r>
    </w:p>
    <w:p w14:paraId="7E01836D" w14:textId="38C19017" w:rsidR="000C4A9A" w:rsidRPr="00B41C7E" w:rsidRDefault="00D02A62" w:rsidP="00555A4E">
      <w:pPr>
        <w:jc w:val="center"/>
        <w:rPr>
          <w:szCs w:val="24"/>
        </w:rPr>
      </w:pPr>
      <w:r w:rsidRPr="00B41C7E">
        <w:rPr>
          <w:szCs w:val="24"/>
        </w:rPr>
        <w:t xml:space="preserve">Poznań, </w:t>
      </w:r>
      <w:r w:rsidR="006F1FF8">
        <w:rPr>
          <w:szCs w:val="24"/>
        </w:rPr>
        <w:t>luty</w:t>
      </w:r>
      <w:r w:rsidR="00630E56" w:rsidRPr="00B41C7E">
        <w:rPr>
          <w:szCs w:val="24"/>
        </w:rPr>
        <w:t xml:space="preserve"> 202</w:t>
      </w:r>
      <w:r w:rsidR="006F1FF8">
        <w:rPr>
          <w:szCs w:val="24"/>
        </w:rPr>
        <w:t>6</w:t>
      </w:r>
      <w:r w:rsidR="00630E56" w:rsidRPr="00B41C7E">
        <w:rPr>
          <w:szCs w:val="24"/>
        </w:rPr>
        <w:t xml:space="preserve"> r</w:t>
      </w:r>
      <w:r w:rsidR="003D7C5E">
        <w:rPr>
          <w:szCs w:val="24"/>
        </w:rPr>
        <w:t>oku</w:t>
      </w:r>
    </w:p>
    <w:p w14:paraId="4B4938E7" w14:textId="77777777" w:rsidR="000C4A9A" w:rsidRPr="00B41C7E" w:rsidRDefault="000C4A9A" w:rsidP="00555A4E">
      <w:pPr>
        <w:rPr>
          <w:szCs w:val="24"/>
        </w:rPr>
      </w:pPr>
      <w:r w:rsidRPr="00B41C7E">
        <w:rPr>
          <w:szCs w:val="24"/>
        </w:rPr>
        <w:br w:type="page"/>
      </w:r>
    </w:p>
    <w:p w14:paraId="193E6776" w14:textId="4FD9C950"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4CF3CA6"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817E0E">
        <w:rPr>
          <w:szCs w:val="24"/>
        </w:rPr>
        <w:t>27 w ramach Działania FEWP.01.04</w:t>
      </w:r>
      <w:r w:rsidRPr="00B41C7E">
        <w:rPr>
          <w:szCs w:val="24"/>
        </w:rPr>
        <w:t xml:space="preserve"> </w:t>
      </w:r>
      <w:r w:rsidR="00817E0E" w:rsidRPr="00817E0E">
        <w:rPr>
          <w:szCs w:val="24"/>
        </w:rPr>
        <w:t>Rozwój e-usług i e-zasobów publicznych w ramach ZIT</w:t>
      </w:r>
      <w:r w:rsidRPr="00B41C7E">
        <w:rPr>
          <w:szCs w:val="24"/>
        </w:rPr>
        <w:t xml:space="preserve">. </w:t>
      </w:r>
    </w:p>
    <w:p w14:paraId="66E9D51D" w14:textId="77777777" w:rsidR="00BF5627" w:rsidRDefault="00BF5627" w:rsidP="00555A4E">
      <w:pPr>
        <w:spacing w:after="0"/>
        <w:rPr>
          <w:szCs w:val="24"/>
        </w:rPr>
      </w:pPr>
    </w:p>
    <w:p w14:paraId="7A1C0F5E" w14:textId="79344FE4"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3200E515"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Europejskie dla Wielkopolski 2021-202</w:t>
      </w:r>
      <w:r w:rsidR="00580488">
        <w:rPr>
          <w:szCs w:val="24"/>
        </w:rPr>
        <w:t>7</w:t>
      </w:r>
      <w:r w:rsidR="0090241A" w:rsidRPr="00B41C7E">
        <w:rPr>
          <w:szCs w:val="24"/>
        </w:rPr>
        <w:t>;</w:t>
      </w:r>
    </w:p>
    <w:p w14:paraId="0467B91E" w14:textId="0FF2F81C"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580488">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Cost-benefit Analysis of Investment Project - Economic appraisal tool for Cohesion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(Economic Appraisal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nieliczbowych) oraz okres, którego dotyczą. Dane muszą być wiarygodne i realne. Dane statystyczne powinny być nie starsze niż 2 lata. </w:t>
      </w:r>
    </w:p>
    <w:p w14:paraId="18161160" w14:textId="77777777" w:rsidR="00592AF3" w:rsidRDefault="00592AF3" w:rsidP="00555A4E">
      <w:pPr>
        <w:spacing w:after="0"/>
        <w:rPr>
          <w:szCs w:val="24"/>
        </w:rPr>
      </w:pPr>
    </w:p>
    <w:p w14:paraId="4B6275C4" w14:textId="3AA8F3F6" w:rsidR="006A0F0A" w:rsidRPr="00B41C7E" w:rsidRDefault="0090241A" w:rsidP="00555A4E">
      <w:pPr>
        <w:spacing w:after="0"/>
        <w:rPr>
          <w:szCs w:val="24"/>
        </w:rPr>
      </w:pPr>
      <w:r w:rsidRPr="00B41C7E">
        <w:rPr>
          <w:szCs w:val="24"/>
        </w:rPr>
        <w:t xml:space="preserve">Instytucja Zarządzająca zaleca, aby sporządzać Studium Wykonalności zgodnie z przedstawionym schematem. </w:t>
      </w:r>
      <w:r w:rsidR="00A7569A" w:rsidRPr="00B41C7E">
        <w:rPr>
          <w:szCs w:val="24"/>
        </w:rPr>
        <w:t xml:space="preserve">Strona tytułowa powinna zawierać tytuł projektu, nazwę </w:t>
      </w:r>
      <w:r w:rsidR="00A96052" w:rsidRPr="00B41C7E">
        <w:rPr>
          <w:szCs w:val="24"/>
        </w:rPr>
        <w:t>W</w:t>
      </w:r>
      <w:r w:rsidR="00A7569A" w:rsidRPr="00B41C7E">
        <w:rPr>
          <w:szCs w:val="24"/>
        </w:rPr>
        <w:t xml:space="preserve">nioskodawcy, </w:t>
      </w:r>
      <w:r w:rsidR="00DE73EF" w:rsidRPr="00B41C7E">
        <w:rPr>
          <w:szCs w:val="24"/>
        </w:rPr>
        <w:t xml:space="preserve">nazwę Działania i </w:t>
      </w:r>
      <w:r w:rsidR="00BF44D4" w:rsidRPr="00B41C7E">
        <w:rPr>
          <w:szCs w:val="24"/>
        </w:rPr>
        <w:t xml:space="preserve">właściwego </w:t>
      </w:r>
      <w:r w:rsidR="00DE73EF" w:rsidRPr="00B41C7E">
        <w:rPr>
          <w:szCs w:val="24"/>
        </w:rPr>
        <w:t xml:space="preserve">typu projektu wynikającego z </w:t>
      </w:r>
      <w:r w:rsidR="000C5961" w:rsidRPr="007708D0">
        <w:rPr>
          <w:rFonts w:cstheme="minorHAnsi"/>
          <w:szCs w:val="24"/>
        </w:rPr>
        <w:t>Program</w:t>
      </w:r>
      <w:r w:rsidR="000C5961">
        <w:rPr>
          <w:rFonts w:cstheme="minorHAnsi"/>
          <w:szCs w:val="24"/>
        </w:rPr>
        <w:t>u</w:t>
      </w:r>
      <w:r w:rsidR="000C5961" w:rsidRPr="007708D0">
        <w:rPr>
          <w:rFonts w:cstheme="minorHAnsi"/>
          <w:szCs w:val="24"/>
        </w:rPr>
        <w:t xml:space="preserve"> Fundusze Europejskie dla Wielkopolski 2021-2027</w:t>
      </w:r>
      <w:r w:rsidR="00DE73EF" w:rsidRPr="00B41C7E">
        <w:rPr>
          <w:szCs w:val="24"/>
        </w:rPr>
        <w:t>,</w:t>
      </w:r>
      <w:r w:rsidR="003D7C5E" w:rsidRPr="003D7C5E">
        <w:rPr>
          <w:rFonts w:cstheme="minorHAnsi"/>
          <w:szCs w:val="24"/>
        </w:rPr>
        <w:t xml:space="preserve"> </w:t>
      </w:r>
      <w:r w:rsidR="003D7C5E" w:rsidRPr="00587B52">
        <w:rPr>
          <w:rFonts w:cstheme="minorHAnsi"/>
          <w:szCs w:val="24"/>
        </w:rPr>
        <w:t>imię i nazwisko</w:t>
      </w:r>
      <w:r w:rsidR="00DE73EF" w:rsidRPr="00B41C7E">
        <w:rPr>
          <w:szCs w:val="24"/>
        </w:rPr>
        <w:t xml:space="preserve"> </w:t>
      </w:r>
      <w:r w:rsidR="00A7569A" w:rsidRPr="00B41C7E">
        <w:rPr>
          <w:szCs w:val="24"/>
        </w:rPr>
        <w:t xml:space="preserve">autora Studium Wykonalności oraz </w:t>
      </w:r>
      <w:r w:rsidR="002D66FF" w:rsidRPr="00B41C7E">
        <w:rPr>
          <w:szCs w:val="24"/>
        </w:rPr>
        <w:t xml:space="preserve">jego </w:t>
      </w:r>
      <w:r w:rsidR="00A7569A" w:rsidRPr="00B41C7E">
        <w:rPr>
          <w:szCs w:val="24"/>
        </w:rPr>
        <w:t>da</w:t>
      </w:r>
      <w:r w:rsidR="002D66FF" w:rsidRPr="00B41C7E">
        <w:rPr>
          <w:szCs w:val="24"/>
        </w:rPr>
        <w:t>ne kontaktowe</w:t>
      </w:r>
      <w:r w:rsidR="00A7569A" w:rsidRPr="00B41C7E">
        <w:rPr>
          <w:szCs w:val="24"/>
        </w:rPr>
        <w:t>.</w:t>
      </w:r>
      <w:r w:rsidRPr="00B41C7E">
        <w:rPr>
          <w:szCs w:val="24"/>
        </w:rPr>
        <w:t xml:space="preserve"> Przy wypełnianiu </w:t>
      </w:r>
      <w:r w:rsidR="002D66FF" w:rsidRPr="00B41C7E">
        <w:rPr>
          <w:szCs w:val="24"/>
        </w:rPr>
        <w:t>dokumentu</w:t>
      </w:r>
      <w:r w:rsidRPr="00B41C7E">
        <w:rPr>
          <w:szCs w:val="24"/>
        </w:rPr>
        <w:t xml:space="preserve"> należy usunąć opisy stanowiące wskazówki do poszczególnyc</w:t>
      </w:r>
      <w:r w:rsidR="002D66FF" w:rsidRPr="00B41C7E">
        <w:rPr>
          <w:szCs w:val="24"/>
        </w:rPr>
        <w:t>h pozycji Studium Wykonalności</w:t>
      </w:r>
      <w:r w:rsidRPr="00B41C7E">
        <w:rPr>
          <w:szCs w:val="24"/>
        </w:rPr>
        <w:t>. Dodatkowo należy unikać nadmiernego rozbudowywania opisów i podawania informacji zbędnych dla oceny wykonalności projektu. Informacje powinny być konkretne i jednoznaczne, najlepiej poparte danymi liczbowymi.</w:t>
      </w:r>
    </w:p>
    <w:p w14:paraId="59CB049C" w14:textId="552BB5DC" w:rsidR="0090241A" w:rsidRPr="00B41C7E" w:rsidRDefault="006A0F0A" w:rsidP="00555A4E">
      <w:pPr>
        <w:spacing w:after="0"/>
        <w:rPr>
          <w:szCs w:val="24"/>
        </w:rPr>
      </w:pPr>
      <w:r w:rsidRPr="00B41C7E">
        <w:rPr>
          <w:szCs w:val="24"/>
        </w:rPr>
        <w:t xml:space="preserve">Wszystkie podmioty zainteresowane ubieganiem się o dofinansowanie w ramach </w:t>
      </w:r>
      <w:r w:rsidR="00FE4F32" w:rsidRPr="00DF798E">
        <w:rPr>
          <w:rFonts w:cstheme="minorHAnsi"/>
          <w:szCs w:val="24"/>
        </w:rPr>
        <w:t>Program</w:t>
      </w:r>
      <w:r w:rsidR="00FE4F32">
        <w:rPr>
          <w:rFonts w:cstheme="minorHAnsi"/>
          <w:szCs w:val="24"/>
        </w:rPr>
        <w:t>u</w:t>
      </w:r>
      <w:r w:rsidR="00FE4F32" w:rsidRPr="00DF798E">
        <w:rPr>
          <w:rFonts w:cstheme="minorHAnsi"/>
          <w:szCs w:val="24"/>
        </w:rPr>
        <w:t xml:space="preserve"> Fundusze Europejskie dla Wielkopolski 2021-2027</w:t>
      </w:r>
      <w:r w:rsidRPr="00B41C7E">
        <w:rPr>
          <w:szCs w:val="24"/>
        </w:rPr>
        <w:t xml:space="preserve"> powinny zapoznać się z regulacjami unijnymi oraz krajowym, w zakresie przygotowywania projektów inwestycyjnych.</w:t>
      </w:r>
    </w:p>
    <w:p w14:paraId="5C7CAB5D" w14:textId="506A925B" w:rsidR="0090241A" w:rsidRPr="00071ACC" w:rsidRDefault="0090241A" w:rsidP="00555A4E">
      <w:pPr>
        <w:spacing w:after="0"/>
        <w:rPr>
          <w:szCs w:val="24"/>
        </w:rPr>
      </w:pPr>
      <w:r w:rsidRPr="00B41C7E">
        <w:rPr>
          <w:szCs w:val="24"/>
        </w:rPr>
        <w:lastRenderedPageBreak/>
        <w:t xml:space="preserve">Integralną częścią Studium </w:t>
      </w:r>
      <w:r w:rsidR="008B046C" w:rsidRPr="00B41C7E">
        <w:rPr>
          <w:szCs w:val="24"/>
        </w:rPr>
        <w:t xml:space="preserve">Wykonalności </w:t>
      </w:r>
      <w:r w:rsidRPr="00B41C7E">
        <w:rPr>
          <w:szCs w:val="24"/>
        </w:rPr>
        <w:t xml:space="preserve">jest załącznik w formie arkusza kalkulacyjnego (w formacie przygotowanym przez </w:t>
      </w:r>
      <w:r w:rsidR="00674C05" w:rsidRPr="00B41C7E">
        <w:rPr>
          <w:szCs w:val="24"/>
        </w:rPr>
        <w:t>Instytucję Zarządzającą</w:t>
      </w:r>
      <w:r w:rsidRPr="00B41C7E">
        <w:rPr>
          <w:szCs w:val="24"/>
        </w:rPr>
        <w:t xml:space="preserve">), służący przedstawieniu analizy finansowej. Arkusz zawiera formuły i powiązania ułatwiające przeprowadzenie obliczeń, z których należy korzystać. </w:t>
      </w:r>
      <w:r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599C3AD4" w14:textId="545F0B8C" w:rsidR="00FB55ED"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1535782" w:history="1">
            <w:r w:rsidR="00FB55ED" w:rsidRPr="00D56B33">
              <w:rPr>
                <w:rStyle w:val="Hipercze"/>
                <w:noProof/>
              </w:rPr>
              <w:t>1.</w:t>
            </w:r>
            <w:r w:rsidR="00FB55ED">
              <w:rPr>
                <w:rFonts w:eastAsiaTheme="minorEastAsia"/>
                <w:noProof/>
                <w:kern w:val="2"/>
                <w:szCs w:val="24"/>
                <w:lang w:eastAsia="pl-PL"/>
                <w14:ligatures w14:val="standardContextual"/>
              </w:rPr>
              <w:tab/>
            </w:r>
            <w:r w:rsidR="00FB55ED" w:rsidRPr="00D56B33">
              <w:rPr>
                <w:rStyle w:val="Hipercze"/>
                <w:noProof/>
              </w:rPr>
              <w:t>Identyfikacja projektu i opis celów projektu</w:t>
            </w:r>
            <w:r w:rsidR="00FB55ED">
              <w:rPr>
                <w:noProof/>
                <w:webHidden/>
              </w:rPr>
              <w:tab/>
            </w:r>
            <w:r w:rsidR="00FB55ED">
              <w:rPr>
                <w:noProof/>
                <w:webHidden/>
              </w:rPr>
              <w:fldChar w:fldCharType="begin"/>
            </w:r>
            <w:r w:rsidR="00FB55ED">
              <w:rPr>
                <w:noProof/>
                <w:webHidden/>
              </w:rPr>
              <w:instrText xml:space="preserve"> PAGEREF _Toc221535782 \h </w:instrText>
            </w:r>
            <w:r w:rsidR="00FB55ED">
              <w:rPr>
                <w:noProof/>
                <w:webHidden/>
              </w:rPr>
            </w:r>
            <w:r w:rsidR="00FB55ED">
              <w:rPr>
                <w:noProof/>
                <w:webHidden/>
              </w:rPr>
              <w:fldChar w:fldCharType="separate"/>
            </w:r>
            <w:r w:rsidR="00FB55ED">
              <w:rPr>
                <w:noProof/>
                <w:webHidden/>
              </w:rPr>
              <w:t>6</w:t>
            </w:r>
            <w:r w:rsidR="00FB55ED">
              <w:rPr>
                <w:noProof/>
                <w:webHidden/>
              </w:rPr>
              <w:fldChar w:fldCharType="end"/>
            </w:r>
          </w:hyperlink>
        </w:p>
        <w:p w14:paraId="5989BCD8" w14:textId="196EF9CC" w:rsidR="00FB55ED" w:rsidRDefault="00FB55ED">
          <w:pPr>
            <w:pStyle w:val="Spistreci2"/>
            <w:rPr>
              <w:rFonts w:eastAsiaTheme="minorEastAsia"/>
              <w:noProof/>
              <w:kern w:val="2"/>
              <w:szCs w:val="24"/>
              <w:lang w:eastAsia="pl-PL"/>
              <w14:ligatures w14:val="standardContextual"/>
            </w:rPr>
          </w:pPr>
          <w:hyperlink w:anchor="_Toc221535783" w:history="1">
            <w:r w:rsidRPr="00D56B33">
              <w:rPr>
                <w:rStyle w:val="Hipercze"/>
                <w:noProof/>
              </w:rPr>
              <w:t>1.1.</w:t>
            </w:r>
            <w:r>
              <w:rPr>
                <w:rFonts w:eastAsiaTheme="minorEastAsia"/>
                <w:noProof/>
                <w:kern w:val="2"/>
                <w:szCs w:val="24"/>
                <w:lang w:eastAsia="pl-PL"/>
                <w14:ligatures w14:val="standardContextual"/>
              </w:rPr>
              <w:tab/>
            </w:r>
            <w:r w:rsidRPr="00D56B33">
              <w:rPr>
                <w:rStyle w:val="Hipercze"/>
                <w:noProof/>
              </w:rPr>
              <w:t>Typ projektu</w:t>
            </w:r>
            <w:r>
              <w:rPr>
                <w:noProof/>
                <w:webHidden/>
              </w:rPr>
              <w:tab/>
            </w:r>
            <w:r>
              <w:rPr>
                <w:noProof/>
                <w:webHidden/>
              </w:rPr>
              <w:fldChar w:fldCharType="begin"/>
            </w:r>
            <w:r>
              <w:rPr>
                <w:noProof/>
                <w:webHidden/>
              </w:rPr>
              <w:instrText xml:space="preserve"> PAGEREF _Toc221535783 \h </w:instrText>
            </w:r>
            <w:r>
              <w:rPr>
                <w:noProof/>
                <w:webHidden/>
              </w:rPr>
            </w:r>
            <w:r>
              <w:rPr>
                <w:noProof/>
                <w:webHidden/>
              </w:rPr>
              <w:fldChar w:fldCharType="separate"/>
            </w:r>
            <w:r>
              <w:rPr>
                <w:noProof/>
                <w:webHidden/>
              </w:rPr>
              <w:t>6</w:t>
            </w:r>
            <w:r>
              <w:rPr>
                <w:noProof/>
                <w:webHidden/>
              </w:rPr>
              <w:fldChar w:fldCharType="end"/>
            </w:r>
          </w:hyperlink>
        </w:p>
        <w:p w14:paraId="141E7E8B" w14:textId="17120FFF" w:rsidR="00FB55ED" w:rsidRDefault="00FB55ED">
          <w:pPr>
            <w:pStyle w:val="Spistreci2"/>
            <w:rPr>
              <w:rFonts w:eastAsiaTheme="minorEastAsia"/>
              <w:noProof/>
              <w:kern w:val="2"/>
              <w:szCs w:val="24"/>
              <w:lang w:eastAsia="pl-PL"/>
              <w14:ligatures w14:val="standardContextual"/>
            </w:rPr>
          </w:pPr>
          <w:hyperlink w:anchor="_Toc221535784" w:history="1">
            <w:r w:rsidRPr="00D56B33">
              <w:rPr>
                <w:rStyle w:val="Hipercze"/>
                <w:noProof/>
              </w:rPr>
              <w:t>1.2.</w:t>
            </w:r>
            <w:r>
              <w:rPr>
                <w:rFonts w:eastAsiaTheme="minorEastAsia"/>
                <w:noProof/>
                <w:kern w:val="2"/>
                <w:szCs w:val="24"/>
                <w:lang w:eastAsia="pl-PL"/>
                <w14:ligatures w14:val="standardContextual"/>
              </w:rPr>
              <w:tab/>
            </w:r>
            <w:r w:rsidRPr="00D56B33">
              <w:rPr>
                <w:rStyle w:val="Hipercze"/>
                <w:noProof/>
              </w:rPr>
              <w:t>Cele projektu</w:t>
            </w:r>
            <w:r>
              <w:rPr>
                <w:noProof/>
                <w:webHidden/>
              </w:rPr>
              <w:tab/>
            </w:r>
            <w:r>
              <w:rPr>
                <w:noProof/>
                <w:webHidden/>
              </w:rPr>
              <w:fldChar w:fldCharType="begin"/>
            </w:r>
            <w:r>
              <w:rPr>
                <w:noProof/>
                <w:webHidden/>
              </w:rPr>
              <w:instrText xml:space="preserve"> PAGEREF _Toc221535784 \h </w:instrText>
            </w:r>
            <w:r>
              <w:rPr>
                <w:noProof/>
                <w:webHidden/>
              </w:rPr>
            </w:r>
            <w:r>
              <w:rPr>
                <w:noProof/>
                <w:webHidden/>
              </w:rPr>
              <w:fldChar w:fldCharType="separate"/>
            </w:r>
            <w:r>
              <w:rPr>
                <w:noProof/>
                <w:webHidden/>
              </w:rPr>
              <w:t>6</w:t>
            </w:r>
            <w:r>
              <w:rPr>
                <w:noProof/>
                <w:webHidden/>
              </w:rPr>
              <w:fldChar w:fldCharType="end"/>
            </w:r>
          </w:hyperlink>
        </w:p>
        <w:p w14:paraId="70E94654" w14:textId="3238E8EB" w:rsidR="00FB55ED" w:rsidRDefault="00FB55ED">
          <w:pPr>
            <w:pStyle w:val="Spistreci2"/>
            <w:rPr>
              <w:rFonts w:eastAsiaTheme="minorEastAsia"/>
              <w:noProof/>
              <w:kern w:val="2"/>
              <w:szCs w:val="24"/>
              <w:lang w:eastAsia="pl-PL"/>
              <w14:ligatures w14:val="standardContextual"/>
            </w:rPr>
          </w:pPr>
          <w:hyperlink w:anchor="_Toc221535785" w:history="1">
            <w:r w:rsidRPr="00D56B33">
              <w:rPr>
                <w:rStyle w:val="Hipercze"/>
                <w:noProof/>
              </w:rPr>
              <w:t>1.3.</w:t>
            </w:r>
            <w:r>
              <w:rPr>
                <w:rFonts w:eastAsiaTheme="minorEastAsia"/>
                <w:noProof/>
                <w:kern w:val="2"/>
                <w:szCs w:val="24"/>
                <w:lang w:eastAsia="pl-PL"/>
                <w14:ligatures w14:val="standardContextual"/>
              </w:rPr>
              <w:tab/>
            </w:r>
            <w:r w:rsidRPr="00D56B33">
              <w:rPr>
                <w:rStyle w:val="Hipercze"/>
                <w:noProof/>
              </w:rPr>
              <w:t>Identyfikacja projektu</w:t>
            </w:r>
            <w:r>
              <w:rPr>
                <w:noProof/>
                <w:webHidden/>
              </w:rPr>
              <w:tab/>
            </w:r>
            <w:r>
              <w:rPr>
                <w:noProof/>
                <w:webHidden/>
              </w:rPr>
              <w:fldChar w:fldCharType="begin"/>
            </w:r>
            <w:r>
              <w:rPr>
                <w:noProof/>
                <w:webHidden/>
              </w:rPr>
              <w:instrText xml:space="preserve"> PAGEREF _Toc221535785 \h </w:instrText>
            </w:r>
            <w:r>
              <w:rPr>
                <w:noProof/>
                <w:webHidden/>
              </w:rPr>
            </w:r>
            <w:r>
              <w:rPr>
                <w:noProof/>
                <w:webHidden/>
              </w:rPr>
              <w:fldChar w:fldCharType="separate"/>
            </w:r>
            <w:r>
              <w:rPr>
                <w:noProof/>
                <w:webHidden/>
              </w:rPr>
              <w:t>6</w:t>
            </w:r>
            <w:r>
              <w:rPr>
                <w:noProof/>
                <w:webHidden/>
              </w:rPr>
              <w:fldChar w:fldCharType="end"/>
            </w:r>
          </w:hyperlink>
        </w:p>
        <w:p w14:paraId="403BE852" w14:textId="273B2779" w:rsidR="00FB55ED" w:rsidRDefault="00FB55ED">
          <w:pPr>
            <w:pStyle w:val="Spistreci2"/>
            <w:rPr>
              <w:rFonts w:eastAsiaTheme="minorEastAsia"/>
              <w:noProof/>
              <w:kern w:val="2"/>
              <w:szCs w:val="24"/>
              <w:lang w:eastAsia="pl-PL"/>
              <w14:ligatures w14:val="standardContextual"/>
            </w:rPr>
          </w:pPr>
          <w:hyperlink w:anchor="_Toc221535786" w:history="1">
            <w:r w:rsidRPr="00D56B33">
              <w:rPr>
                <w:rStyle w:val="Hipercze"/>
                <w:noProof/>
              </w:rPr>
              <w:t>1.4.</w:t>
            </w:r>
            <w:r>
              <w:rPr>
                <w:rFonts w:eastAsiaTheme="minorEastAsia"/>
                <w:noProof/>
                <w:kern w:val="2"/>
                <w:szCs w:val="24"/>
                <w:lang w:eastAsia="pl-PL"/>
                <w14:ligatures w14:val="standardContextual"/>
              </w:rPr>
              <w:tab/>
            </w:r>
            <w:r w:rsidRPr="00D56B33">
              <w:rPr>
                <w:rStyle w:val="Hipercze"/>
                <w:noProof/>
              </w:rPr>
              <w:t>Uzasadnienie potrzeby realizacji projektu</w:t>
            </w:r>
            <w:r>
              <w:rPr>
                <w:noProof/>
                <w:webHidden/>
              </w:rPr>
              <w:tab/>
            </w:r>
            <w:r>
              <w:rPr>
                <w:noProof/>
                <w:webHidden/>
              </w:rPr>
              <w:fldChar w:fldCharType="begin"/>
            </w:r>
            <w:r>
              <w:rPr>
                <w:noProof/>
                <w:webHidden/>
              </w:rPr>
              <w:instrText xml:space="preserve"> PAGEREF _Toc221535786 \h </w:instrText>
            </w:r>
            <w:r>
              <w:rPr>
                <w:noProof/>
                <w:webHidden/>
              </w:rPr>
            </w:r>
            <w:r>
              <w:rPr>
                <w:noProof/>
                <w:webHidden/>
              </w:rPr>
              <w:fldChar w:fldCharType="separate"/>
            </w:r>
            <w:r>
              <w:rPr>
                <w:noProof/>
                <w:webHidden/>
              </w:rPr>
              <w:t>7</w:t>
            </w:r>
            <w:r>
              <w:rPr>
                <w:noProof/>
                <w:webHidden/>
              </w:rPr>
              <w:fldChar w:fldCharType="end"/>
            </w:r>
          </w:hyperlink>
        </w:p>
        <w:p w14:paraId="554C6987" w14:textId="1EB4EB43" w:rsidR="00FB55ED" w:rsidRDefault="00FB55ED">
          <w:pPr>
            <w:pStyle w:val="Spistreci2"/>
            <w:rPr>
              <w:rFonts w:eastAsiaTheme="minorEastAsia"/>
              <w:noProof/>
              <w:kern w:val="2"/>
              <w:szCs w:val="24"/>
              <w:lang w:eastAsia="pl-PL"/>
              <w14:ligatures w14:val="standardContextual"/>
            </w:rPr>
          </w:pPr>
          <w:hyperlink w:anchor="_Toc221535787" w:history="1">
            <w:r w:rsidRPr="00D56B33">
              <w:rPr>
                <w:rStyle w:val="Hipercze"/>
                <w:noProof/>
              </w:rPr>
              <w:t>1.5.</w:t>
            </w:r>
            <w:r>
              <w:rPr>
                <w:rFonts w:eastAsiaTheme="minorEastAsia"/>
                <w:noProof/>
                <w:kern w:val="2"/>
                <w:szCs w:val="24"/>
                <w:lang w:eastAsia="pl-PL"/>
                <w14:ligatures w14:val="standardContextual"/>
              </w:rPr>
              <w:tab/>
            </w:r>
            <w:r w:rsidRPr="00D56B33">
              <w:rPr>
                <w:rStyle w:val="Hipercze"/>
                <w:noProof/>
              </w:rPr>
              <w:t>Otoczenie prawne</w:t>
            </w:r>
            <w:r>
              <w:rPr>
                <w:noProof/>
                <w:webHidden/>
              </w:rPr>
              <w:tab/>
            </w:r>
            <w:r>
              <w:rPr>
                <w:noProof/>
                <w:webHidden/>
              </w:rPr>
              <w:fldChar w:fldCharType="begin"/>
            </w:r>
            <w:r>
              <w:rPr>
                <w:noProof/>
                <w:webHidden/>
              </w:rPr>
              <w:instrText xml:space="preserve"> PAGEREF _Toc221535787 \h </w:instrText>
            </w:r>
            <w:r>
              <w:rPr>
                <w:noProof/>
                <w:webHidden/>
              </w:rPr>
            </w:r>
            <w:r>
              <w:rPr>
                <w:noProof/>
                <w:webHidden/>
              </w:rPr>
              <w:fldChar w:fldCharType="separate"/>
            </w:r>
            <w:r>
              <w:rPr>
                <w:noProof/>
                <w:webHidden/>
              </w:rPr>
              <w:t>7</w:t>
            </w:r>
            <w:r>
              <w:rPr>
                <w:noProof/>
                <w:webHidden/>
              </w:rPr>
              <w:fldChar w:fldCharType="end"/>
            </w:r>
          </w:hyperlink>
        </w:p>
        <w:p w14:paraId="6F7954C7" w14:textId="55E5A5A3" w:rsidR="00FB55ED" w:rsidRDefault="00FB55ED">
          <w:pPr>
            <w:pStyle w:val="Spistreci2"/>
            <w:rPr>
              <w:rFonts w:eastAsiaTheme="minorEastAsia"/>
              <w:noProof/>
              <w:kern w:val="2"/>
              <w:szCs w:val="24"/>
              <w:lang w:eastAsia="pl-PL"/>
              <w14:ligatures w14:val="standardContextual"/>
            </w:rPr>
          </w:pPr>
          <w:hyperlink w:anchor="_Toc221535788" w:history="1">
            <w:r w:rsidRPr="00D56B33">
              <w:rPr>
                <w:rStyle w:val="Hipercze"/>
                <w:noProof/>
              </w:rPr>
              <w:t>1.6.</w:t>
            </w:r>
            <w:r>
              <w:rPr>
                <w:rFonts w:eastAsiaTheme="minorEastAsia"/>
                <w:noProof/>
                <w:kern w:val="2"/>
                <w:szCs w:val="24"/>
                <w:lang w:eastAsia="pl-PL"/>
                <w14:ligatures w14:val="standardContextual"/>
              </w:rPr>
              <w:tab/>
            </w:r>
            <w:r w:rsidRPr="00D56B33">
              <w:rPr>
                <w:rStyle w:val="Hipercze"/>
                <w:noProof/>
              </w:rPr>
              <w:t>Analiza procesów biznesowych</w:t>
            </w:r>
            <w:r>
              <w:rPr>
                <w:noProof/>
                <w:webHidden/>
              </w:rPr>
              <w:tab/>
            </w:r>
            <w:r>
              <w:rPr>
                <w:noProof/>
                <w:webHidden/>
              </w:rPr>
              <w:fldChar w:fldCharType="begin"/>
            </w:r>
            <w:r>
              <w:rPr>
                <w:noProof/>
                <w:webHidden/>
              </w:rPr>
              <w:instrText xml:space="preserve"> PAGEREF _Toc221535788 \h </w:instrText>
            </w:r>
            <w:r>
              <w:rPr>
                <w:noProof/>
                <w:webHidden/>
              </w:rPr>
            </w:r>
            <w:r>
              <w:rPr>
                <w:noProof/>
                <w:webHidden/>
              </w:rPr>
              <w:fldChar w:fldCharType="separate"/>
            </w:r>
            <w:r>
              <w:rPr>
                <w:noProof/>
                <w:webHidden/>
              </w:rPr>
              <w:t>8</w:t>
            </w:r>
            <w:r>
              <w:rPr>
                <w:noProof/>
                <w:webHidden/>
              </w:rPr>
              <w:fldChar w:fldCharType="end"/>
            </w:r>
          </w:hyperlink>
        </w:p>
        <w:p w14:paraId="1CB65659" w14:textId="1B62334C" w:rsidR="00FB55ED" w:rsidRDefault="00FB55ED">
          <w:pPr>
            <w:pStyle w:val="Spistreci1"/>
            <w:rPr>
              <w:rFonts w:eastAsiaTheme="minorEastAsia"/>
              <w:noProof/>
              <w:kern w:val="2"/>
              <w:szCs w:val="24"/>
              <w:lang w:eastAsia="pl-PL"/>
              <w14:ligatures w14:val="standardContextual"/>
            </w:rPr>
          </w:pPr>
          <w:hyperlink w:anchor="_Toc221535789" w:history="1">
            <w:r w:rsidRPr="00D56B33">
              <w:rPr>
                <w:rStyle w:val="Hipercze"/>
                <w:noProof/>
              </w:rPr>
              <w:t>2.</w:t>
            </w:r>
            <w:r>
              <w:rPr>
                <w:rFonts w:eastAsiaTheme="minorEastAsia"/>
                <w:noProof/>
                <w:kern w:val="2"/>
                <w:szCs w:val="24"/>
                <w:lang w:eastAsia="pl-PL"/>
                <w14:ligatures w14:val="standardContextual"/>
              </w:rPr>
              <w:tab/>
            </w:r>
            <w:r w:rsidRPr="00D56B33">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_Toc221535789 \h </w:instrText>
            </w:r>
            <w:r>
              <w:rPr>
                <w:noProof/>
                <w:webHidden/>
              </w:rPr>
            </w:r>
            <w:r>
              <w:rPr>
                <w:noProof/>
                <w:webHidden/>
              </w:rPr>
              <w:fldChar w:fldCharType="separate"/>
            </w:r>
            <w:r>
              <w:rPr>
                <w:noProof/>
                <w:webHidden/>
              </w:rPr>
              <w:t>8</w:t>
            </w:r>
            <w:r>
              <w:rPr>
                <w:noProof/>
                <w:webHidden/>
              </w:rPr>
              <w:fldChar w:fldCharType="end"/>
            </w:r>
          </w:hyperlink>
        </w:p>
        <w:p w14:paraId="1A1B5825" w14:textId="163A3E4B" w:rsidR="00FB55ED" w:rsidRDefault="00FB55ED">
          <w:pPr>
            <w:pStyle w:val="Spistreci1"/>
            <w:rPr>
              <w:rFonts w:eastAsiaTheme="minorEastAsia"/>
              <w:noProof/>
              <w:kern w:val="2"/>
              <w:szCs w:val="24"/>
              <w:lang w:eastAsia="pl-PL"/>
              <w14:ligatures w14:val="standardContextual"/>
            </w:rPr>
          </w:pPr>
          <w:hyperlink w:anchor="_Toc221535790" w:history="1">
            <w:r w:rsidRPr="00D56B33">
              <w:rPr>
                <w:rStyle w:val="Hipercze"/>
                <w:noProof/>
              </w:rPr>
              <w:t>3.</w:t>
            </w:r>
            <w:r>
              <w:rPr>
                <w:rFonts w:eastAsiaTheme="minorEastAsia"/>
                <w:noProof/>
                <w:kern w:val="2"/>
                <w:szCs w:val="24"/>
                <w:lang w:eastAsia="pl-PL"/>
                <w14:ligatures w14:val="standardContextual"/>
              </w:rPr>
              <w:tab/>
            </w:r>
            <w:r w:rsidRPr="00D56B33">
              <w:rPr>
                <w:rStyle w:val="Hipercze"/>
                <w:noProof/>
              </w:rPr>
              <w:t>Analiza występowania pomocy publicznej w projekcie</w:t>
            </w:r>
            <w:r>
              <w:rPr>
                <w:noProof/>
                <w:webHidden/>
              </w:rPr>
              <w:tab/>
            </w:r>
            <w:r>
              <w:rPr>
                <w:noProof/>
                <w:webHidden/>
              </w:rPr>
              <w:fldChar w:fldCharType="begin"/>
            </w:r>
            <w:r>
              <w:rPr>
                <w:noProof/>
                <w:webHidden/>
              </w:rPr>
              <w:instrText xml:space="preserve"> PAGEREF _Toc221535790 \h </w:instrText>
            </w:r>
            <w:r>
              <w:rPr>
                <w:noProof/>
                <w:webHidden/>
              </w:rPr>
            </w:r>
            <w:r>
              <w:rPr>
                <w:noProof/>
                <w:webHidden/>
              </w:rPr>
              <w:fldChar w:fldCharType="separate"/>
            </w:r>
            <w:r>
              <w:rPr>
                <w:noProof/>
                <w:webHidden/>
              </w:rPr>
              <w:t>9</w:t>
            </w:r>
            <w:r>
              <w:rPr>
                <w:noProof/>
                <w:webHidden/>
              </w:rPr>
              <w:fldChar w:fldCharType="end"/>
            </w:r>
          </w:hyperlink>
        </w:p>
        <w:p w14:paraId="261145AE" w14:textId="35A80CA1" w:rsidR="00FB55ED" w:rsidRDefault="00FB55ED">
          <w:pPr>
            <w:pStyle w:val="Spistreci1"/>
            <w:rPr>
              <w:rFonts w:eastAsiaTheme="minorEastAsia"/>
              <w:noProof/>
              <w:kern w:val="2"/>
              <w:szCs w:val="24"/>
              <w:lang w:eastAsia="pl-PL"/>
              <w14:ligatures w14:val="standardContextual"/>
            </w:rPr>
          </w:pPr>
          <w:hyperlink w:anchor="_Toc221535791" w:history="1">
            <w:r w:rsidRPr="00D56B33">
              <w:rPr>
                <w:rStyle w:val="Hipercze"/>
                <w:noProof/>
              </w:rPr>
              <w:t>4.</w:t>
            </w:r>
            <w:r>
              <w:rPr>
                <w:rFonts w:eastAsiaTheme="minorEastAsia"/>
                <w:noProof/>
                <w:kern w:val="2"/>
                <w:szCs w:val="24"/>
                <w:lang w:eastAsia="pl-PL"/>
                <w14:ligatures w14:val="standardContextual"/>
              </w:rPr>
              <w:tab/>
            </w:r>
            <w:r w:rsidRPr="00D56B33">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_Toc221535791 \h </w:instrText>
            </w:r>
            <w:r>
              <w:rPr>
                <w:noProof/>
                <w:webHidden/>
              </w:rPr>
            </w:r>
            <w:r>
              <w:rPr>
                <w:noProof/>
                <w:webHidden/>
              </w:rPr>
              <w:fldChar w:fldCharType="separate"/>
            </w:r>
            <w:r>
              <w:rPr>
                <w:noProof/>
                <w:webHidden/>
              </w:rPr>
              <w:t>9</w:t>
            </w:r>
            <w:r>
              <w:rPr>
                <w:noProof/>
                <w:webHidden/>
              </w:rPr>
              <w:fldChar w:fldCharType="end"/>
            </w:r>
          </w:hyperlink>
        </w:p>
        <w:p w14:paraId="7FAAED90" w14:textId="1B09FF56" w:rsidR="00FB55ED" w:rsidRDefault="00FB55ED">
          <w:pPr>
            <w:pStyle w:val="Spistreci2"/>
            <w:rPr>
              <w:rFonts w:eastAsiaTheme="minorEastAsia"/>
              <w:noProof/>
              <w:kern w:val="2"/>
              <w:szCs w:val="24"/>
              <w:lang w:eastAsia="pl-PL"/>
              <w14:ligatures w14:val="standardContextual"/>
            </w:rPr>
          </w:pPr>
          <w:hyperlink w:anchor="_Toc221535792" w:history="1">
            <w:r w:rsidRPr="00D56B33">
              <w:rPr>
                <w:rStyle w:val="Hipercze"/>
                <w:noProof/>
              </w:rPr>
              <w:t>4.1.</w:t>
            </w:r>
            <w:r>
              <w:rPr>
                <w:rFonts w:eastAsiaTheme="minorEastAsia"/>
                <w:noProof/>
                <w:kern w:val="2"/>
                <w:szCs w:val="24"/>
                <w:lang w:eastAsia="pl-PL"/>
                <w14:ligatures w14:val="standardContextual"/>
              </w:rPr>
              <w:tab/>
            </w:r>
            <w:r w:rsidRPr="00D56B33">
              <w:rPr>
                <w:rStyle w:val="Hipercze"/>
                <w:noProof/>
              </w:rPr>
              <w:t>Karta Praw Podstawowych Unii Europejskiej (KPP)</w:t>
            </w:r>
            <w:r>
              <w:rPr>
                <w:noProof/>
                <w:webHidden/>
              </w:rPr>
              <w:tab/>
            </w:r>
            <w:r>
              <w:rPr>
                <w:noProof/>
                <w:webHidden/>
              </w:rPr>
              <w:fldChar w:fldCharType="begin"/>
            </w:r>
            <w:r>
              <w:rPr>
                <w:noProof/>
                <w:webHidden/>
              </w:rPr>
              <w:instrText xml:space="preserve"> PAGEREF _Toc221535792 \h </w:instrText>
            </w:r>
            <w:r>
              <w:rPr>
                <w:noProof/>
                <w:webHidden/>
              </w:rPr>
            </w:r>
            <w:r>
              <w:rPr>
                <w:noProof/>
                <w:webHidden/>
              </w:rPr>
              <w:fldChar w:fldCharType="separate"/>
            </w:r>
            <w:r>
              <w:rPr>
                <w:noProof/>
                <w:webHidden/>
              </w:rPr>
              <w:t>9</w:t>
            </w:r>
            <w:r>
              <w:rPr>
                <w:noProof/>
                <w:webHidden/>
              </w:rPr>
              <w:fldChar w:fldCharType="end"/>
            </w:r>
          </w:hyperlink>
        </w:p>
        <w:p w14:paraId="5B68A6D8" w14:textId="1E8625FD" w:rsidR="00FB55ED" w:rsidRDefault="00FB55ED">
          <w:pPr>
            <w:pStyle w:val="Spistreci2"/>
            <w:rPr>
              <w:rFonts w:eastAsiaTheme="minorEastAsia"/>
              <w:noProof/>
              <w:kern w:val="2"/>
              <w:szCs w:val="24"/>
              <w:lang w:eastAsia="pl-PL"/>
              <w14:ligatures w14:val="standardContextual"/>
            </w:rPr>
          </w:pPr>
          <w:hyperlink w:anchor="_Toc221535793" w:history="1">
            <w:r w:rsidRPr="00D56B33">
              <w:rPr>
                <w:rStyle w:val="Hipercze"/>
                <w:noProof/>
              </w:rPr>
              <w:t>4.2.</w:t>
            </w:r>
            <w:r>
              <w:rPr>
                <w:rFonts w:eastAsiaTheme="minorEastAsia"/>
                <w:noProof/>
                <w:kern w:val="2"/>
                <w:szCs w:val="24"/>
                <w:lang w:eastAsia="pl-PL"/>
                <w14:ligatures w14:val="standardContextual"/>
              </w:rPr>
              <w:tab/>
            </w:r>
            <w:r w:rsidRPr="00D56B33">
              <w:rPr>
                <w:rStyle w:val="Hipercze"/>
                <w:noProof/>
              </w:rPr>
              <w:t>Konwencja o Prawach Osób Niepełnosprawnych (KPON)</w:t>
            </w:r>
            <w:r>
              <w:rPr>
                <w:noProof/>
                <w:webHidden/>
              </w:rPr>
              <w:tab/>
            </w:r>
            <w:r>
              <w:rPr>
                <w:noProof/>
                <w:webHidden/>
              </w:rPr>
              <w:fldChar w:fldCharType="begin"/>
            </w:r>
            <w:r>
              <w:rPr>
                <w:noProof/>
                <w:webHidden/>
              </w:rPr>
              <w:instrText xml:space="preserve"> PAGEREF _Toc221535793 \h </w:instrText>
            </w:r>
            <w:r>
              <w:rPr>
                <w:noProof/>
                <w:webHidden/>
              </w:rPr>
            </w:r>
            <w:r>
              <w:rPr>
                <w:noProof/>
                <w:webHidden/>
              </w:rPr>
              <w:fldChar w:fldCharType="separate"/>
            </w:r>
            <w:r>
              <w:rPr>
                <w:noProof/>
                <w:webHidden/>
              </w:rPr>
              <w:t>12</w:t>
            </w:r>
            <w:r>
              <w:rPr>
                <w:noProof/>
                <w:webHidden/>
              </w:rPr>
              <w:fldChar w:fldCharType="end"/>
            </w:r>
          </w:hyperlink>
        </w:p>
        <w:p w14:paraId="58D59E49" w14:textId="1FDA6AD0" w:rsidR="00FB55ED" w:rsidRDefault="00FB55ED">
          <w:pPr>
            <w:pStyle w:val="Spistreci1"/>
            <w:rPr>
              <w:rFonts w:eastAsiaTheme="minorEastAsia"/>
              <w:noProof/>
              <w:kern w:val="2"/>
              <w:szCs w:val="24"/>
              <w:lang w:eastAsia="pl-PL"/>
              <w14:ligatures w14:val="standardContextual"/>
            </w:rPr>
          </w:pPr>
          <w:hyperlink w:anchor="_Toc221535794" w:history="1">
            <w:r w:rsidRPr="00D56B33">
              <w:rPr>
                <w:rStyle w:val="Hipercze"/>
                <w:noProof/>
              </w:rPr>
              <w:t>5.</w:t>
            </w:r>
            <w:r>
              <w:rPr>
                <w:rFonts w:eastAsiaTheme="minorEastAsia"/>
                <w:noProof/>
                <w:kern w:val="2"/>
                <w:szCs w:val="24"/>
                <w:lang w:eastAsia="pl-PL"/>
                <w14:ligatures w14:val="standardContextual"/>
              </w:rPr>
              <w:tab/>
            </w:r>
            <w:r w:rsidRPr="00D56B33">
              <w:rPr>
                <w:rStyle w:val="Hipercze"/>
                <w:noProof/>
              </w:rPr>
              <w:t>Zgodność projektu z kryteriami oceny</w:t>
            </w:r>
            <w:r>
              <w:rPr>
                <w:noProof/>
                <w:webHidden/>
              </w:rPr>
              <w:tab/>
            </w:r>
            <w:r>
              <w:rPr>
                <w:noProof/>
                <w:webHidden/>
              </w:rPr>
              <w:fldChar w:fldCharType="begin"/>
            </w:r>
            <w:r>
              <w:rPr>
                <w:noProof/>
                <w:webHidden/>
              </w:rPr>
              <w:instrText xml:space="preserve"> PAGEREF _Toc221535794 \h </w:instrText>
            </w:r>
            <w:r>
              <w:rPr>
                <w:noProof/>
                <w:webHidden/>
              </w:rPr>
            </w:r>
            <w:r>
              <w:rPr>
                <w:noProof/>
                <w:webHidden/>
              </w:rPr>
              <w:fldChar w:fldCharType="separate"/>
            </w:r>
            <w:r>
              <w:rPr>
                <w:noProof/>
                <w:webHidden/>
              </w:rPr>
              <w:t>12</w:t>
            </w:r>
            <w:r>
              <w:rPr>
                <w:noProof/>
                <w:webHidden/>
              </w:rPr>
              <w:fldChar w:fldCharType="end"/>
            </w:r>
          </w:hyperlink>
        </w:p>
        <w:p w14:paraId="16262CFD" w14:textId="5A46FB38" w:rsidR="00FB55ED" w:rsidRDefault="00FB55ED">
          <w:pPr>
            <w:pStyle w:val="Spistreci2"/>
            <w:rPr>
              <w:rFonts w:eastAsiaTheme="minorEastAsia"/>
              <w:noProof/>
              <w:kern w:val="2"/>
              <w:szCs w:val="24"/>
              <w:lang w:eastAsia="pl-PL"/>
              <w14:ligatures w14:val="standardContextual"/>
            </w:rPr>
          </w:pPr>
          <w:hyperlink w:anchor="_Toc221535795" w:history="1">
            <w:r w:rsidRPr="00D56B33">
              <w:rPr>
                <w:rStyle w:val="Hipercze"/>
                <w:noProof/>
              </w:rPr>
              <w:t>5.1.</w:t>
            </w:r>
            <w:r>
              <w:rPr>
                <w:rFonts w:eastAsiaTheme="minorEastAsia"/>
                <w:noProof/>
                <w:kern w:val="2"/>
                <w:szCs w:val="24"/>
                <w:lang w:eastAsia="pl-PL"/>
                <w14:ligatures w14:val="standardContextual"/>
              </w:rPr>
              <w:tab/>
            </w:r>
            <w:r w:rsidRPr="00D56B33">
              <w:rPr>
                <w:rStyle w:val="Hipercze"/>
                <w:noProof/>
              </w:rPr>
              <w:t>Standardy dostępności cyfrowej WCAG 2.1</w:t>
            </w:r>
            <w:r>
              <w:rPr>
                <w:noProof/>
                <w:webHidden/>
              </w:rPr>
              <w:tab/>
            </w:r>
            <w:r>
              <w:rPr>
                <w:noProof/>
                <w:webHidden/>
              </w:rPr>
              <w:fldChar w:fldCharType="begin"/>
            </w:r>
            <w:r>
              <w:rPr>
                <w:noProof/>
                <w:webHidden/>
              </w:rPr>
              <w:instrText xml:space="preserve"> PAGEREF _Toc221535795 \h </w:instrText>
            </w:r>
            <w:r>
              <w:rPr>
                <w:noProof/>
                <w:webHidden/>
              </w:rPr>
            </w:r>
            <w:r>
              <w:rPr>
                <w:noProof/>
                <w:webHidden/>
              </w:rPr>
              <w:fldChar w:fldCharType="separate"/>
            </w:r>
            <w:r>
              <w:rPr>
                <w:noProof/>
                <w:webHidden/>
              </w:rPr>
              <w:t>12</w:t>
            </w:r>
            <w:r>
              <w:rPr>
                <w:noProof/>
                <w:webHidden/>
              </w:rPr>
              <w:fldChar w:fldCharType="end"/>
            </w:r>
          </w:hyperlink>
        </w:p>
        <w:p w14:paraId="5198B0EA" w14:textId="2A3CB0E4" w:rsidR="00FB55ED" w:rsidRDefault="00FB55ED">
          <w:pPr>
            <w:pStyle w:val="Spistreci2"/>
            <w:rPr>
              <w:rFonts w:eastAsiaTheme="minorEastAsia"/>
              <w:noProof/>
              <w:kern w:val="2"/>
              <w:szCs w:val="24"/>
              <w:lang w:eastAsia="pl-PL"/>
              <w14:ligatures w14:val="standardContextual"/>
            </w:rPr>
          </w:pPr>
          <w:hyperlink w:anchor="_Toc221535796" w:history="1">
            <w:r w:rsidRPr="00D56B33">
              <w:rPr>
                <w:rStyle w:val="Hipercze"/>
                <w:noProof/>
              </w:rPr>
              <w:t>5.2.</w:t>
            </w:r>
            <w:r>
              <w:rPr>
                <w:rFonts w:eastAsiaTheme="minorEastAsia"/>
                <w:noProof/>
                <w:kern w:val="2"/>
                <w:szCs w:val="24"/>
                <w:lang w:eastAsia="pl-PL"/>
                <w14:ligatures w14:val="standardContextual"/>
              </w:rPr>
              <w:tab/>
            </w:r>
            <w:r w:rsidRPr="00D56B33">
              <w:rPr>
                <w:rStyle w:val="Hipercze"/>
                <w:noProof/>
              </w:rPr>
              <w:t>Projekt nie dubluje funkcji innych projektów</w:t>
            </w:r>
            <w:r>
              <w:rPr>
                <w:noProof/>
                <w:webHidden/>
              </w:rPr>
              <w:tab/>
            </w:r>
            <w:r>
              <w:rPr>
                <w:noProof/>
                <w:webHidden/>
              </w:rPr>
              <w:fldChar w:fldCharType="begin"/>
            </w:r>
            <w:r>
              <w:rPr>
                <w:noProof/>
                <w:webHidden/>
              </w:rPr>
              <w:instrText xml:space="preserve"> PAGEREF _Toc221535796 \h </w:instrText>
            </w:r>
            <w:r>
              <w:rPr>
                <w:noProof/>
                <w:webHidden/>
              </w:rPr>
            </w:r>
            <w:r>
              <w:rPr>
                <w:noProof/>
                <w:webHidden/>
              </w:rPr>
              <w:fldChar w:fldCharType="separate"/>
            </w:r>
            <w:r>
              <w:rPr>
                <w:noProof/>
                <w:webHidden/>
              </w:rPr>
              <w:t>12</w:t>
            </w:r>
            <w:r>
              <w:rPr>
                <w:noProof/>
                <w:webHidden/>
              </w:rPr>
              <w:fldChar w:fldCharType="end"/>
            </w:r>
          </w:hyperlink>
        </w:p>
        <w:p w14:paraId="69C7D407" w14:textId="39D13F2E" w:rsidR="00FB55ED" w:rsidRDefault="00FB55ED">
          <w:pPr>
            <w:pStyle w:val="Spistreci2"/>
            <w:rPr>
              <w:rFonts w:eastAsiaTheme="minorEastAsia"/>
              <w:noProof/>
              <w:kern w:val="2"/>
              <w:szCs w:val="24"/>
              <w:lang w:eastAsia="pl-PL"/>
              <w14:ligatures w14:val="standardContextual"/>
            </w:rPr>
          </w:pPr>
          <w:hyperlink w:anchor="_Toc221535797" w:history="1">
            <w:r w:rsidRPr="00D56B33">
              <w:rPr>
                <w:rStyle w:val="Hipercze"/>
                <w:noProof/>
              </w:rPr>
              <w:t>5.3.</w:t>
            </w:r>
            <w:r>
              <w:rPr>
                <w:rFonts w:eastAsiaTheme="minorEastAsia"/>
                <w:noProof/>
                <w:kern w:val="2"/>
                <w:szCs w:val="24"/>
                <w:lang w:eastAsia="pl-PL"/>
                <w14:ligatures w14:val="standardContextual"/>
              </w:rPr>
              <w:tab/>
            </w:r>
            <w:r w:rsidRPr="00D56B33">
              <w:rPr>
                <w:rStyle w:val="Hipercze"/>
                <w:noProof/>
              </w:rPr>
              <w:t>Projekt jest zorientowany usługowo</w:t>
            </w:r>
            <w:r>
              <w:rPr>
                <w:noProof/>
                <w:webHidden/>
              </w:rPr>
              <w:tab/>
            </w:r>
            <w:r>
              <w:rPr>
                <w:noProof/>
                <w:webHidden/>
              </w:rPr>
              <w:fldChar w:fldCharType="begin"/>
            </w:r>
            <w:r>
              <w:rPr>
                <w:noProof/>
                <w:webHidden/>
              </w:rPr>
              <w:instrText xml:space="preserve"> PAGEREF _Toc221535797 \h </w:instrText>
            </w:r>
            <w:r>
              <w:rPr>
                <w:noProof/>
                <w:webHidden/>
              </w:rPr>
            </w:r>
            <w:r>
              <w:rPr>
                <w:noProof/>
                <w:webHidden/>
              </w:rPr>
              <w:fldChar w:fldCharType="separate"/>
            </w:r>
            <w:r>
              <w:rPr>
                <w:noProof/>
                <w:webHidden/>
              </w:rPr>
              <w:t>13</w:t>
            </w:r>
            <w:r>
              <w:rPr>
                <w:noProof/>
                <w:webHidden/>
              </w:rPr>
              <w:fldChar w:fldCharType="end"/>
            </w:r>
          </w:hyperlink>
        </w:p>
        <w:p w14:paraId="321DF446" w14:textId="3DAC19CC" w:rsidR="00FB55ED" w:rsidRDefault="00FB55ED">
          <w:pPr>
            <w:pStyle w:val="Spistreci2"/>
            <w:rPr>
              <w:rFonts w:eastAsiaTheme="minorEastAsia"/>
              <w:noProof/>
              <w:kern w:val="2"/>
              <w:szCs w:val="24"/>
              <w:lang w:eastAsia="pl-PL"/>
              <w14:ligatures w14:val="standardContextual"/>
            </w:rPr>
          </w:pPr>
          <w:hyperlink w:anchor="_Toc221535798" w:history="1">
            <w:r w:rsidRPr="00D56B33">
              <w:rPr>
                <w:rStyle w:val="Hipercze"/>
                <w:noProof/>
              </w:rPr>
              <w:t>5.4.</w:t>
            </w:r>
            <w:r>
              <w:rPr>
                <w:rFonts w:eastAsiaTheme="minorEastAsia"/>
                <w:noProof/>
                <w:kern w:val="2"/>
                <w:szCs w:val="24"/>
                <w:lang w:eastAsia="pl-PL"/>
                <w14:ligatures w14:val="standardContextual"/>
              </w:rPr>
              <w:tab/>
            </w:r>
            <w:r w:rsidRPr="00D56B33">
              <w:rPr>
                <w:rStyle w:val="Hipercze"/>
                <w:noProof/>
              </w:rPr>
              <w:t>Projekt, a założenia Architektury Informacyjnej Państwa (AIP)</w:t>
            </w:r>
            <w:r>
              <w:rPr>
                <w:noProof/>
                <w:webHidden/>
              </w:rPr>
              <w:tab/>
            </w:r>
            <w:r>
              <w:rPr>
                <w:noProof/>
                <w:webHidden/>
              </w:rPr>
              <w:fldChar w:fldCharType="begin"/>
            </w:r>
            <w:r>
              <w:rPr>
                <w:noProof/>
                <w:webHidden/>
              </w:rPr>
              <w:instrText xml:space="preserve"> PAGEREF _Toc221535798 \h </w:instrText>
            </w:r>
            <w:r>
              <w:rPr>
                <w:noProof/>
                <w:webHidden/>
              </w:rPr>
            </w:r>
            <w:r>
              <w:rPr>
                <w:noProof/>
                <w:webHidden/>
              </w:rPr>
              <w:fldChar w:fldCharType="separate"/>
            </w:r>
            <w:r>
              <w:rPr>
                <w:noProof/>
                <w:webHidden/>
              </w:rPr>
              <w:t>14</w:t>
            </w:r>
            <w:r>
              <w:rPr>
                <w:noProof/>
                <w:webHidden/>
              </w:rPr>
              <w:fldChar w:fldCharType="end"/>
            </w:r>
          </w:hyperlink>
        </w:p>
        <w:p w14:paraId="4230F234" w14:textId="0C3D09A9" w:rsidR="00FB55ED" w:rsidRDefault="00FB55ED">
          <w:pPr>
            <w:pStyle w:val="Spistreci2"/>
            <w:rPr>
              <w:rFonts w:eastAsiaTheme="minorEastAsia"/>
              <w:noProof/>
              <w:kern w:val="2"/>
              <w:szCs w:val="24"/>
              <w:lang w:eastAsia="pl-PL"/>
              <w14:ligatures w14:val="standardContextual"/>
            </w:rPr>
          </w:pPr>
          <w:hyperlink w:anchor="_Toc221535799" w:history="1">
            <w:r w:rsidRPr="00D56B33">
              <w:rPr>
                <w:rStyle w:val="Hipercze"/>
                <w:noProof/>
              </w:rPr>
              <w:t>5.5.</w:t>
            </w:r>
            <w:r>
              <w:rPr>
                <w:rFonts w:eastAsiaTheme="minorEastAsia"/>
                <w:noProof/>
                <w:kern w:val="2"/>
                <w:szCs w:val="24"/>
                <w:lang w:eastAsia="pl-PL"/>
                <w14:ligatures w14:val="standardContextual"/>
              </w:rPr>
              <w:tab/>
            </w:r>
            <w:r w:rsidRPr="00D56B33">
              <w:rPr>
                <w:rStyle w:val="Hipercze"/>
                <w:noProof/>
              </w:rPr>
              <w:t>Projekt jest realizowany zgodnie z wymaganiami w zakresie interoperacyjności</w:t>
            </w:r>
            <w:r>
              <w:rPr>
                <w:noProof/>
                <w:webHidden/>
              </w:rPr>
              <w:tab/>
            </w:r>
            <w:r>
              <w:rPr>
                <w:noProof/>
                <w:webHidden/>
              </w:rPr>
              <w:fldChar w:fldCharType="begin"/>
            </w:r>
            <w:r>
              <w:rPr>
                <w:noProof/>
                <w:webHidden/>
              </w:rPr>
              <w:instrText xml:space="preserve"> PAGEREF _Toc221535799 \h </w:instrText>
            </w:r>
            <w:r>
              <w:rPr>
                <w:noProof/>
                <w:webHidden/>
              </w:rPr>
            </w:r>
            <w:r>
              <w:rPr>
                <w:noProof/>
                <w:webHidden/>
              </w:rPr>
              <w:fldChar w:fldCharType="separate"/>
            </w:r>
            <w:r>
              <w:rPr>
                <w:noProof/>
                <w:webHidden/>
              </w:rPr>
              <w:t>15</w:t>
            </w:r>
            <w:r>
              <w:rPr>
                <w:noProof/>
                <w:webHidden/>
              </w:rPr>
              <w:fldChar w:fldCharType="end"/>
            </w:r>
          </w:hyperlink>
        </w:p>
        <w:p w14:paraId="6AC88762" w14:textId="019B62DB" w:rsidR="00FB55ED" w:rsidRDefault="00FB55ED">
          <w:pPr>
            <w:pStyle w:val="Spistreci2"/>
            <w:rPr>
              <w:rFonts w:eastAsiaTheme="minorEastAsia"/>
              <w:noProof/>
              <w:kern w:val="2"/>
              <w:szCs w:val="24"/>
              <w:lang w:eastAsia="pl-PL"/>
              <w14:ligatures w14:val="standardContextual"/>
            </w:rPr>
          </w:pPr>
          <w:hyperlink w:anchor="_Toc221535800" w:history="1">
            <w:r w:rsidRPr="00D56B33">
              <w:rPr>
                <w:rStyle w:val="Hipercze"/>
                <w:noProof/>
              </w:rPr>
              <w:t>5.6.</w:t>
            </w:r>
            <w:r>
              <w:rPr>
                <w:rFonts w:eastAsiaTheme="minorEastAsia"/>
                <w:noProof/>
                <w:kern w:val="2"/>
                <w:szCs w:val="24"/>
                <w:lang w:eastAsia="pl-PL"/>
                <w14:ligatures w14:val="standardContextual"/>
              </w:rPr>
              <w:tab/>
            </w:r>
            <w:r w:rsidRPr="00D56B33">
              <w:rPr>
                <w:rStyle w:val="Hipercze"/>
                <w:noProof/>
              </w:rPr>
              <w:t>Cyberbezpieczeństwo</w:t>
            </w:r>
            <w:r>
              <w:rPr>
                <w:noProof/>
                <w:webHidden/>
              </w:rPr>
              <w:tab/>
            </w:r>
            <w:r>
              <w:rPr>
                <w:noProof/>
                <w:webHidden/>
              </w:rPr>
              <w:fldChar w:fldCharType="begin"/>
            </w:r>
            <w:r>
              <w:rPr>
                <w:noProof/>
                <w:webHidden/>
              </w:rPr>
              <w:instrText xml:space="preserve"> PAGEREF _Toc221535800 \h </w:instrText>
            </w:r>
            <w:r>
              <w:rPr>
                <w:noProof/>
                <w:webHidden/>
              </w:rPr>
            </w:r>
            <w:r>
              <w:rPr>
                <w:noProof/>
                <w:webHidden/>
              </w:rPr>
              <w:fldChar w:fldCharType="separate"/>
            </w:r>
            <w:r>
              <w:rPr>
                <w:noProof/>
                <w:webHidden/>
              </w:rPr>
              <w:t>15</w:t>
            </w:r>
            <w:r>
              <w:rPr>
                <w:noProof/>
                <w:webHidden/>
              </w:rPr>
              <w:fldChar w:fldCharType="end"/>
            </w:r>
          </w:hyperlink>
        </w:p>
        <w:p w14:paraId="29FEBA48" w14:textId="56C615E3" w:rsidR="00FB55ED" w:rsidRDefault="00FB55ED">
          <w:pPr>
            <w:pStyle w:val="Spistreci2"/>
            <w:rPr>
              <w:rFonts w:eastAsiaTheme="minorEastAsia"/>
              <w:noProof/>
              <w:kern w:val="2"/>
              <w:szCs w:val="24"/>
              <w:lang w:eastAsia="pl-PL"/>
              <w14:ligatures w14:val="standardContextual"/>
            </w:rPr>
          </w:pPr>
          <w:hyperlink w:anchor="_Toc221535801" w:history="1">
            <w:r w:rsidRPr="00D56B33">
              <w:rPr>
                <w:rStyle w:val="Hipercze"/>
                <w:noProof/>
              </w:rPr>
              <w:t>5.7.</w:t>
            </w:r>
            <w:r>
              <w:rPr>
                <w:rFonts w:eastAsiaTheme="minorEastAsia"/>
                <w:noProof/>
                <w:kern w:val="2"/>
                <w:szCs w:val="24"/>
                <w:lang w:eastAsia="pl-PL"/>
                <w14:ligatures w14:val="standardContextual"/>
              </w:rPr>
              <w:tab/>
            </w:r>
            <w:r w:rsidRPr="00D56B33">
              <w:rPr>
                <w:rStyle w:val="Hipercze"/>
                <w:noProof/>
              </w:rPr>
              <w:t>Skalowalność nowoczesnych rozwiązań informatycznych i technologicznych</w:t>
            </w:r>
            <w:r>
              <w:rPr>
                <w:noProof/>
                <w:webHidden/>
              </w:rPr>
              <w:tab/>
            </w:r>
            <w:r>
              <w:rPr>
                <w:noProof/>
                <w:webHidden/>
              </w:rPr>
              <w:fldChar w:fldCharType="begin"/>
            </w:r>
            <w:r>
              <w:rPr>
                <w:noProof/>
                <w:webHidden/>
              </w:rPr>
              <w:instrText xml:space="preserve"> PAGEREF _Toc221535801 \h </w:instrText>
            </w:r>
            <w:r>
              <w:rPr>
                <w:noProof/>
                <w:webHidden/>
              </w:rPr>
            </w:r>
            <w:r>
              <w:rPr>
                <w:noProof/>
                <w:webHidden/>
              </w:rPr>
              <w:fldChar w:fldCharType="separate"/>
            </w:r>
            <w:r>
              <w:rPr>
                <w:noProof/>
                <w:webHidden/>
              </w:rPr>
              <w:t>16</w:t>
            </w:r>
            <w:r>
              <w:rPr>
                <w:noProof/>
                <w:webHidden/>
              </w:rPr>
              <w:fldChar w:fldCharType="end"/>
            </w:r>
          </w:hyperlink>
        </w:p>
        <w:p w14:paraId="2C3D236A" w14:textId="7BDDF0B3" w:rsidR="00FB55ED" w:rsidRDefault="00FB55ED">
          <w:pPr>
            <w:pStyle w:val="Spistreci2"/>
            <w:rPr>
              <w:rFonts w:eastAsiaTheme="minorEastAsia"/>
              <w:noProof/>
              <w:kern w:val="2"/>
              <w:szCs w:val="24"/>
              <w:lang w:eastAsia="pl-PL"/>
              <w14:ligatures w14:val="standardContextual"/>
            </w:rPr>
          </w:pPr>
          <w:hyperlink w:anchor="_Toc221535802" w:history="1">
            <w:r w:rsidRPr="00D56B33">
              <w:rPr>
                <w:rStyle w:val="Hipercze"/>
                <w:noProof/>
              </w:rPr>
              <w:t>5.8.</w:t>
            </w:r>
            <w:r>
              <w:rPr>
                <w:rFonts w:eastAsiaTheme="minorEastAsia"/>
                <w:noProof/>
                <w:kern w:val="2"/>
                <w:szCs w:val="24"/>
                <w:lang w:eastAsia="pl-PL"/>
                <w14:ligatures w14:val="standardContextual"/>
              </w:rPr>
              <w:tab/>
            </w:r>
            <w:r w:rsidRPr="00D56B33">
              <w:rPr>
                <w:rStyle w:val="Hipercze"/>
                <w:noProof/>
              </w:rPr>
              <w:t>Zgodność projektu ze Strategią ZIT.</w:t>
            </w:r>
            <w:r>
              <w:rPr>
                <w:noProof/>
                <w:webHidden/>
              </w:rPr>
              <w:tab/>
            </w:r>
            <w:r>
              <w:rPr>
                <w:noProof/>
                <w:webHidden/>
              </w:rPr>
              <w:fldChar w:fldCharType="begin"/>
            </w:r>
            <w:r>
              <w:rPr>
                <w:noProof/>
                <w:webHidden/>
              </w:rPr>
              <w:instrText xml:space="preserve"> PAGEREF _Toc221535802 \h </w:instrText>
            </w:r>
            <w:r>
              <w:rPr>
                <w:noProof/>
                <w:webHidden/>
              </w:rPr>
            </w:r>
            <w:r>
              <w:rPr>
                <w:noProof/>
                <w:webHidden/>
              </w:rPr>
              <w:fldChar w:fldCharType="separate"/>
            </w:r>
            <w:r>
              <w:rPr>
                <w:noProof/>
                <w:webHidden/>
              </w:rPr>
              <w:t>16</w:t>
            </w:r>
            <w:r>
              <w:rPr>
                <w:noProof/>
                <w:webHidden/>
              </w:rPr>
              <w:fldChar w:fldCharType="end"/>
            </w:r>
          </w:hyperlink>
        </w:p>
        <w:p w14:paraId="40846962" w14:textId="0E05D81C" w:rsidR="00FB55ED" w:rsidRDefault="00FB55ED">
          <w:pPr>
            <w:pStyle w:val="Spistreci2"/>
            <w:rPr>
              <w:rFonts w:eastAsiaTheme="minorEastAsia"/>
              <w:noProof/>
              <w:kern w:val="2"/>
              <w:szCs w:val="24"/>
              <w:lang w:eastAsia="pl-PL"/>
              <w14:ligatures w14:val="standardContextual"/>
            </w:rPr>
          </w:pPr>
          <w:hyperlink w:anchor="_Toc221535803" w:history="1">
            <w:r w:rsidRPr="00D56B33">
              <w:rPr>
                <w:rStyle w:val="Hipercze"/>
                <w:noProof/>
              </w:rPr>
              <w:t>5.9.</w:t>
            </w:r>
            <w:r>
              <w:rPr>
                <w:rFonts w:eastAsiaTheme="minorEastAsia"/>
                <w:noProof/>
                <w:kern w:val="2"/>
                <w:szCs w:val="24"/>
                <w:lang w:eastAsia="pl-PL"/>
                <w14:ligatures w14:val="standardContextual"/>
              </w:rPr>
              <w:tab/>
            </w:r>
            <w:r w:rsidRPr="00D56B33">
              <w:rPr>
                <w:rStyle w:val="Hipercze"/>
                <w:noProof/>
              </w:rPr>
              <w:t>Rozwój społeczeństwa informacyjnego</w:t>
            </w:r>
            <w:r>
              <w:rPr>
                <w:noProof/>
                <w:webHidden/>
              </w:rPr>
              <w:tab/>
            </w:r>
            <w:r>
              <w:rPr>
                <w:noProof/>
                <w:webHidden/>
              </w:rPr>
              <w:fldChar w:fldCharType="begin"/>
            </w:r>
            <w:r>
              <w:rPr>
                <w:noProof/>
                <w:webHidden/>
              </w:rPr>
              <w:instrText xml:space="preserve"> PAGEREF _Toc221535803 \h </w:instrText>
            </w:r>
            <w:r>
              <w:rPr>
                <w:noProof/>
                <w:webHidden/>
              </w:rPr>
            </w:r>
            <w:r>
              <w:rPr>
                <w:noProof/>
                <w:webHidden/>
              </w:rPr>
              <w:fldChar w:fldCharType="separate"/>
            </w:r>
            <w:r>
              <w:rPr>
                <w:noProof/>
                <w:webHidden/>
              </w:rPr>
              <w:t>16</w:t>
            </w:r>
            <w:r>
              <w:rPr>
                <w:noProof/>
                <w:webHidden/>
              </w:rPr>
              <w:fldChar w:fldCharType="end"/>
            </w:r>
          </w:hyperlink>
        </w:p>
        <w:p w14:paraId="32CBA035" w14:textId="70B0F44E" w:rsidR="00FB55ED" w:rsidRDefault="00FB55ED">
          <w:pPr>
            <w:pStyle w:val="Spistreci1"/>
            <w:rPr>
              <w:rFonts w:eastAsiaTheme="minorEastAsia"/>
              <w:noProof/>
              <w:kern w:val="2"/>
              <w:szCs w:val="24"/>
              <w:lang w:eastAsia="pl-PL"/>
              <w14:ligatures w14:val="standardContextual"/>
            </w:rPr>
          </w:pPr>
          <w:hyperlink w:anchor="_Toc221535804" w:history="1">
            <w:r w:rsidRPr="00D56B33">
              <w:rPr>
                <w:rStyle w:val="Hipercze"/>
                <w:noProof/>
              </w:rPr>
              <w:t>6.</w:t>
            </w:r>
            <w:r>
              <w:rPr>
                <w:rFonts w:eastAsiaTheme="minorEastAsia"/>
                <w:noProof/>
                <w:kern w:val="2"/>
                <w:szCs w:val="24"/>
                <w:lang w:eastAsia="pl-PL"/>
                <w14:ligatures w14:val="standardContextual"/>
              </w:rPr>
              <w:tab/>
            </w:r>
            <w:r w:rsidRPr="00D56B33">
              <w:rPr>
                <w:rStyle w:val="Hipercze"/>
                <w:noProof/>
              </w:rPr>
              <w:t>Analiza wariantów</w:t>
            </w:r>
            <w:r>
              <w:rPr>
                <w:noProof/>
                <w:webHidden/>
              </w:rPr>
              <w:tab/>
            </w:r>
            <w:r>
              <w:rPr>
                <w:noProof/>
                <w:webHidden/>
              </w:rPr>
              <w:fldChar w:fldCharType="begin"/>
            </w:r>
            <w:r>
              <w:rPr>
                <w:noProof/>
                <w:webHidden/>
              </w:rPr>
              <w:instrText xml:space="preserve"> PAGEREF _Toc221535804 \h </w:instrText>
            </w:r>
            <w:r>
              <w:rPr>
                <w:noProof/>
                <w:webHidden/>
              </w:rPr>
            </w:r>
            <w:r>
              <w:rPr>
                <w:noProof/>
                <w:webHidden/>
              </w:rPr>
              <w:fldChar w:fldCharType="separate"/>
            </w:r>
            <w:r>
              <w:rPr>
                <w:noProof/>
                <w:webHidden/>
              </w:rPr>
              <w:t>17</w:t>
            </w:r>
            <w:r>
              <w:rPr>
                <w:noProof/>
                <w:webHidden/>
              </w:rPr>
              <w:fldChar w:fldCharType="end"/>
            </w:r>
          </w:hyperlink>
        </w:p>
        <w:p w14:paraId="48CDCF4B" w14:textId="478C6C78" w:rsidR="00FB55ED" w:rsidRDefault="00FB55ED">
          <w:pPr>
            <w:pStyle w:val="Spistreci2"/>
            <w:rPr>
              <w:rFonts w:eastAsiaTheme="minorEastAsia"/>
              <w:noProof/>
              <w:kern w:val="2"/>
              <w:szCs w:val="24"/>
              <w:lang w:eastAsia="pl-PL"/>
              <w14:ligatures w14:val="standardContextual"/>
            </w:rPr>
          </w:pPr>
          <w:hyperlink w:anchor="_Toc221535805" w:history="1">
            <w:r w:rsidRPr="00D56B33">
              <w:rPr>
                <w:rStyle w:val="Hipercze"/>
                <w:noProof/>
              </w:rPr>
              <w:t>6.1.</w:t>
            </w:r>
            <w:r>
              <w:rPr>
                <w:rFonts w:eastAsiaTheme="minorEastAsia"/>
                <w:noProof/>
                <w:kern w:val="2"/>
                <w:szCs w:val="24"/>
                <w:lang w:eastAsia="pl-PL"/>
                <w14:ligatures w14:val="standardContextual"/>
              </w:rPr>
              <w:tab/>
            </w:r>
            <w:r w:rsidRPr="00D56B33">
              <w:rPr>
                <w:rStyle w:val="Hipercze"/>
                <w:noProof/>
              </w:rPr>
              <w:t>Analiza wykonalności</w:t>
            </w:r>
            <w:r>
              <w:rPr>
                <w:noProof/>
                <w:webHidden/>
              </w:rPr>
              <w:tab/>
            </w:r>
            <w:r>
              <w:rPr>
                <w:noProof/>
                <w:webHidden/>
              </w:rPr>
              <w:fldChar w:fldCharType="begin"/>
            </w:r>
            <w:r>
              <w:rPr>
                <w:noProof/>
                <w:webHidden/>
              </w:rPr>
              <w:instrText xml:space="preserve"> PAGEREF _Toc221535805 \h </w:instrText>
            </w:r>
            <w:r>
              <w:rPr>
                <w:noProof/>
                <w:webHidden/>
              </w:rPr>
            </w:r>
            <w:r>
              <w:rPr>
                <w:noProof/>
                <w:webHidden/>
              </w:rPr>
              <w:fldChar w:fldCharType="separate"/>
            </w:r>
            <w:r>
              <w:rPr>
                <w:noProof/>
                <w:webHidden/>
              </w:rPr>
              <w:t>17</w:t>
            </w:r>
            <w:r>
              <w:rPr>
                <w:noProof/>
                <w:webHidden/>
              </w:rPr>
              <w:fldChar w:fldCharType="end"/>
            </w:r>
          </w:hyperlink>
        </w:p>
        <w:p w14:paraId="1A965960" w14:textId="76FCB4B5" w:rsidR="00FB55ED" w:rsidRDefault="00FB55ED">
          <w:pPr>
            <w:pStyle w:val="Spistreci2"/>
            <w:rPr>
              <w:rFonts w:eastAsiaTheme="minorEastAsia"/>
              <w:noProof/>
              <w:kern w:val="2"/>
              <w:szCs w:val="24"/>
              <w:lang w:eastAsia="pl-PL"/>
              <w14:ligatures w14:val="standardContextual"/>
            </w:rPr>
          </w:pPr>
          <w:hyperlink w:anchor="_Toc221535806" w:history="1">
            <w:r w:rsidRPr="00D56B33">
              <w:rPr>
                <w:rStyle w:val="Hipercze"/>
                <w:noProof/>
              </w:rPr>
              <w:t>6.2.</w:t>
            </w:r>
            <w:r>
              <w:rPr>
                <w:rFonts w:eastAsiaTheme="minorEastAsia"/>
                <w:noProof/>
                <w:kern w:val="2"/>
                <w:szCs w:val="24"/>
                <w:lang w:eastAsia="pl-PL"/>
                <w14:ligatures w14:val="standardContextual"/>
              </w:rPr>
              <w:tab/>
            </w:r>
            <w:r w:rsidRPr="00D56B33">
              <w:rPr>
                <w:rStyle w:val="Hipercze"/>
                <w:noProof/>
              </w:rPr>
              <w:t>Analiza opcji</w:t>
            </w:r>
            <w:r>
              <w:rPr>
                <w:noProof/>
                <w:webHidden/>
              </w:rPr>
              <w:tab/>
            </w:r>
            <w:r>
              <w:rPr>
                <w:noProof/>
                <w:webHidden/>
              </w:rPr>
              <w:fldChar w:fldCharType="begin"/>
            </w:r>
            <w:r>
              <w:rPr>
                <w:noProof/>
                <w:webHidden/>
              </w:rPr>
              <w:instrText xml:space="preserve"> PAGEREF _Toc221535806 \h </w:instrText>
            </w:r>
            <w:r>
              <w:rPr>
                <w:noProof/>
                <w:webHidden/>
              </w:rPr>
            </w:r>
            <w:r>
              <w:rPr>
                <w:noProof/>
                <w:webHidden/>
              </w:rPr>
              <w:fldChar w:fldCharType="separate"/>
            </w:r>
            <w:r>
              <w:rPr>
                <w:noProof/>
                <w:webHidden/>
              </w:rPr>
              <w:t>17</w:t>
            </w:r>
            <w:r>
              <w:rPr>
                <w:noProof/>
                <w:webHidden/>
              </w:rPr>
              <w:fldChar w:fldCharType="end"/>
            </w:r>
          </w:hyperlink>
        </w:p>
        <w:p w14:paraId="14EF6549" w14:textId="356FEDFA" w:rsidR="00FB55ED" w:rsidRDefault="00FB55ED">
          <w:pPr>
            <w:pStyle w:val="Spistreci1"/>
            <w:rPr>
              <w:rFonts w:eastAsiaTheme="minorEastAsia"/>
              <w:noProof/>
              <w:kern w:val="2"/>
              <w:szCs w:val="24"/>
              <w:lang w:eastAsia="pl-PL"/>
              <w14:ligatures w14:val="standardContextual"/>
            </w:rPr>
          </w:pPr>
          <w:hyperlink w:anchor="_Toc221535807" w:history="1">
            <w:r w:rsidRPr="00D56B33">
              <w:rPr>
                <w:rStyle w:val="Hipercze"/>
                <w:noProof/>
              </w:rPr>
              <w:t>7.</w:t>
            </w:r>
            <w:r>
              <w:rPr>
                <w:rFonts w:eastAsiaTheme="minorEastAsia"/>
                <w:noProof/>
                <w:kern w:val="2"/>
                <w:szCs w:val="24"/>
                <w:lang w:eastAsia="pl-PL"/>
                <w14:ligatures w14:val="standardContextual"/>
              </w:rPr>
              <w:tab/>
            </w:r>
            <w:r w:rsidRPr="00D56B33">
              <w:rPr>
                <w:rStyle w:val="Hipercze"/>
                <w:noProof/>
              </w:rPr>
              <w:t>Analiza finansowa</w:t>
            </w:r>
            <w:r>
              <w:rPr>
                <w:noProof/>
                <w:webHidden/>
              </w:rPr>
              <w:tab/>
            </w:r>
            <w:r>
              <w:rPr>
                <w:noProof/>
                <w:webHidden/>
              </w:rPr>
              <w:fldChar w:fldCharType="begin"/>
            </w:r>
            <w:r>
              <w:rPr>
                <w:noProof/>
                <w:webHidden/>
              </w:rPr>
              <w:instrText xml:space="preserve"> PAGEREF _Toc221535807 \h </w:instrText>
            </w:r>
            <w:r>
              <w:rPr>
                <w:noProof/>
                <w:webHidden/>
              </w:rPr>
            </w:r>
            <w:r>
              <w:rPr>
                <w:noProof/>
                <w:webHidden/>
              </w:rPr>
              <w:fldChar w:fldCharType="separate"/>
            </w:r>
            <w:r>
              <w:rPr>
                <w:noProof/>
                <w:webHidden/>
              </w:rPr>
              <w:t>17</w:t>
            </w:r>
            <w:r>
              <w:rPr>
                <w:noProof/>
                <w:webHidden/>
              </w:rPr>
              <w:fldChar w:fldCharType="end"/>
            </w:r>
          </w:hyperlink>
        </w:p>
        <w:p w14:paraId="3F0D57D8" w14:textId="5E132AF8" w:rsidR="00FB55ED" w:rsidRDefault="00FB55ED">
          <w:pPr>
            <w:pStyle w:val="Spistreci2"/>
            <w:rPr>
              <w:rFonts w:eastAsiaTheme="minorEastAsia"/>
              <w:noProof/>
              <w:kern w:val="2"/>
              <w:szCs w:val="24"/>
              <w:lang w:eastAsia="pl-PL"/>
              <w14:ligatures w14:val="standardContextual"/>
            </w:rPr>
          </w:pPr>
          <w:hyperlink w:anchor="_Toc221535808" w:history="1">
            <w:r w:rsidRPr="00D56B33">
              <w:rPr>
                <w:rStyle w:val="Hipercze"/>
                <w:noProof/>
              </w:rPr>
              <w:t>7.1.</w:t>
            </w:r>
            <w:r>
              <w:rPr>
                <w:rFonts w:eastAsiaTheme="minorEastAsia"/>
                <w:noProof/>
                <w:kern w:val="2"/>
                <w:szCs w:val="24"/>
                <w:lang w:eastAsia="pl-PL"/>
                <w14:ligatures w14:val="standardContextual"/>
              </w:rPr>
              <w:tab/>
            </w:r>
            <w:r w:rsidRPr="00D56B33">
              <w:rPr>
                <w:rStyle w:val="Hipercze"/>
                <w:noProof/>
              </w:rPr>
              <w:t>Założenia</w:t>
            </w:r>
            <w:r>
              <w:rPr>
                <w:noProof/>
                <w:webHidden/>
              </w:rPr>
              <w:tab/>
            </w:r>
            <w:r>
              <w:rPr>
                <w:noProof/>
                <w:webHidden/>
              </w:rPr>
              <w:fldChar w:fldCharType="begin"/>
            </w:r>
            <w:r>
              <w:rPr>
                <w:noProof/>
                <w:webHidden/>
              </w:rPr>
              <w:instrText xml:space="preserve"> PAGEREF _Toc221535808 \h </w:instrText>
            </w:r>
            <w:r>
              <w:rPr>
                <w:noProof/>
                <w:webHidden/>
              </w:rPr>
            </w:r>
            <w:r>
              <w:rPr>
                <w:noProof/>
                <w:webHidden/>
              </w:rPr>
              <w:fldChar w:fldCharType="separate"/>
            </w:r>
            <w:r>
              <w:rPr>
                <w:noProof/>
                <w:webHidden/>
              </w:rPr>
              <w:t>19</w:t>
            </w:r>
            <w:r>
              <w:rPr>
                <w:noProof/>
                <w:webHidden/>
              </w:rPr>
              <w:fldChar w:fldCharType="end"/>
            </w:r>
          </w:hyperlink>
        </w:p>
        <w:p w14:paraId="7DEFC764" w14:textId="461D227B" w:rsidR="00FB55ED" w:rsidRDefault="00FB55ED">
          <w:pPr>
            <w:pStyle w:val="Spistreci2"/>
            <w:rPr>
              <w:rFonts w:eastAsiaTheme="minorEastAsia"/>
              <w:noProof/>
              <w:kern w:val="2"/>
              <w:szCs w:val="24"/>
              <w:lang w:eastAsia="pl-PL"/>
              <w14:ligatures w14:val="standardContextual"/>
            </w:rPr>
          </w:pPr>
          <w:hyperlink w:anchor="_Toc221535809" w:history="1">
            <w:r w:rsidRPr="00D56B33">
              <w:rPr>
                <w:rStyle w:val="Hipercze"/>
                <w:noProof/>
              </w:rPr>
              <w:t>7.2.</w:t>
            </w:r>
            <w:r>
              <w:rPr>
                <w:rFonts w:eastAsiaTheme="minorEastAsia"/>
                <w:noProof/>
                <w:kern w:val="2"/>
                <w:szCs w:val="24"/>
                <w:lang w:eastAsia="pl-PL"/>
                <w14:ligatures w14:val="standardContextual"/>
              </w:rPr>
              <w:tab/>
            </w:r>
            <w:r w:rsidRPr="00D56B33">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_Toc221535809 \h </w:instrText>
            </w:r>
            <w:r>
              <w:rPr>
                <w:noProof/>
                <w:webHidden/>
              </w:rPr>
            </w:r>
            <w:r>
              <w:rPr>
                <w:noProof/>
                <w:webHidden/>
              </w:rPr>
              <w:fldChar w:fldCharType="separate"/>
            </w:r>
            <w:r>
              <w:rPr>
                <w:noProof/>
                <w:webHidden/>
              </w:rPr>
              <w:t>20</w:t>
            </w:r>
            <w:r>
              <w:rPr>
                <w:noProof/>
                <w:webHidden/>
              </w:rPr>
              <w:fldChar w:fldCharType="end"/>
            </w:r>
          </w:hyperlink>
        </w:p>
        <w:p w14:paraId="72C143EE" w14:textId="08BD0E1F" w:rsidR="00FB55ED" w:rsidRDefault="00FB55ED">
          <w:pPr>
            <w:pStyle w:val="Spistreci2"/>
            <w:rPr>
              <w:rFonts w:eastAsiaTheme="minorEastAsia"/>
              <w:noProof/>
              <w:kern w:val="2"/>
              <w:szCs w:val="24"/>
              <w:lang w:eastAsia="pl-PL"/>
              <w14:ligatures w14:val="standardContextual"/>
            </w:rPr>
          </w:pPr>
          <w:hyperlink w:anchor="_Toc221535810" w:history="1">
            <w:r w:rsidRPr="00D56B33">
              <w:rPr>
                <w:rStyle w:val="Hipercze"/>
                <w:noProof/>
              </w:rPr>
              <w:t>7.3.</w:t>
            </w:r>
            <w:r>
              <w:rPr>
                <w:rFonts w:eastAsiaTheme="minorEastAsia"/>
                <w:noProof/>
                <w:kern w:val="2"/>
                <w:szCs w:val="24"/>
                <w:lang w:eastAsia="pl-PL"/>
                <w14:ligatures w14:val="standardContextual"/>
              </w:rPr>
              <w:tab/>
            </w:r>
            <w:r w:rsidRPr="00D56B33">
              <w:rPr>
                <w:rStyle w:val="Hipercze"/>
                <w:noProof/>
              </w:rPr>
              <w:t>Przychody operacyjne projektu</w:t>
            </w:r>
            <w:r>
              <w:rPr>
                <w:noProof/>
                <w:webHidden/>
              </w:rPr>
              <w:tab/>
            </w:r>
            <w:r>
              <w:rPr>
                <w:noProof/>
                <w:webHidden/>
              </w:rPr>
              <w:fldChar w:fldCharType="begin"/>
            </w:r>
            <w:r>
              <w:rPr>
                <w:noProof/>
                <w:webHidden/>
              </w:rPr>
              <w:instrText xml:space="preserve"> PAGEREF _Toc221535810 \h </w:instrText>
            </w:r>
            <w:r>
              <w:rPr>
                <w:noProof/>
                <w:webHidden/>
              </w:rPr>
            </w:r>
            <w:r>
              <w:rPr>
                <w:noProof/>
                <w:webHidden/>
              </w:rPr>
              <w:fldChar w:fldCharType="separate"/>
            </w:r>
            <w:r>
              <w:rPr>
                <w:noProof/>
                <w:webHidden/>
              </w:rPr>
              <w:t>20</w:t>
            </w:r>
            <w:r>
              <w:rPr>
                <w:noProof/>
                <w:webHidden/>
              </w:rPr>
              <w:fldChar w:fldCharType="end"/>
            </w:r>
          </w:hyperlink>
        </w:p>
        <w:p w14:paraId="7B58045B" w14:textId="646344CE" w:rsidR="00FB55ED" w:rsidRDefault="00FB55ED">
          <w:pPr>
            <w:pStyle w:val="Spistreci2"/>
            <w:rPr>
              <w:rFonts w:eastAsiaTheme="minorEastAsia"/>
              <w:noProof/>
              <w:kern w:val="2"/>
              <w:szCs w:val="24"/>
              <w:lang w:eastAsia="pl-PL"/>
              <w14:ligatures w14:val="standardContextual"/>
            </w:rPr>
          </w:pPr>
          <w:hyperlink w:anchor="_Toc221535811" w:history="1">
            <w:r w:rsidRPr="00D56B33">
              <w:rPr>
                <w:rStyle w:val="Hipercze"/>
                <w:noProof/>
              </w:rPr>
              <w:t>7.4.</w:t>
            </w:r>
            <w:r>
              <w:rPr>
                <w:rFonts w:eastAsiaTheme="minorEastAsia"/>
                <w:noProof/>
                <w:kern w:val="2"/>
                <w:szCs w:val="24"/>
                <w:lang w:eastAsia="pl-PL"/>
                <w14:ligatures w14:val="standardContextual"/>
              </w:rPr>
              <w:tab/>
            </w:r>
            <w:r w:rsidRPr="00D56B33">
              <w:rPr>
                <w:rStyle w:val="Hipercze"/>
                <w:noProof/>
              </w:rPr>
              <w:t>Koszty operacyjne projektu</w:t>
            </w:r>
            <w:r>
              <w:rPr>
                <w:noProof/>
                <w:webHidden/>
              </w:rPr>
              <w:tab/>
            </w:r>
            <w:r>
              <w:rPr>
                <w:noProof/>
                <w:webHidden/>
              </w:rPr>
              <w:fldChar w:fldCharType="begin"/>
            </w:r>
            <w:r>
              <w:rPr>
                <w:noProof/>
                <w:webHidden/>
              </w:rPr>
              <w:instrText xml:space="preserve"> PAGEREF _Toc221535811 \h </w:instrText>
            </w:r>
            <w:r>
              <w:rPr>
                <w:noProof/>
                <w:webHidden/>
              </w:rPr>
            </w:r>
            <w:r>
              <w:rPr>
                <w:noProof/>
                <w:webHidden/>
              </w:rPr>
              <w:fldChar w:fldCharType="separate"/>
            </w:r>
            <w:r>
              <w:rPr>
                <w:noProof/>
                <w:webHidden/>
              </w:rPr>
              <w:t>21</w:t>
            </w:r>
            <w:r>
              <w:rPr>
                <w:noProof/>
                <w:webHidden/>
              </w:rPr>
              <w:fldChar w:fldCharType="end"/>
            </w:r>
          </w:hyperlink>
        </w:p>
        <w:p w14:paraId="7AAC23D8" w14:textId="5273ACDE" w:rsidR="00FB55ED" w:rsidRDefault="00FB55ED">
          <w:pPr>
            <w:pStyle w:val="Spistreci2"/>
            <w:rPr>
              <w:rFonts w:eastAsiaTheme="minorEastAsia"/>
              <w:noProof/>
              <w:kern w:val="2"/>
              <w:szCs w:val="24"/>
              <w:lang w:eastAsia="pl-PL"/>
              <w14:ligatures w14:val="standardContextual"/>
            </w:rPr>
          </w:pPr>
          <w:hyperlink w:anchor="_Toc221535812" w:history="1">
            <w:r w:rsidRPr="00D56B33">
              <w:rPr>
                <w:rStyle w:val="Hipercze"/>
                <w:noProof/>
              </w:rPr>
              <w:t>7.5.</w:t>
            </w:r>
            <w:r>
              <w:rPr>
                <w:rFonts w:eastAsiaTheme="minorEastAsia"/>
                <w:noProof/>
                <w:kern w:val="2"/>
                <w:szCs w:val="24"/>
                <w:lang w:eastAsia="pl-PL"/>
                <w14:ligatures w14:val="standardContextual"/>
              </w:rPr>
              <w:tab/>
            </w:r>
            <w:r w:rsidRPr="00D56B33">
              <w:rPr>
                <w:rStyle w:val="Hipercze"/>
                <w:noProof/>
              </w:rPr>
              <w:t>Wskaźniki efektywności finansowej</w:t>
            </w:r>
            <w:r>
              <w:rPr>
                <w:noProof/>
                <w:webHidden/>
              </w:rPr>
              <w:tab/>
            </w:r>
            <w:r>
              <w:rPr>
                <w:noProof/>
                <w:webHidden/>
              </w:rPr>
              <w:fldChar w:fldCharType="begin"/>
            </w:r>
            <w:r>
              <w:rPr>
                <w:noProof/>
                <w:webHidden/>
              </w:rPr>
              <w:instrText xml:space="preserve"> PAGEREF _Toc221535812 \h </w:instrText>
            </w:r>
            <w:r>
              <w:rPr>
                <w:noProof/>
                <w:webHidden/>
              </w:rPr>
            </w:r>
            <w:r>
              <w:rPr>
                <w:noProof/>
                <w:webHidden/>
              </w:rPr>
              <w:fldChar w:fldCharType="separate"/>
            </w:r>
            <w:r>
              <w:rPr>
                <w:noProof/>
                <w:webHidden/>
              </w:rPr>
              <w:t>21</w:t>
            </w:r>
            <w:r>
              <w:rPr>
                <w:noProof/>
                <w:webHidden/>
              </w:rPr>
              <w:fldChar w:fldCharType="end"/>
            </w:r>
          </w:hyperlink>
        </w:p>
        <w:p w14:paraId="38E8215C" w14:textId="4A871A8E" w:rsidR="00FB55ED" w:rsidRDefault="00FB55ED">
          <w:pPr>
            <w:pStyle w:val="Spistreci2"/>
            <w:rPr>
              <w:rFonts w:eastAsiaTheme="minorEastAsia"/>
              <w:noProof/>
              <w:kern w:val="2"/>
              <w:szCs w:val="24"/>
              <w:lang w:eastAsia="pl-PL"/>
              <w14:ligatures w14:val="standardContextual"/>
            </w:rPr>
          </w:pPr>
          <w:hyperlink w:anchor="_Toc221535813" w:history="1">
            <w:r w:rsidRPr="00D56B33">
              <w:rPr>
                <w:rStyle w:val="Hipercze"/>
                <w:noProof/>
              </w:rPr>
              <w:t>7.6.</w:t>
            </w:r>
            <w:r>
              <w:rPr>
                <w:rFonts w:eastAsiaTheme="minorEastAsia"/>
                <w:noProof/>
                <w:kern w:val="2"/>
                <w:szCs w:val="24"/>
                <w:lang w:eastAsia="pl-PL"/>
                <w14:ligatures w14:val="standardContextual"/>
              </w:rPr>
              <w:tab/>
            </w:r>
            <w:r w:rsidRPr="00D56B33">
              <w:rPr>
                <w:rStyle w:val="Hipercze"/>
                <w:noProof/>
              </w:rPr>
              <w:t>Trwałość finansowa</w:t>
            </w:r>
            <w:r>
              <w:rPr>
                <w:noProof/>
                <w:webHidden/>
              </w:rPr>
              <w:tab/>
            </w:r>
            <w:r>
              <w:rPr>
                <w:noProof/>
                <w:webHidden/>
              </w:rPr>
              <w:fldChar w:fldCharType="begin"/>
            </w:r>
            <w:r>
              <w:rPr>
                <w:noProof/>
                <w:webHidden/>
              </w:rPr>
              <w:instrText xml:space="preserve"> PAGEREF _Toc221535813 \h </w:instrText>
            </w:r>
            <w:r>
              <w:rPr>
                <w:noProof/>
                <w:webHidden/>
              </w:rPr>
            </w:r>
            <w:r>
              <w:rPr>
                <w:noProof/>
                <w:webHidden/>
              </w:rPr>
              <w:fldChar w:fldCharType="separate"/>
            </w:r>
            <w:r>
              <w:rPr>
                <w:noProof/>
                <w:webHidden/>
              </w:rPr>
              <w:t>21</w:t>
            </w:r>
            <w:r>
              <w:rPr>
                <w:noProof/>
                <w:webHidden/>
              </w:rPr>
              <w:fldChar w:fldCharType="end"/>
            </w:r>
          </w:hyperlink>
        </w:p>
        <w:p w14:paraId="3C54A50F" w14:textId="30FEDF24" w:rsidR="00FB55ED" w:rsidRDefault="00FB55ED">
          <w:pPr>
            <w:pStyle w:val="Spistreci1"/>
            <w:rPr>
              <w:rFonts w:eastAsiaTheme="minorEastAsia"/>
              <w:noProof/>
              <w:kern w:val="2"/>
              <w:szCs w:val="24"/>
              <w:lang w:eastAsia="pl-PL"/>
              <w14:ligatures w14:val="standardContextual"/>
            </w:rPr>
          </w:pPr>
          <w:hyperlink w:anchor="_Toc221535814" w:history="1">
            <w:r w:rsidRPr="00D56B33">
              <w:rPr>
                <w:rStyle w:val="Hipercze"/>
                <w:noProof/>
              </w:rPr>
              <w:t>8.</w:t>
            </w:r>
            <w:r>
              <w:rPr>
                <w:rFonts w:eastAsiaTheme="minorEastAsia"/>
                <w:noProof/>
                <w:kern w:val="2"/>
                <w:szCs w:val="24"/>
                <w:lang w:eastAsia="pl-PL"/>
                <w14:ligatures w14:val="standardContextual"/>
              </w:rPr>
              <w:tab/>
            </w:r>
            <w:r w:rsidRPr="00D56B33">
              <w:rPr>
                <w:rStyle w:val="Hipercze"/>
                <w:noProof/>
              </w:rPr>
              <w:t>Wartość dofinansowania projektu</w:t>
            </w:r>
            <w:r>
              <w:rPr>
                <w:noProof/>
                <w:webHidden/>
              </w:rPr>
              <w:tab/>
            </w:r>
            <w:r>
              <w:rPr>
                <w:noProof/>
                <w:webHidden/>
              </w:rPr>
              <w:fldChar w:fldCharType="begin"/>
            </w:r>
            <w:r>
              <w:rPr>
                <w:noProof/>
                <w:webHidden/>
              </w:rPr>
              <w:instrText xml:space="preserve"> PAGEREF _Toc221535814 \h </w:instrText>
            </w:r>
            <w:r>
              <w:rPr>
                <w:noProof/>
                <w:webHidden/>
              </w:rPr>
            </w:r>
            <w:r>
              <w:rPr>
                <w:noProof/>
                <w:webHidden/>
              </w:rPr>
              <w:fldChar w:fldCharType="separate"/>
            </w:r>
            <w:r>
              <w:rPr>
                <w:noProof/>
                <w:webHidden/>
              </w:rPr>
              <w:t>22</w:t>
            </w:r>
            <w:r>
              <w:rPr>
                <w:noProof/>
                <w:webHidden/>
              </w:rPr>
              <w:fldChar w:fldCharType="end"/>
            </w:r>
          </w:hyperlink>
        </w:p>
        <w:p w14:paraId="164CF3BD" w14:textId="266EEC74" w:rsidR="00FB55ED" w:rsidRDefault="00FB55ED">
          <w:pPr>
            <w:pStyle w:val="Spistreci2"/>
            <w:rPr>
              <w:rFonts w:eastAsiaTheme="minorEastAsia"/>
              <w:noProof/>
              <w:kern w:val="2"/>
              <w:szCs w:val="24"/>
              <w:lang w:eastAsia="pl-PL"/>
              <w14:ligatures w14:val="standardContextual"/>
            </w:rPr>
          </w:pPr>
          <w:hyperlink w:anchor="_Toc221535815" w:history="1">
            <w:r w:rsidRPr="00D56B33">
              <w:rPr>
                <w:rStyle w:val="Hipercze"/>
                <w:noProof/>
              </w:rPr>
              <w:t>8.1.</w:t>
            </w:r>
            <w:r>
              <w:rPr>
                <w:rFonts w:eastAsiaTheme="minorEastAsia"/>
                <w:noProof/>
                <w:kern w:val="2"/>
                <w:szCs w:val="24"/>
                <w:lang w:eastAsia="pl-PL"/>
                <w14:ligatures w14:val="standardContextual"/>
              </w:rPr>
              <w:tab/>
            </w:r>
            <w:r w:rsidRPr="00D56B33">
              <w:rPr>
                <w:rStyle w:val="Hipercze"/>
                <w:noProof/>
              </w:rPr>
              <w:t>Ustalenie dofinansowania dla projektów nieobjętych pomocą publiczną.</w:t>
            </w:r>
            <w:r>
              <w:rPr>
                <w:noProof/>
                <w:webHidden/>
              </w:rPr>
              <w:tab/>
            </w:r>
            <w:r>
              <w:rPr>
                <w:noProof/>
                <w:webHidden/>
              </w:rPr>
              <w:fldChar w:fldCharType="begin"/>
            </w:r>
            <w:r>
              <w:rPr>
                <w:noProof/>
                <w:webHidden/>
              </w:rPr>
              <w:instrText xml:space="preserve"> PAGEREF _Toc221535815 \h </w:instrText>
            </w:r>
            <w:r>
              <w:rPr>
                <w:noProof/>
                <w:webHidden/>
              </w:rPr>
            </w:r>
            <w:r>
              <w:rPr>
                <w:noProof/>
                <w:webHidden/>
              </w:rPr>
              <w:fldChar w:fldCharType="separate"/>
            </w:r>
            <w:r>
              <w:rPr>
                <w:noProof/>
                <w:webHidden/>
              </w:rPr>
              <w:t>22</w:t>
            </w:r>
            <w:r>
              <w:rPr>
                <w:noProof/>
                <w:webHidden/>
              </w:rPr>
              <w:fldChar w:fldCharType="end"/>
            </w:r>
          </w:hyperlink>
        </w:p>
        <w:p w14:paraId="212F517C" w14:textId="16A510F9" w:rsidR="00FB55ED" w:rsidRDefault="00FB55ED">
          <w:pPr>
            <w:pStyle w:val="Spistreci2"/>
            <w:rPr>
              <w:rFonts w:eastAsiaTheme="minorEastAsia"/>
              <w:noProof/>
              <w:kern w:val="2"/>
              <w:szCs w:val="24"/>
              <w:lang w:eastAsia="pl-PL"/>
              <w14:ligatures w14:val="standardContextual"/>
            </w:rPr>
          </w:pPr>
          <w:hyperlink w:anchor="_Toc221535816" w:history="1">
            <w:r w:rsidRPr="00D56B33">
              <w:rPr>
                <w:rStyle w:val="Hipercze"/>
                <w:noProof/>
              </w:rPr>
              <w:t>8.2.</w:t>
            </w:r>
            <w:r>
              <w:rPr>
                <w:rFonts w:eastAsiaTheme="minorEastAsia"/>
                <w:noProof/>
                <w:kern w:val="2"/>
                <w:szCs w:val="24"/>
                <w:lang w:eastAsia="pl-PL"/>
                <w14:ligatures w14:val="standardContextual"/>
              </w:rPr>
              <w:tab/>
            </w:r>
            <w:r w:rsidRPr="00D56B33">
              <w:rPr>
                <w:rStyle w:val="Hipercze"/>
                <w:noProof/>
              </w:rPr>
              <w:t>Ustalenie dofinansowania dla projektów objętych pomocą de minimis</w:t>
            </w:r>
            <w:r>
              <w:rPr>
                <w:noProof/>
                <w:webHidden/>
              </w:rPr>
              <w:tab/>
            </w:r>
            <w:r>
              <w:rPr>
                <w:noProof/>
                <w:webHidden/>
              </w:rPr>
              <w:fldChar w:fldCharType="begin"/>
            </w:r>
            <w:r>
              <w:rPr>
                <w:noProof/>
                <w:webHidden/>
              </w:rPr>
              <w:instrText xml:space="preserve"> PAGEREF _Toc221535816 \h </w:instrText>
            </w:r>
            <w:r>
              <w:rPr>
                <w:noProof/>
                <w:webHidden/>
              </w:rPr>
            </w:r>
            <w:r>
              <w:rPr>
                <w:noProof/>
                <w:webHidden/>
              </w:rPr>
              <w:fldChar w:fldCharType="separate"/>
            </w:r>
            <w:r>
              <w:rPr>
                <w:noProof/>
                <w:webHidden/>
              </w:rPr>
              <w:t>23</w:t>
            </w:r>
            <w:r>
              <w:rPr>
                <w:noProof/>
                <w:webHidden/>
              </w:rPr>
              <w:fldChar w:fldCharType="end"/>
            </w:r>
          </w:hyperlink>
        </w:p>
        <w:p w14:paraId="2F55C1E3" w14:textId="7C9EF059" w:rsidR="00FB55ED" w:rsidRDefault="00FB55ED">
          <w:pPr>
            <w:pStyle w:val="Spistreci2"/>
            <w:rPr>
              <w:rFonts w:eastAsiaTheme="minorEastAsia"/>
              <w:noProof/>
              <w:kern w:val="2"/>
              <w:szCs w:val="24"/>
              <w:lang w:eastAsia="pl-PL"/>
              <w14:ligatures w14:val="standardContextual"/>
            </w:rPr>
          </w:pPr>
          <w:hyperlink w:anchor="_Toc221535817" w:history="1">
            <w:r w:rsidRPr="00D56B33">
              <w:rPr>
                <w:rStyle w:val="Hipercze"/>
                <w:noProof/>
              </w:rPr>
              <w:t>8.3.</w:t>
            </w:r>
            <w:r>
              <w:rPr>
                <w:rFonts w:eastAsiaTheme="minorEastAsia"/>
                <w:noProof/>
                <w:kern w:val="2"/>
                <w:szCs w:val="24"/>
                <w:lang w:eastAsia="pl-PL"/>
                <w14:ligatures w14:val="standardContextual"/>
              </w:rPr>
              <w:tab/>
            </w:r>
            <w:r w:rsidRPr="00D56B33">
              <w:rPr>
                <w:rStyle w:val="Hipercze"/>
                <w:noProof/>
              </w:rPr>
              <w:t>Ustalenie dofinansowania dla projektów objętych pomocą publiczną.</w:t>
            </w:r>
            <w:r>
              <w:rPr>
                <w:noProof/>
                <w:webHidden/>
              </w:rPr>
              <w:tab/>
            </w:r>
            <w:r>
              <w:rPr>
                <w:noProof/>
                <w:webHidden/>
              </w:rPr>
              <w:fldChar w:fldCharType="begin"/>
            </w:r>
            <w:r>
              <w:rPr>
                <w:noProof/>
                <w:webHidden/>
              </w:rPr>
              <w:instrText xml:space="preserve"> PAGEREF _Toc221535817 \h </w:instrText>
            </w:r>
            <w:r>
              <w:rPr>
                <w:noProof/>
                <w:webHidden/>
              </w:rPr>
            </w:r>
            <w:r>
              <w:rPr>
                <w:noProof/>
                <w:webHidden/>
              </w:rPr>
              <w:fldChar w:fldCharType="separate"/>
            </w:r>
            <w:r>
              <w:rPr>
                <w:noProof/>
                <w:webHidden/>
              </w:rPr>
              <w:t>23</w:t>
            </w:r>
            <w:r>
              <w:rPr>
                <w:noProof/>
                <w:webHidden/>
              </w:rPr>
              <w:fldChar w:fldCharType="end"/>
            </w:r>
          </w:hyperlink>
        </w:p>
        <w:p w14:paraId="07FBF204" w14:textId="1A9C7C86" w:rsidR="00FB55ED" w:rsidRDefault="00FB55ED">
          <w:pPr>
            <w:pStyle w:val="Spistreci1"/>
            <w:rPr>
              <w:rFonts w:eastAsiaTheme="minorEastAsia"/>
              <w:noProof/>
              <w:kern w:val="2"/>
              <w:szCs w:val="24"/>
              <w:lang w:eastAsia="pl-PL"/>
              <w14:ligatures w14:val="standardContextual"/>
            </w:rPr>
          </w:pPr>
          <w:hyperlink w:anchor="_Toc221535818" w:history="1">
            <w:r w:rsidRPr="00D56B33">
              <w:rPr>
                <w:rStyle w:val="Hipercze"/>
                <w:noProof/>
              </w:rPr>
              <w:t>9.</w:t>
            </w:r>
            <w:r>
              <w:rPr>
                <w:rFonts w:eastAsiaTheme="minorEastAsia"/>
                <w:noProof/>
                <w:kern w:val="2"/>
                <w:szCs w:val="24"/>
                <w:lang w:eastAsia="pl-PL"/>
                <w14:ligatures w14:val="standardContextual"/>
              </w:rPr>
              <w:tab/>
            </w:r>
            <w:r w:rsidRPr="00D56B33">
              <w:rPr>
                <w:rStyle w:val="Hipercze"/>
                <w:noProof/>
              </w:rPr>
              <w:t>Analiza ekonomiczna</w:t>
            </w:r>
            <w:r>
              <w:rPr>
                <w:noProof/>
                <w:webHidden/>
              </w:rPr>
              <w:tab/>
            </w:r>
            <w:r>
              <w:rPr>
                <w:noProof/>
                <w:webHidden/>
              </w:rPr>
              <w:fldChar w:fldCharType="begin"/>
            </w:r>
            <w:r>
              <w:rPr>
                <w:noProof/>
                <w:webHidden/>
              </w:rPr>
              <w:instrText xml:space="preserve"> PAGEREF _Toc221535818 \h </w:instrText>
            </w:r>
            <w:r>
              <w:rPr>
                <w:noProof/>
                <w:webHidden/>
              </w:rPr>
            </w:r>
            <w:r>
              <w:rPr>
                <w:noProof/>
                <w:webHidden/>
              </w:rPr>
              <w:fldChar w:fldCharType="separate"/>
            </w:r>
            <w:r>
              <w:rPr>
                <w:noProof/>
                <w:webHidden/>
              </w:rPr>
              <w:t>24</w:t>
            </w:r>
            <w:r>
              <w:rPr>
                <w:noProof/>
                <w:webHidden/>
              </w:rPr>
              <w:fldChar w:fldCharType="end"/>
            </w:r>
          </w:hyperlink>
        </w:p>
        <w:p w14:paraId="6780410B" w14:textId="46F4B318" w:rsidR="00FB55ED" w:rsidRDefault="00FB55ED">
          <w:pPr>
            <w:pStyle w:val="Spistreci1"/>
            <w:rPr>
              <w:rFonts w:eastAsiaTheme="minorEastAsia"/>
              <w:noProof/>
              <w:kern w:val="2"/>
              <w:szCs w:val="24"/>
              <w:lang w:eastAsia="pl-PL"/>
              <w14:ligatures w14:val="standardContextual"/>
            </w:rPr>
          </w:pPr>
          <w:hyperlink w:anchor="_Toc221535819" w:history="1">
            <w:r w:rsidRPr="00D56B33">
              <w:rPr>
                <w:rStyle w:val="Hipercze"/>
                <w:noProof/>
              </w:rPr>
              <w:t>10.</w:t>
            </w:r>
            <w:r>
              <w:rPr>
                <w:rFonts w:eastAsiaTheme="minorEastAsia"/>
                <w:noProof/>
                <w:kern w:val="2"/>
                <w:szCs w:val="24"/>
                <w:lang w:eastAsia="pl-PL"/>
                <w14:ligatures w14:val="standardContextual"/>
              </w:rPr>
              <w:tab/>
            </w:r>
            <w:r w:rsidRPr="00D56B33">
              <w:rPr>
                <w:rStyle w:val="Hipercze"/>
                <w:noProof/>
              </w:rPr>
              <w:t>Analiza wrażliwości i ryzyka</w:t>
            </w:r>
            <w:r>
              <w:rPr>
                <w:noProof/>
                <w:webHidden/>
              </w:rPr>
              <w:tab/>
            </w:r>
            <w:r>
              <w:rPr>
                <w:noProof/>
                <w:webHidden/>
              </w:rPr>
              <w:fldChar w:fldCharType="begin"/>
            </w:r>
            <w:r>
              <w:rPr>
                <w:noProof/>
                <w:webHidden/>
              </w:rPr>
              <w:instrText xml:space="preserve"> PAGEREF _Toc221535819 \h </w:instrText>
            </w:r>
            <w:r>
              <w:rPr>
                <w:noProof/>
                <w:webHidden/>
              </w:rPr>
            </w:r>
            <w:r>
              <w:rPr>
                <w:noProof/>
                <w:webHidden/>
              </w:rPr>
              <w:fldChar w:fldCharType="separate"/>
            </w:r>
            <w:r>
              <w:rPr>
                <w:noProof/>
                <w:webHidden/>
              </w:rPr>
              <w:t>26</w:t>
            </w:r>
            <w:r>
              <w:rPr>
                <w:noProof/>
                <w:webHidden/>
              </w:rPr>
              <w:fldChar w:fldCharType="end"/>
            </w:r>
          </w:hyperlink>
        </w:p>
        <w:p w14:paraId="422EE037" w14:textId="3E4C28AD"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555A4E">
      <w:pPr>
        <w:pStyle w:val="Nagwek1"/>
        <w:numPr>
          <w:ilvl w:val="0"/>
          <w:numId w:val="64"/>
        </w:numPr>
      </w:pPr>
      <w:bookmarkStart w:id="0" w:name="_Toc221535782"/>
      <w:r w:rsidRPr="00666CBF">
        <w:lastRenderedPageBreak/>
        <w:t>Identyfikacja projektu i opis celów projektu</w:t>
      </w:r>
      <w:bookmarkEnd w:id="0"/>
    </w:p>
    <w:p w14:paraId="46FA4F9A" w14:textId="77777777" w:rsidR="00C17311" w:rsidRDefault="00C17311" w:rsidP="00C17311">
      <w:pPr>
        <w:pStyle w:val="Nagwek2"/>
        <w:numPr>
          <w:ilvl w:val="1"/>
          <w:numId w:val="3"/>
        </w:numPr>
      </w:pPr>
      <w:bookmarkStart w:id="1" w:name="_Toc158901400"/>
      <w:bookmarkStart w:id="2" w:name="_Toc221535783"/>
      <w:r>
        <w:t>Typ projektu</w:t>
      </w:r>
      <w:bookmarkEnd w:id="1"/>
      <w:bookmarkEnd w:id="2"/>
    </w:p>
    <w:p w14:paraId="691AA401" w14:textId="266A5603" w:rsidR="00C17311" w:rsidRDefault="00C17311" w:rsidP="00C17311">
      <w:r w:rsidRPr="0087351B">
        <w:t>Należy wskazać typ projektu zgodny ze Szczegółowym Opisem Priorytetów Programu Fundusze Europejskie dla Wielkopolski 2021-2027.</w:t>
      </w:r>
    </w:p>
    <w:p w14:paraId="04234B7E" w14:textId="07ADBA86" w:rsidR="00766895" w:rsidRDefault="00FB55ED" w:rsidP="00C17311">
      <w:r>
        <w:t>W</w:t>
      </w:r>
      <w:r w:rsidR="00766895">
        <w:t xml:space="preserve"> poniższej tabeli, należy zaznaczyć wariant realizacji projektu, zgodnie z Regulaminem wyboru projektów dla naboru, </w:t>
      </w:r>
      <w:r>
        <w:t>część IIG punkt 4</w:t>
      </w:r>
      <w:r w:rsidR="00766895">
        <w:t>:</w:t>
      </w:r>
    </w:p>
    <w:tbl>
      <w:tblPr>
        <w:tblStyle w:val="Tabela-Siatka"/>
        <w:tblW w:w="0" w:type="auto"/>
        <w:tblLook w:val="04A0" w:firstRow="1" w:lastRow="0" w:firstColumn="1" w:lastColumn="0" w:noHBand="0" w:noVBand="1"/>
      </w:tblPr>
      <w:tblGrid>
        <w:gridCol w:w="7933"/>
        <w:gridCol w:w="1695"/>
      </w:tblGrid>
      <w:tr w:rsidR="00766895" w14:paraId="0CBDEC83" w14:textId="77777777" w:rsidTr="00766895">
        <w:tc>
          <w:tcPr>
            <w:tcW w:w="7933" w:type="dxa"/>
          </w:tcPr>
          <w:p w14:paraId="204E671C" w14:textId="7AE5277B" w:rsidR="00766895" w:rsidRDefault="00766895" w:rsidP="00C17311">
            <w:r>
              <w:t>Wariant I – bez pomocy publicznej</w:t>
            </w:r>
          </w:p>
        </w:tc>
        <w:tc>
          <w:tcPr>
            <w:tcW w:w="1695" w:type="dxa"/>
          </w:tcPr>
          <w:p w14:paraId="7AD65D15" w14:textId="77777777" w:rsidR="00766895" w:rsidRDefault="00766895" w:rsidP="00C17311"/>
        </w:tc>
      </w:tr>
      <w:tr w:rsidR="00766895" w14:paraId="67CA979F" w14:textId="77777777" w:rsidTr="00766895">
        <w:tc>
          <w:tcPr>
            <w:tcW w:w="7933" w:type="dxa"/>
          </w:tcPr>
          <w:p w14:paraId="6D27170F" w14:textId="4197E75D" w:rsidR="00766895" w:rsidRDefault="00766895" w:rsidP="00C17311">
            <w:r>
              <w:t>Wariant II – z pomocą de minimis</w:t>
            </w:r>
          </w:p>
        </w:tc>
        <w:tc>
          <w:tcPr>
            <w:tcW w:w="1695" w:type="dxa"/>
          </w:tcPr>
          <w:p w14:paraId="0FAC8081" w14:textId="77777777" w:rsidR="00766895" w:rsidRDefault="00766895" w:rsidP="00C17311"/>
        </w:tc>
      </w:tr>
      <w:tr w:rsidR="00766895" w14:paraId="2C2AC6AA" w14:textId="77777777" w:rsidTr="00766895">
        <w:tc>
          <w:tcPr>
            <w:tcW w:w="7933" w:type="dxa"/>
          </w:tcPr>
          <w:p w14:paraId="6227A8E5" w14:textId="5D694CEB" w:rsidR="00766895" w:rsidRDefault="00766895" w:rsidP="00C17311">
            <w:r>
              <w:t xml:space="preserve">Wariant III – z pomocą publiczną </w:t>
            </w:r>
            <w:r>
              <w:rPr>
                <w:rFonts w:eastAsia="Times New Roman" w:cstheme="minorHAnsi"/>
                <w:szCs w:val="24"/>
                <w:lang w:eastAsia="pl-PL"/>
              </w:rPr>
              <w:t>– w oparciu o pomoc</w:t>
            </w:r>
            <w:r w:rsidRPr="002F74BE">
              <w:rPr>
                <w:rFonts w:eastAsia="Times New Roman" w:cstheme="minorHAnsi"/>
                <w:szCs w:val="24"/>
                <w:lang w:eastAsia="pl-PL"/>
              </w:rPr>
              <w:t xml:space="preserve"> inwestycyjną na kulturę i</w:t>
            </w:r>
            <w:r>
              <w:rPr>
                <w:rFonts w:eastAsia="Times New Roman" w:cstheme="minorHAnsi"/>
                <w:szCs w:val="24"/>
                <w:lang w:eastAsia="pl-PL"/>
              </w:rPr>
              <w:t> </w:t>
            </w:r>
            <w:r w:rsidRPr="002F74BE">
              <w:rPr>
                <w:rFonts w:eastAsia="Times New Roman" w:cstheme="minorHAnsi"/>
                <w:szCs w:val="24"/>
                <w:lang w:eastAsia="pl-PL"/>
              </w:rPr>
              <w:t xml:space="preserve">zachowanie </w:t>
            </w:r>
            <w:r>
              <w:rPr>
                <w:rFonts w:eastAsia="Times New Roman" w:cstheme="minorHAnsi"/>
                <w:szCs w:val="24"/>
                <w:lang w:eastAsia="pl-PL"/>
              </w:rPr>
              <w:t>dziedzictwa kulturowego</w:t>
            </w:r>
          </w:p>
        </w:tc>
        <w:tc>
          <w:tcPr>
            <w:tcW w:w="1695" w:type="dxa"/>
          </w:tcPr>
          <w:p w14:paraId="268735E1" w14:textId="77777777" w:rsidR="00766895" w:rsidRDefault="00766895" w:rsidP="00C17311"/>
        </w:tc>
      </w:tr>
    </w:tbl>
    <w:p w14:paraId="30830DF1" w14:textId="77777777" w:rsidR="00766895" w:rsidRDefault="00766895" w:rsidP="00C17311"/>
    <w:p w14:paraId="3B5E3373" w14:textId="458DB9B8" w:rsidR="00E32A88" w:rsidRPr="00071ACC" w:rsidRDefault="00E32A88" w:rsidP="00555A4E">
      <w:pPr>
        <w:pStyle w:val="Nagwek2"/>
        <w:numPr>
          <w:ilvl w:val="1"/>
          <w:numId w:val="3"/>
        </w:numPr>
      </w:pPr>
      <w:bookmarkStart w:id="3" w:name="_Toc221535784"/>
      <w:r w:rsidRPr="00071ACC">
        <w:t>Cele projektu</w:t>
      </w:r>
      <w:bookmarkEnd w:id="3"/>
    </w:p>
    <w:p w14:paraId="507EA1C1" w14:textId="31B797E2"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 xml:space="preserve">ostać określone w oparciu o analizę potrzeb danego środowiska społeczno-gospodarczego, z 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555A4E">
      <w:pPr>
        <w:pStyle w:val="Akapitzlist"/>
        <w:numPr>
          <w:ilvl w:val="0"/>
          <w:numId w:val="53"/>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555A4E">
      <w:pPr>
        <w:pStyle w:val="Akapitzlist"/>
        <w:numPr>
          <w:ilvl w:val="0"/>
          <w:numId w:val="53"/>
        </w:numPr>
        <w:rPr>
          <w:szCs w:val="24"/>
        </w:rPr>
      </w:pPr>
      <w:r w:rsidRPr="00B41C7E">
        <w:rPr>
          <w:szCs w:val="24"/>
        </w:rPr>
        <w:t>być logicznie powiązane ze sobą (w przypadku gdy w ramach projektu realizowanych jest jednocześnie kilka celów),</w:t>
      </w:r>
    </w:p>
    <w:p w14:paraId="6BC30B5F" w14:textId="72F4CDE1" w:rsidR="00E32A88" w:rsidRPr="00B41C7E" w:rsidRDefault="00E32A88" w:rsidP="00555A4E">
      <w:pPr>
        <w:pStyle w:val="Akapitzlist"/>
        <w:numPr>
          <w:ilvl w:val="0"/>
          <w:numId w:val="53"/>
        </w:numPr>
        <w:rPr>
          <w:szCs w:val="24"/>
        </w:rPr>
      </w:pPr>
      <w:r w:rsidRPr="00B41C7E">
        <w:rPr>
          <w:szCs w:val="24"/>
        </w:rPr>
        <w:t>na tyle, na ile to możliwe należy je skwantyfikować, poprzez określenie wartości bazowych i docelowych oraz metodę pomiaru poziomu ich osiągnięcia,</w:t>
      </w:r>
    </w:p>
    <w:p w14:paraId="3C4B211B" w14:textId="68FD57F1" w:rsidR="00E32A88" w:rsidRPr="00B41C7E" w:rsidRDefault="00E32A88" w:rsidP="00555A4E">
      <w:pPr>
        <w:pStyle w:val="Akapitzlist"/>
        <w:numPr>
          <w:ilvl w:val="0"/>
          <w:numId w:val="53"/>
        </w:numPr>
        <w:rPr>
          <w:szCs w:val="24"/>
        </w:rPr>
      </w:pPr>
      <w:r w:rsidRPr="00B41C7E">
        <w:rPr>
          <w:szCs w:val="24"/>
        </w:rPr>
        <w:t xml:space="preserve">być logicznie powiązane z celami realizacji danego priorytetu i działania </w:t>
      </w:r>
      <w:r w:rsidR="00C17311" w:rsidRPr="00F72964">
        <w:rPr>
          <w:rFonts w:cstheme="minorHAnsi"/>
          <w:szCs w:val="24"/>
        </w:rPr>
        <w:t>Program</w:t>
      </w:r>
      <w:r w:rsidR="00C17311">
        <w:rPr>
          <w:rFonts w:cstheme="minorHAnsi"/>
          <w:szCs w:val="24"/>
        </w:rPr>
        <w:t>u</w:t>
      </w:r>
      <w:r w:rsidR="00C17311" w:rsidRPr="00F72964">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4" w:name="_Toc221535785"/>
      <w:r w:rsidRPr="00071ACC">
        <w:t>Identyfikacja projektu</w:t>
      </w:r>
      <w:bookmarkEnd w:id="4"/>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048F8DE2" w:rsidR="00D56482" w:rsidRPr="00B41C7E" w:rsidRDefault="00D56482" w:rsidP="00555A4E">
      <w:pPr>
        <w:pStyle w:val="Akapitzlist"/>
        <w:numPr>
          <w:ilvl w:val="0"/>
          <w:numId w:val="54"/>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 tak dalej</w:t>
      </w:r>
      <w:r w:rsidRPr="00B41C7E">
        <w:rPr>
          <w:szCs w:val="24"/>
        </w:rPr>
        <w:t>),</w:t>
      </w:r>
    </w:p>
    <w:p w14:paraId="77D41F01" w14:textId="1242DC7D" w:rsidR="008B046C" w:rsidRPr="00B41C7E" w:rsidRDefault="008B046C" w:rsidP="0070095E">
      <w:pPr>
        <w:pStyle w:val="Akapitzlist"/>
        <w:numPr>
          <w:ilvl w:val="0"/>
          <w:numId w:val="54"/>
        </w:numPr>
        <w:ind w:left="714" w:hanging="357"/>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74C21374" w:rsidR="00F251F4" w:rsidRPr="00B41C7E" w:rsidRDefault="00F251F4" w:rsidP="00555A4E">
      <w:pPr>
        <w:rPr>
          <w:szCs w:val="24"/>
        </w:rPr>
      </w:pPr>
      <w:r w:rsidRPr="00B41C7E">
        <w:rPr>
          <w:szCs w:val="24"/>
        </w:rPr>
        <w:lastRenderedPageBreak/>
        <w:t>Projekt musi stanowić samodzielną (pod kątem operacyjności) jednostkę analizy. Oznacza to, że obejmuje on zadania inwestycyjne, które sprawiają, że efektem realizacji projektu jest stworzenie w pełni funkcjonalnej i operacyjnej infrastruktury</w:t>
      </w:r>
      <w:r w:rsidR="00452C70">
        <w:rPr>
          <w:szCs w:val="24"/>
        </w:rPr>
        <w:t>.</w:t>
      </w:r>
      <w:r w:rsidRPr="00B41C7E">
        <w:rPr>
          <w:szCs w:val="24"/>
        </w:rPr>
        <w:t xml:space="preserve"> </w:t>
      </w:r>
    </w:p>
    <w:p w14:paraId="1F074C98" w14:textId="0E0B078D" w:rsidR="007C45CB" w:rsidRPr="00071ACC" w:rsidRDefault="007C45CB" w:rsidP="00555A4E">
      <w:pPr>
        <w:pStyle w:val="Nagwek2"/>
        <w:numPr>
          <w:ilvl w:val="1"/>
          <w:numId w:val="3"/>
        </w:numPr>
      </w:pPr>
      <w:bookmarkStart w:id="5" w:name="_Toc221535786"/>
      <w:r w:rsidRPr="00071ACC">
        <w:t>Uzasadnienie potrzeby realizacji projektu</w:t>
      </w:r>
      <w:bookmarkEnd w:id="5"/>
    </w:p>
    <w:p w14:paraId="4DE9E33D" w14:textId="3E7ADF81" w:rsidR="007C45CB" w:rsidRPr="00B41C7E" w:rsidRDefault="007C45CB" w:rsidP="00555A4E">
      <w:pPr>
        <w:rPr>
          <w:szCs w:val="24"/>
        </w:rPr>
      </w:pPr>
      <w:r w:rsidRPr="003D7C5E">
        <w:rPr>
          <w:szCs w:val="24"/>
        </w:rPr>
        <w:t>Należy przeprowadzić analizę,</w:t>
      </w:r>
      <w:r w:rsidRPr="00B41C7E">
        <w:rPr>
          <w:szCs w:val="24"/>
        </w:rPr>
        <w:t xml:space="preserve"> z której wynikać będzie, że Wnioskodawca nie posiada lub posiada w ograniczonym stopniu zasoby infrastrukturalne umożliwiające realizację projektu. </w:t>
      </w:r>
    </w:p>
    <w:p w14:paraId="20BF6C9C" w14:textId="0ADD3860" w:rsidR="007C45CB" w:rsidRPr="00B41C7E" w:rsidRDefault="007C45CB" w:rsidP="00555A4E">
      <w:pPr>
        <w:rPr>
          <w:szCs w:val="24"/>
        </w:rPr>
      </w:pPr>
      <w:r w:rsidRPr="00B41C7E">
        <w:rPr>
          <w:szCs w:val="24"/>
        </w:rPr>
        <w:t>Wnioskodawca powinien wykazać, że przeprowadził rzetelną analizę popytu dla projektu (i przedstawić wyciągnięte z niej wnioski) oraz wskazać w jaki sposób wnioski z analizy przełożyły się na zakres projektu. Należy przy tym podać: kiedy była prowadzona analiza, przedstawić dane wykorzystane do jej sporządzenia i wskazać ich źródła. Analiza powinna uwzględniać zarówno popyt bieżący (w oparciu o aktualne dane), jak również popyt prognozowany. Analizę prognozowanego popytu należy przeprowadzić porównawczo: dla scenariusza z przeprowadzoną inwestycją oraz bez inwestycji. Oceniana będzie zarówno rzetelność w</w:t>
      </w:r>
      <w:r w:rsidR="00862D9C">
        <w:rPr>
          <w:szCs w:val="24"/>
        </w:rPr>
        <w:t>yżej wymienionych</w:t>
      </w:r>
      <w:r w:rsidRPr="00B41C7E">
        <w:rPr>
          <w:szCs w:val="24"/>
        </w:rPr>
        <w:t xml:space="preserve"> analiz (w zakresie: aktualności danych; wskazanych metod badawczych, które zostały wykorzystane w analizach; udokumentowania źródeł danych; doboru źródeł danych), jak i adekwatność rozwiązań zaproponowanych w projekcie.</w:t>
      </w:r>
    </w:p>
    <w:p w14:paraId="6AB66127" w14:textId="77777777" w:rsidR="007C45CB" w:rsidRPr="00B41C7E" w:rsidRDefault="007C45CB" w:rsidP="00555A4E">
      <w:pPr>
        <w:rPr>
          <w:szCs w:val="24"/>
        </w:rPr>
      </w:pPr>
      <w:r w:rsidRPr="00B41C7E">
        <w:rPr>
          <w:szCs w:val="24"/>
        </w:rPr>
        <w:t>Ponadto należy przedstawić informacje, czy:</w:t>
      </w:r>
    </w:p>
    <w:p w14:paraId="71BA161E" w14:textId="6837B629" w:rsidR="007C45CB" w:rsidRPr="00B41C7E" w:rsidRDefault="007C45CB" w:rsidP="00555A4E">
      <w:pPr>
        <w:pStyle w:val="Akapitzlist"/>
        <w:numPr>
          <w:ilvl w:val="0"/>
          <w:numId w:val="31"/>
        </w:numPr>
        <w:rPr>
          <w:szCs w:val="24"/>
        </w:rPr>
      </w:pPr>
      <w:r w:rsidRPr="00B41C7E">
        <w:rPr>
          <w:szCs w:val="24"/>
        </w:rPr>
        <w:t>w projekcie zastosowano najnowsze osiągnięcia technologiczne i organizacyjne dla wprowadzania procesów modernizacyjnych wspomagających bieżącą działalność instytucji, w tym aplikacji ISP (informacje sektora publicznego) i systemów bazodanowych, służących poprawie efektywności zarządzania oraz upowszechnianiu komunikacji elektronicznej w instytucjach publicznych (</w:t>
      </w:r>
      <w:r w:rsidR="00862D9C">
        <w:rPr>
          <w:szCs w:val="24"/>
        </w:rPr>
        <w:t>na przykład:</w:t>
      </w:r>
      <w:r w:rsidRPr="00B41C7E">
        <w:rPr>
          <w:szCs w:val="24"/>
        </w:rPr>
        <w:t xml:space="preserve"> chmura obliczeniowa, elektroniczny obieg dokumentów, otwarte dane publiczne wysokiej jakości, budowa odpowiednich narzędzi analitycznych, </w:t>
      </w:r>
      <w:r w:rsidR="003D7C5E">
        <w:rPr>
          <w:szCs w:val="24"/>
        </w:rPr>
        <w:t>i tym podobne</w:t>
      </w:r>
      <w:r w:rsidRPr="00B41C7E">
        <w:rPr>
          <w:szCs w:val="24"/>
        </w:rPr>
        <w:t>),</w:t>
      </w:r>
    </w:p>
    <w:p w14:paraId="6008DCD4" w14:textId="77777777" w:rsidR="007C45CB" w:rsidRPr="00B41C7E" w:rsidRDefault="007C45CB" w:rsidP="00555A4E">
      <w:pPr>
        <w:pStyle w:val="Akapitzlist"/>
        <w:numPr>
          <w:ilvl w:val="0"/>
          <w:numId w:val="31"/>
        </w:numPr>
        <w:rPr>
          <w:szCs w:val="24"/>
        </w:rPr>
      </w:pPr>
      <w:r w:rsidRPr="00B41C7E">
        <w:rPr>
          <w:szCs w:val="24"/>
        </w:rPr>
        <w:t>inwestycja posiada element innowacyjny dotyczący rozwiązań informatycznych, takich jak: elementy SI (sztucznej inteligencji), aplikacje na urządzenia mobilne, chmura obliczeniowa, udostępnianie publicznych danych poprzez API (API – Application Programming Interface, ang. Interfejs Programowania Aplikacji),</w:t>
      </w:r>
    </w:p>
    <w:p w14:paraId="6CE97104" w14:textId="761007D1" w:rsidR="007C45CB" w:rsidRPr="00B41C7E" w:rsidRDefault="007C45CB" w:rsidP="00555A4E">
      <w:pPr>
        <w:pStyle w:val="Akapitzlist"/>
        <w:numPr>
          <w:ilvl w:val="0"/>
          <w:numId w:val="31"/>
        </w:numPr>
        <w:rPr>
          <w:szCs w:val="24"/>
        </w:rPr>
      </w:pPr>
      <w:r w:rsidRPr="00B41C7E">
        <w:rPr>
          <w:szCs w:val="24"/>
        </w:rPr>
        <w:t>projekt jest kontynuacją projektu z perspektywy 2014-2020 (w przypadku kontynuacji zrealizowanych uprzednio projektów wymagane jest szczegółowe uzasadnienie kolejnych projektów w tym zakresie, poparte analizą znaczących korzyści społeczno – gospodarczych) – jeśli dotyczy.</w:t>
      </w:r>
    </w:p>
    <w:p w14:paraId="77E0A961" w14:textId="1A68B864" w:rsidR="00AC1665" w:rsidRDefault="00AC1665" w:rsidP="00555A4E">
      <w:pPr>
        <w:pStyle w:val="Nagwek2"/>
        <w:numPr>
          <w:ilvl w:val="1"/>
          <w:numId w:val="3"/>
        </w:numPr>
      </w:pPr>
      <w:bookmarkStart w:id="6" w:name="_Toc221535787"/>
      <w:r>
        <w:t>Otoczenie prawne</w:t>
      </w:r>
      <w:bookmarkEnd w:id="6"/>
    </w:p>
    <w:p w14:paraId="3E768ED9" w14:textId="3474E1A1" w:rsidR="00AC1665" w:rsidRPr="00AC1665" w:rsidRDefault="00F91D39" w:rsidP="00AC1665">
      <w:r w:rsidRPr="00587B52">
        <w:rPr>
          <w:rFonts w:cstheme="minorHAnsi"/>
          <w:szCs w:val="24"/>
        </w:rPr>
        <w:t xml:space="preserve">Należy </w:t>
      </w:r>
      <w:r>
        <w:rPr>
          <w:rFonts w:cstheme="minorHAnsi"/>
          <w:szCs w:val="24"/>
        </w:rPr>
        <w:t xml:space="preserve">przedstawić informację </w:t>
      </w:r>
      <w:r w:rsidRPr="00FF7162">
        <w:rPr>
          <w:rFonts w:cstheme="minorHAnsi"/>
          <w:szCs w:val="24"/>
        </w:rPr>
        <w:t xml:space="preserve">czy projekt jest przygotowany do realizacji pod względem zgodności z otoczeniem prawnym. </w:t>
      </w:r>
      <w:r>
        <w:rPr>
          <w:rFonts w:cstheme="minorHAnsi"/>
          <w:szCs w:val="24"/>
        </w:rPr>
        <w:t>W</w:t>
      </w:r>
      <w:r w:rsidRPr="00FF7162">
        <w:rPr>
          <w:rFonts w:cstheme="minorHAnsi"/>
          <w:szCs w:val="24"/>
        </w:rPr>
        <w:t>nioskodawca powinien</w:t>
      </w:r>
      <w:r>
        <w:rPr>
          <w:rFonts w:cstheme="minorHAnsi"/>
          <w:szCs w:val="24"/>
        </w:rPr>
        <w:t xml:space="preserve"> to wykazać</w:t>
      </w:r>
      <w:r w:rsidRPr="00FF7162">
        <w:rPr>
          <w:rFonts w:cstheme="minorHAnsi"/>
          <w:szCs w:val="24"/>
        </w:rPr>
        <w:t>, poprzez przedstawienie odpowiednich analiz, możliwości realizacji projektu i usług objętych projektem na podstawie obowiązujących przepisów prawa</w:t>
      </w:r>
      <w:r>
        <w:rPr>
          <w:rFonts w:cstheme="minorHAnsi"/>
          <w:szCs w:val="24"/>
        </w:rPr>
        <w:t>.</w:t>
      </w:r>
    </w:p>
    <w:p w14:paraId="3CE219FA" w14:textId="6E637086" w:rsidR="00443C4A" w:rsidRPr="00071ACC" w:rsidRDefault="007C45CB" w:rsidP="00555A4E">
      <w:pPr>
        <w:pStyle w:val="Nagwek2"/>
        <w:numPr>
          <w:ilvl w:val="1"/>
          <w:numId w:val="3"/>
        </w:numPr>
      </w:pPr>
      <w:bookmarkStart w:id="7" w:name="_Toc221535788"/>
      <w:r w:rsidRPr="00071ACC">
        <w:lastRenderedPageBreak/>
        <w:t>Analiza procesów biznesowych</w:t>
      </w:r>
      <w:bookmarkEnd w:id="7"/>
    </w:p>
    <w:p w14:paraId="73CA731C" w14:textId="77777777" w:rsidR="007C45CB" w:rsidRPr="00B41C7E" w:rsidRDefault="007C45CB" w:rsidP="003D7C5E">
      <w:pPr>
        <w:rPr>
          <w:szCs w:val="24"/>
        </w:rPr>
      </w:pPr>
      <w:r w:rsidRPr="003D7C5E">
        <w:rPr>
          <w:szCs w:val="24"/>
        </w:rPr>
        <w:t>Wnioskodawca powinien przedstawić analizę procesów biznesowych związanych ze świadc</w:t>
      </w:r>
      <w:r w:rsidRPr="00B41C7E">
        <w:rPr>
          <w:szCs w:val="24"/>
        </w:rPr>
        <w:t xml:space="preserve">zeniem usług, z uwzględnieniem stanu aktualnego i docelowego. Należy przedstawić analizę uwzględniającą mapę procesów biznesowych, modele kluczowych procesów biznesowych, zakres zmian w procesach biznesowych, właścicieli procesów biznesowych. Należy wykazać, że przenoszone w całości lub części do sfery elektronicznej procesy biznesowe są, lub w ramach projektu zostaną, zoptymalizowane pod kątem świadczenia usług drogą elektroniczną. Wnioskodawca powinien przedstawić opis kluczowych procesów związanych ze świadczeniem usług, które projekt ma usprawniać. </w:t>
      </w:r>
    </w:p>
    <w:p w14:paraId="38AEEC1D" w14:textId="77777777" w:rsidR="007C45CB" w:rsidRPr="00B41C7E" w:rsidRDefault="007C45CB" w:rsidP="00B41C7E">
      <w:pPr>
        <w:rPr>
          <w:szCs w:val="24"/>
        </w:rPr>
      </w:pPr>
      <w:r w:rsidRPr="00B41C7E">
        <w:rPr>
          <w:szCs w:val="24"/>
        </w:rPr>
        <w:t>Dla każdej usługi objętej projektem Wnioskodawca powinien przedstawić:</w:t>
      </w:r>
    </w:p>
    <w:p w14:paraId="29A4E097" w14:textId="039EF02A" w:rsidR="007C45CB" w:rsidRPr="00B41C7E" w:rsidRDefault="007C45CB" w:rsidP="00B41C7E">
      <w:pPr>
        <w:pStyle w:val="Akapitzlist"/>
        <w:numPr>
          <w:ilvl w:val="0"/>
          <w:numId w:val="41"/>
        </w:numPr>
        <w:rPr>
          <w:szCs w:val="24"/>
        </w:rPr>
      </w:pPr>
      <w:r w:rsidRPr="00B41C7E">
        <w:rPr>
          <w:szCs w:val="24"/>
        </w:rPr>
        <w:t>mapę procesów biznesowych (opis relacji pomiędzy poszczególnymi procesami składającymi się na usługę),</w:t>
      </w:r>
    </w:p>
    <w:p w14:paraId="3548C258" w14:textId="1C09EB78" w:rsidR="007C45CB" w:rsidRPr="00B41C7E" w:rsidRDefault="007C45CB" w:rsidP="00B41C7E">
      <w:pPr>
        <w:pStyle w:val="Akapitzlist"/>
        <w:numPr>
          <w:ilvl w:val="0"/>
          <w:numId w:val="41"/>
        </w:numPr>
        <w:rPr>
          <w:szCs w:val="24"/>
        </w:rPr>
      </w:pPr>
      <w:r w:rsidRPr="00B41C7E">
        <w:rPr>
          <w:szCs w:val="24"/>
        </w:rPr>
        <w:t>modele kluczowych procesów biznesowych, składających się na usługę, dla obecnego i docelowego sposobu realizacji usług.</w:t>
      </w:r>
    </w:p>
    <w:p w14:paraId="6CFCC28D" w14:textId="16A62FFC" w:rsidR="007C45CB" w:rsidRPr="00B41C7E" w:rsidRDefault="007C45CB" w:rsidP="00B41C7E">
      <w:pPr>
        <w:rPr>
          <w:szCs w:val="24"/>
        </w:rPr>
      </w:pPr>
      <w:r w:rsidRPr="00B41C7E">
        <w:rPr>
          <w:szCs w:val="24"/>
        </w:rPr>
        <w:t>Wnioskodawca powinien przedstawić opis zmian w procesach biznesowych ze szczególnym uwzględnieniem roli jaką będą pełniły planowane do wdrożenia systemy informatyczne w szczególności zaznaczyć na stosownym diagramie i opisać źródła danych usług objętych projektem i automatyzację wymiany danych z innymi usługami. Dla każdego procesu biznesowego należy wskazać właściciela z uprawnieniami, które pozwalają mu na zmianę procesu biznesowego. Należy wskazać zakres procesów biznesowych usług wspieranych przez objęte projektem systemy teleinformatyczne. Wnioskodawca powinien wykazać, że przenoszone, w całości lub w części, do sfery elektronicznej procesy biznesowe są lub w ramach projektu zostaną zoptymalizowane pod kątem świadczenia usług drogą elektroniczną.</w:t>
      </w:r>
    </w:p>
    <w:p w14:paraId="1625B22E" w14:textId="77777777" w:rsidR="000814ED" w:rsidRPr="00071ACC" w:rsidRDefault="000814ED" w:rsidP="00555A4E">
      <w:pPr>
        <w:pStyle w:val="Nagwek1"/>
        <w:numPr>
          <w:ilvl w:val="0"/>
          <w:numId w:val="64"/>
        </w:numPr>
      </w:pPr>
      <w:bookmarkStart w:id="8" w:name="_Toc221535789"/>
      <w:r w:rsidRPr="00071ACC">
        <w:t>Analiza zdolności finansowo-organizacyjnej Wnioskodawcy</w:t>
      </w:r>
      <w:bookmarkEnd w:id="8"/>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555A4E">
      <w:pPr>
        <w:pStyle w:val="Akapitzlist"/>
        <w:numPr>
          <w:ilvl w:val="0"/>
          <w:numId w:val="55"/>
        </w:numPr>
        <w:rPr>
          <w:szCs w:val="24"/>
        </w:rPr>
      </w:pPr>
      <w:r w:rsidRPr="00B41C7E">
        <w:rPr>
          <w:szCs w:val="24"/>
        </w:rPr>
        <w:t>wskazać zagwarantowane źródła i mechanizmy finansowania zadań,</w:t>
      </w:r>
    </w:p>
    <w:p w14:paraId="28672C54" w14:textId="77777777" w:rsidR="000814ED" w:rsidRPr="00B41C7E" w:rsidRDefault="000814ED" w:rsidP="00555A4E">
      <w:pPr>
        <w:pStyle w:val="Akapitzlist"/>
        <w:numPr>
          <w:ilvl w:val="0"/>
          <w:numId w:val="55"/>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1F378E59" w:rsidR="000814ED" w:rsidRPr="00B41C7E" w:rsidRDefault="000814ED" w:rsidP="00555A4E">
      <w:pPr>
        <w:pStyle w:val="Akapitzlist"/>
        <w:numPr>
          <w:ilvl w:val="0"/>
          <w:numId w:val="55"/>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1122A2">
        <w:rPr>
          <w:szCs w:val="24"/>
        </w:rPr>
        <w:t>.</w:t>
      </w:r>
    </w:p>
    <w:p w14:paraId="008B969D" w14:textId="30554B0D" w:rsidR="000814ED" w:rsidRPr="00B41C7E" w:rsidRDefault="000814ED" w:rsidP="003D7C5E">
      <w:pPr>
        <w:rPr>
          <w:szCs w:val="24"/>
        </w:rPr>
      </w:pPr>
      <w:r w:rsidRPr="00B41C7E">
        <w:rPr>
          <w:szCs w:val="24"/>
        </w:rPr>
        <w:lastRenderedPageBreak/>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10454C2D" w14:textId="57CE4025" w:rsidR="00EB5334" w:rsidRDefault="000814ED" w:rsidP="00555A4E">
      <w:pPr>
        <w:pStyle w:val="Nagwek1"/>
        <w:numPr>
          <w:ilvl w:val="0"/>
          <w:numId w:val="64"/>
        </w:numPr>
      </w:pPr>
      <w:bookmarkStart w:id="9" w:name="_Toc131499053"/>
      <w:bookmarkStart w:id="10" w:name="_Toc131499111"/>
      <w:bookmarkStart w:id="11" w:name="_Toc131499697"/>
      <w:bookmarkStart w:id="12" w:name="_Toc131499751"/>
      <w:bookmarkStart w:id="13" w:name="_Toc131499856"/>
      <w:bookmarkStart w:id="14" w:name="_Toc131499916"/>
      <w:bookmarkStart w:id="15" w:name="_Toc131500147"/>
      <w:bookmarkStart w:id="16" w:name="_Toc131501811"/>
      <w:bookmarkStart w:id="17" w:name="_Toc131499054"/>
      <w:bookmarkStart w:id="18" w:name="_Toc131499112"/>
      <w:bookmarkStart w:id="19" w:name="_Toc131499698"/>
      <w:bookmarkStart w:id="20" w:name="_Toc131499752"/>
      <w:bookmarkStart w:id="21" w:name="_Toc131499857"/>
      <w:bookmarkStart w:id="22" w:name="_Toc131499917"/>
      <w:bookmarkStart w:id="23" w:name="_Toc131500148"/>
      <w:bookmarkStart w:id="24" w:name="_Toc131501812"/>
      <w:bookmarkStart w:id="25" w:name="_Toc131499055"/>
      <w:bookmarkStart w:id="26" w:name="_Toc131499113"/>
      <w:bookmarkStart w:id="27" w:name="_Toc131499699"/>
      <w:bookmarkStart w:id="28" w:name="_Toc131499753"/>
      <w:bookmarkStart w:id="29" w:name="_Toc131499858"/>
      <w:bookmarkStart w:id="30" w:name="_Toc131499918"/>
      <w:bookmarkStart w:id="31" w:name="_Toc131500149"/>
      <w:bookmarkStart w:id="32" w:name="_Toc131501813"/>
      <w:bookmarkStart w:id="33" w:name="_Toc131499056"/>
      <w:bookmarkStart w:id="34" w:name="_Toc131499114"/>
      <w:bookmarkStart w:id="35" w:name="_Toc131499700"/>
      <w:bookmarkStart w:id="36" w:name="_Toc131499754"/>
      <w:bookmarkStart w:id="37" w:name="_Toc131499859"/>
      <w:bookmarkStart w:id="38" w:name="_Toc131499919"/>
      <w:bookmarkStart w:id="39" w:name="_Toc131500150"/>
      <w:bookmarkStart w:id="40" w:name="_Toc131501814"/>
      <w:bookmarkStart w:id="41" w:name="_Toc131499057"/>
      <w:bookmarkStart w:id="42" w:name="_Toc131499115"/>
      <w:bookmarkStart w:id="43" w:name="_Toc131499701"/>
      <w:bookmarkStart w:id="44" w:name="_Toc131499755"/>
      <w:bookmarkStart w:id="45" w:name="_Toc131499860"/>
      <w:bookmarkStart w:id="46" w:name="_Toc131499920"/>
      <w:bookmarkStart w:id="47" w:name="_Toc131500151"/>
      <w:bookmarkStart w:id="48" w:name="_Toc131501815"/>
      <w:bookmarkStart w:id="49" w:name="_Toc131499058"/>
      <w:bookmarkStart w:id="50" w:name="_Toc131499116"/>
      <w:bookmarkStart w:id="51" w:name="_Toc131499702"/>
      <w:bookmarkStart w:id="52" w:name="_Toc131499756"/>
      <w:bookmarkStart w:id="53" w:name="_Toc131499861"/>
      <w:bookmarkStart w:id="54" w:name="_Toc131499921"/>
      <w:bookmarkStart w:id="55" w:name="_Toc131500152"/>
      <w:bookmarkStart w:id="56" w:name="_Toc131501816"/>
      <w:bookmarkStart w:id="57" w:name="_Toc22153579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71ACC">
        <w:t>Analiza występowania pomocy publicznej w projekcie</w:t>
      </w:r>
      <w:bookmarkEnd w:id="57"/>
      <w:r w:rsidR="00EB5334">
        <w:t xml:space="preserve"> </w:t>
      </w:r>
    </w:p>
    <w:p w14:paraId="214964A3" w14:textId="384289C4" w:rsidR="00EB5334" w:rsidRPr="00EB5334" w:rsidRDefault="00EB5334" w:rsidP="00EB5334">
      <w:pPr>
        <w:rPr>
          <w:szCs w:val="24"/>
        </w:rPr>
      </w:pPr>
      <w:r w:rsidRPr="00EB5334">
        <w:rPr>
          <w:szCs w:val="24"/>
        </w:rPr>
        <w:t>Należy zbadać i określić, czy planowane wsparcie stanowi pomoc publiczną w rozumieniu artykułu 107 ustępu 1 Traktatu o funkcjonowaniu Unii Europejskiej (TFUE), a Wnioskodawca jest traktowany jako przedsiębiorca</w:t>
      </w:r>
      <w:r w:rsidR="003F0C21">
        <w:rPr>
          <w:szCs w:val="24"/>
        </w:rPr>
        <w:t>,</w:t>
      </w:r>
      <w:r w:rsidRPr="00EB5334">
        <w:rPr>
          <w:szCs w:val="24"/>
        </w:rPr>
        <w:t xml:space="preserve"> o którym mowa w przytoczonym artykule. Pojęcie „przedsiębiorstwa” zdefiniowane jest w artykule 1 załączniku 1 rozporządzenia Komisji (UE) nr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7A6803B" w14:textId="77777777" w:rsidR="00EB5334" w:rsidRPr="00EB5334" w:rsidRDefault="00EB5334" w:rsidP="00EB5334">
      <w:pPr>
        <w:rPr>
          <w:szCs w:val="24"/>
        </w:rPr>
      </w:pPr>
      <w:r w:rsidRPr="00EB5334">
        <w:rPr>
          <w:szCs w:val="24"/>
        </w:rPr>
        <w:t xml:space="preserve">Zgodnie z przepisem artykułu 107 ustępu 1 TFUE, wsparcie finansowe dla podmiotu prowadzącego działalność gospodarczą stanowi pomoc publiczną, jeżeli jednocześnie spełnione są następujące warunki: </w:t>
      </w:r>
    </w:p>
    <w:p w14:paraId="6992280E" w14:textId="77777777" w:rsidR="00EB5334" w:rsidRPr="00EB5334" w:rsidRDefault="00EB5334" w:rsidP="00EB5334">
      <w:pPr>
        <w:numPr>
          <w:ilvl w:val="0"/>
          <w:numId w:val="5"/>
        </w:numPr>
        <w:contextualSpacing/>
        <w:rPr>
          <w:szCs w:val="24"/>
        </w:rPr>
      </w:pPr>
      <w:r w:rsidRPr="00EB5334">
        <w:rPr>
          <w:szCs w:val="24"/>
        </w:rPr>
        <w:t xml:space="preserve">Udzielane jest ono z budżetu państwa lub z innych środków publicznych, </w:t>
      </w:r>
    </w:p>
    <w:p w14:paraId="27178C03" w14:textId="77777777" w:rsidR="00EB5334" w:rsidRPr="00EB5334" w:rsidRDefault="00EB5334" w:rsidP="00EB5334">
      <w:pPr>
        <w:numPr>
          <w:ilvl w:val="0"/>
          <w:numId w:val="5"/>
        </w:numPr>
        <w:contextualSpacing/>
        <w:rPr>
          <w:szCs w:val="24"/>
        </w:rPr>
      </w:pPr>
      <w:r w:rsidRPr="00EB5334">
        <w:rPr>
          <w:szCs w:val="24"/>
        </w:rPr>
        <w:t xml:space="preserve">Przedsiębiorstwo uzyskuje przysporzenie na warunkach korzystniejszych od oferowanych na rynku, </w:t>
      </w:r>
    </w:p>
    <w:p w14:paraId="4D630A48" w14:textId="77777777" w:rsidR="00EB5334" w:rsidRPr="00EB5334" w:rsidRDefault="00EB5334" w:rsidP="00EB5334">
      <w:pPr>
        <w:numPr>
          <w:ilvl w:val="0"/>
          <w:numId w:val="5"/>
        </w:numPr>
        <w:contextualSpacing/>
        <w:rPr>
          <w:szCs w:val="24"/>
        </w:rPr>
      </w:pPr>
      <w:r w:rsidRPr="00EB5334">
        <w:rPr>
          <w:szCs w:val="24"/>
        </w:rPr>
        <w:t xml:space="preserve">Ma charakter selektywny (uprzywilejowuje określone przedsiębiorstwo lub przedsiębiorstwa albo produkcję określonych towarów), </w:t>
      </w:r>
    </w:p>
    <w:p w14:paraId="6B8E5906" w14:textId="77777777" w:rsidR="00EB5334" w:rsidRPr="00EB5334" w:rsidRDefault="00EB5334" w:rsidP="00EB5334">
      <w:pPr>
        <w:numPr>
          <w:ilvl w:val="0"/>
          <w:numId w:val="5"/>
        </w:numPr>
        <w:contextualSpacing/>
        <w:rPr>
          <w:szCs w:val="24"/>
        </w:rPr>
      </w:pPr>
      <w:r w:rsidRPr="00EB5334">
        <w:rPr>
          <w:szCs w:val="24"/>
        </w:rPr>
        <w:t>Grozi zakłóceniem lub zakłóca konkurencję oraz wpływa na wymianę handlową między państwami członkowskimi UE.</w:t>
      </w:r>
    </w:p>
    <w:p w14:paraId="2D92C72D" w14:textId="77777777" w:rsidR="00EB5334" w:rsidRDefault="00EB5334" w:rsidP="00555A4E">
      <w:pPr>
        <w:pStyle w:val="Nagwek1"/>
        <w:numPr>
          <w:ilvl w:val="0"/>
          <w:numId w:val="64"/>
        </w:numPr>
      </w:pPr>
      <w:bookmarkStart w:id="58" w:name="_Toc221535791"/>
      <w:r w:rsidRPr="00EB5334">
        <w:t>Zgodność projektu z dokumentami strategicznymi i programowymi</w:t>
      </w:r>
      <w:bookmarkEnd w:id="58"/>
      <w:r>
        <w:t xml:space="preserve"> </w:t>
      </w:r>
    </w:p>
    <w:p w14:paraId="379D5264" w14:textId="60E83B71" w:rsidR="00EB5334" w:rsidRDefault="00EB5334" w:rsidP="00555A4E">
      <w:pPr>
        <w:pStyle w:val="Nagwek2"/>
        <w:numPr>
          <w:ilvl w:val="1"/>
          <w:numId w:val="64"/>
        </w:numPr>
      </w:pPr>
      <w:bookmarkStart w:id="59" w:name="_Toc221535792"/>
      <w:r w:rsidRPr="00EB5334">
        <w:t>Karta Praw Podstawowych Unii Europejskiej (KPP)</w:t>
      </w:r>
      <w:bookmarkEnd w:id="59"/>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 xml:space="preserve">omiędzy zapisami projektu a wymogami tego dokumentu lub stwierdzenie, że te wymagania są neutralne wobec zakresu i zawartości projektu. Ocena zgodności projektu z KPP odbywa się na podstawie Wytycznych Komisji Europejskiej dotyczących </w:t>
      </w:r>
      <w:r w:rsidRPr="00B41C7E">
        <w:rPr>
          <w:rFonts w:eastAsia="Calibri"/>
          <w:szCs w:val="24"/>
        </w:rPr>
        <w:lastRenderedPageBreak/>
        <w:t>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(bio)etycznych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EB5334">
      <w:pPr>
        <w:pStyle w:val="Akapitzlist"/>
        <w:numPr>
          <w:ilvl w:val="2"/>
          <w:numId w:val="11"/>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myśli, sumienia i religii?,</w:t>
      </w:r>
    </w:p>
    <w:p w14:paraId="71015076" w14:textId="77777777" w:rsidR="00EB5334" w:rsidRPr="00B41C7E" w:rsidRDefault="00EB5334" w:rsidP="00EB5334">
      <w:pPr>
        <w:pStyle w:val="Akapitzlist"/>
        <w:numPr>
          <w:ilvl w:val="2"/>
          <w:numId w:val="11"/>
        </w:numPr>
        <w:spacing w:after="200"/>
        <w:ind w:left="709" w:hanging="322"/>
        <w:rPr>
          <w:szCs w:val="24"/>
        </w:rPr>
      </w:pPr>
      <w:r w:rsidRPr="00B41C7E">
        <w:rPr>
          <w:szCs w:val="24"/>
        </w:rPr>
        <w:t>wolność wypowiedzi i informacji?,</w:t>
      </w:r>
    </w:p>
    <w:p w14:paraId="5A78C224" w14:textId="77777777" w:rsidR="00EB5334" w:rsidRPr="00B41C7E" w:rsidRDefault="00EB5334" w:rsidP="00EB5334">
      <w:pPr>
        <w:pStyle w:val="Akapitzlist"/>
        <w:numPr>
          <w:ilvl w:val="2"/>
          <w:numId w:val="11"/>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EB5334">
      <w:pPr>
        <w:pStyle w:val="Akapitzlist"/>
        <w:numPr>
          <w:ilvl w:val="2"/>
          <w:numId w:val="11"/>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w:t>
      </w:r>
      <w:r w:rsidRPr="00B41C7E">
        <w:rPr>
          <w:rFonts w:eastAsia="Calibri"/>
          <w:szCs w:val="24"/>
        </w:rPr>
        <w:lastRenderedPageBreak/>
        <w:t>osób prywatnych do państw, w których istnieje poważne ryzyko, że te osoby mogą być poddane karze śmierci, torturom lub poniżającemu traktowaniu?</w:t>
      </w:r>
    </w:p>
    <w:p w14:paraId="3CCB0886" w14:textId="77777777"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428EF6EB"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77777777"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w:t>
      </w:r>
      <w:r w:rsidRPr="00B41C7E">
        <w:rPr>
          <w:rFonts w:eastAsia="Calibri"/>
          <w:szCs w:val="24"/>
        </w:rPr>
        <w:lastRenderedPageBreak/>
        <w:t>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77777777"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555A4E">
      <w:pPr>
        <w:pStyle w:val="Nagwek2"/>
        <w:numPr>
          <w:ilvl w:val="1"/>
          <w:numId w:val="64"/>
        </w:numPr>
      </w:pPr>
      <w:bookmarkStart w:id="60" w:name="_Toc221535793"/>
      <w:r w:rsidRPr="00EB5334">
        <w:t>Konwencja o Prawach Osób Niepełnosprawnych (KPON)</w:t>
      </w:r>
      <w:bookmarkEnd w:id="60"/>
      <w:r>
        <w:t xml:space="preserve"> </w:t>
      </w:r>
    </w:p>
    <w:p w14:paraId="1CC48D7A" w14:textId="2CCC04B5" w:rsidR="00C271C6" w:rsidRPr="00B41C7E" w:rsidRDefault="00C271C6" w:rsidP="00555A4E">
      <w:pPr>
        <w:rPr>
          <w:szCs w:val="24"/>
        </w:rPr>
      </w:pPr>
      <w:bookmarkStart w:id="61" w:name="_Toc131499758"/>
      <w:bookmarkStart w:id="62" w:name="_Toc131499863"/>
      <w:bookmarkStart w:id="63" w:name="_Toc131499923"/>
      <w:bookmarkStart w:id="64" w:name="_Toc131500154"/>
      <w:bookmarkStart w:id="65" w:name="_Toc131501818"/>
      <w:bookmarkStart w:id="66" w:name="_Toc131499759"/>
      <w:bookmarkStart w:id="67" w:name="_Toc131499864"/>
      <w:bookmarkStart w:id="68" w:name="_Toc131499924"/>
      <w:bookmarkStart w:id="69" w:name="_Toc131500155"/>
      <w:bookmarkStart w:id="70" w:name="_Toc131501819"/>
      <w:bookmarkEnd w:id="61"/>
      <w:bookmarkEnd w:id="62"/>
      <w:bookmarkEnd w:id="63"/>
      <w:bookmarkEnd w:id="64"/>
      <w:bookmarkEnd w:id="65"/>
      <w:bookmarkEnd w:id="66"/>
      <w:bookmarkEnd w:id="67"/>
      <w:bookmarkEnd w:id="68"/>
      <w:bookmarkEnd w:id="69"/>
      <w:bookmarkEnd w:id="70"/>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442A03DC" w:rsidR="006C5804" w:rsidRDefault="005157BB" w:rsidP="00555A4E">
      <w:pPr>
        <w:pStyle w:val="Nagwek1"/>
        <w:numPr>
          <w:ilvl w:val="0"/>
          <w:numId w:val="64"/>
        </w:numPr>
      </w:pPr>
      <w:bookmarkStart w:id="71" w:name="_Toc221535794"/>
      <w:r w:rsidRPr="00071ACC">
        <w:t xml:space="preserve">Zgodność projektu z kryteriami </w:t>
      </w:r>
      <w:r w:rsidRPr="00B41C7E">
        <w:t>oceny</w:t>
      </w:r>
      <w:bookmarkEnd w:id="71"/>
      <w:r w:rsidR="00FF306D" w:rsidRPr="00071ACC">
        <w:t xml:space="preserve"> </w:t>
      </w:r>
    </w:p>
    <w:p w14:paraId="4F11B4FD" w14:textId="77777777" w:rsidR="006C5804" w:rsidRDefault="006C5804" w:rsidP="006C5804">
      <w:pPr>
        <w:pStyle w:val="Nagwek2"/>
        <w:numPr>
          <w:ilvl w:val="1"/>
          <w:numId w:val="64"/>
        </w:numPr>
      </w:pPr>
      <w:bookmarkStart w:id="72" w:name="_Toc221535795"/>
      <w:r w:rsidRPr="00EB5334">
        <w:t>Standardy dostępności cyfrowej WCAG 2.1</w:t>
      </w:r>
      <w:bookmarkEnd w:id="72"/>
      <w:r>
        <w:t xml:space="preserve"> </w:t>
      </w:r>
    </w:p>
    <w:p w14:paraId="75593143" w14:textId="77777777" w:rsidR="006C5804" w:rsidRPr="00297C77" w:rsidRDefault="006C5804" w:rsidP="006C5804">
      <w:pPr>
        <w:rPr>
          <w:szCs w:val="24"/>
        </w:rPr>
      </w:pPr>
      <w:r w:rsidRPr="00297C77">
        <w:rPr>
          <w:rFonts w:eastAsiaTheme="majorEastAsia" w:cstheme="majorBidi"/>
          <w:szCs w:val="24"/>
        </w:rPr>
        <w:t>Wnioskodawca powinien udowodnić, że zapewnia równy dostęp do produktów i rezultatów projektu poprzez uwzględnienie zasady uniwersalnego projektowania i stosowania w produktach projektu standardu dostępności cyfrowej WCAG 2.1. na poziomie AA. Treści sektora publicznego udostępniane muszą być zgodnie z dyrektywami (UE) 2019/882 w sprawie wymogów dostępności produktów i usług i (UE) 2016/2102 w sprawie dostępności stron internetowych i mobilnych aplikacji organów sektora publicznego.</w:t>
      </w:r>
    </w:p>
    <w:p w14:paraId="79C3D1FF" w14:textId="77777777" w:rsidR="006C5804" w:rsidRDefault="006C5804" w:rsidP="006C5804">
      <w:pPr>
        <w:pStyle w:val="Nagwek2"/>
        <w:numPr>
          <w:ilvl w:val="1"/>
          <w:numId w:val="64"/>
        </w:numPr>
      </w:pPr>
      <w:bookmarkStart w:id="73" w:name="_Toc221535796"/>
      <w:r w:rsidRPr="00EB5334">
        <w:t>Projekt nie dubluje funkcji innych projektów</w:t>
      </w:r>
      <w:bookmarkEnd w:id="73"/>
      <w:r>
        <w:t xml:space="preserve"> </w:t>
      </w:r>
    </w:p>
    <w:p w14:paraId="685C0AD0" w14:textId="77777777" w:rsidR="006C5804" w:rsidRPr="00B41C7E" w:rsidRDefault="006C5804" w:rsidP="006C5804">
      <w:pPr>
        <w:rPr>
          <w:szCs w:val="24"/>
        </w:rPr>
      </w:pPr>
      <w:r w:rsidRPr="003D7C5E">
        <w:rPr>
          <w:szCs w:val="24"/>
        </w:rPr>
        <w:t>Na</w:t>
      </w:r>
      <w:r w:rsidRPr="00B41C7E">
        <w:rPr>
          <w:szCs w:val="24"/>
        </w:rPr>
        <w:t xml:space="preserve">leży wykazać, że, projekt nie dubluje funkcji innych projektów, realizowanych z poziomu centralnego i regionalnego. </w:t>
      </w:r>
    </w:p>
    <w:p w14:paraId="2E17AC0C" w14:textId="77777777" w:rsidR="006C5804" w:rsidRPr="00B41C7E" w:rsidRDefault="006C5804" w:rsidP="006C5804">
      <w:pPr>
        <w:rPr>
          <w:szCs w:val="24"/>
        </w:rPr>
      </w:pPr>
      <w:r w:rsidRPr="00B41C7E">
        <w:rPr>
          <w:szCs w:val="24"/>
        </w:rPr>
        <w:t>Wnioskodawca powinien wykazać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14:paraId="5D302412" w14:textId="77777777" w:rsidR="006C5804" w:rsidRPr="00B41C7E" w:rsidRDefault="006C5804" w:rsidP="006C5804">
      <w:pPr>
        <w:rPr>
          <w:szCs w:val="24"/>
        </w:rPr>
      </w:pPr>
      <w:r w:rsidRPr="00B41C7E">
        <w:rPr>
          <w:szCs w:val="24"/>
        </w:rPr>
        <w:t>Istotą jest wykazanie, że:</w:t>
      </w:r>
    </w:p>
    <w:p w14:paraId="1AE4ACF8" w14:textId="77777777" w:rsidR="006C5804" w:rsidRPr="00B41C7E" w:rsidRDefault="006C5804" w:rsidP="006C5804">
      <w:pPr>
        <w:pStyle w:val="Akapitzlist"/>
        <w:numPr>
          <w:ilvl w:val="0"/>
          <w:numId w:val="32"/>
        </w:numPr>
        <w:rPr>
          <w:szCs w:val="24"/>
        </w:rPr>
      </w:pPr>
      <w:r w:rsidRPr="00B41C7E">
        <w:rPr>
          <w:szCs w:val="24"/>
        </w:rPr>
        <w:lastRenderedPageBreak/>
        <w:t xml:space="preserve">projekt zostanie bez przeszkód zrealizowany, </w:t>
      </w:r>
      <w:r>
        <w:rPr>
          <w:szCs w:val="24"/>
        </w:rPr>
        <w:t>to znaczy</w:t>
      </w:r>
      <w:r w:rsidRPr="00B41C7E">
        <w:rPr>
          <w:szCs w:val="24"/>
        </w:rPr>
        <w:t xml:space="preserve"> ryzyka wynikające z zależności pomiędzy projektami zostały właściwie rozpoznane i zostały zaplanowane właściwe działania minimalizujące ich wpływ,</w:t>
      </w:r>
    </w:p>
    <w:p w14:paraId="51CC652F" w14:textId="77777777" w:rsidR="006C5804" w:rsidRPr="00B41C7E" w:rsidRDefault="006C5804" w:rsidP="006C5804">
      <w:pPr>
        <w:pStyle w:val="Akapitzlist"/>
        <w:numPr>
          <w:ilvl w:val="0"/>
          <w:numId w:val="32"/>
        </w:numPr>
        <w:rPr>
          <w:szCs w:val="24"/>
        </w:rPr>
      </w:pPr>
      <w:r w:rsidRPr="00B41C7E">
        <w:rPr>
          <w:szCs w:val="24"/>
        </w:rPr>
        <w:t>produkty projektu nie dublują tych, które są eksploatowane lub tworzone w innych projektach realizowanych lub zrealizowanych przez wnioskodawcę lub inne podmioty,</w:t>
      </w:r>
    </w:p>
    <w:p w14:paraId="295293AB" w14:textId="08075CA5" w:rsidR="006C5804" w:rsidRPr="00B41C7E" w:rsidRDefault="006C5804" w:rsidP="006C5804">
      <w:pPr>
        <w:pStyle w:val="Akapitzlist"/>
        <w:numPr>
          <w:ilvl w:val="0"/>
          <w:numId w:val="32"/>
        </w:numPr>
        <w:rPr>
          <w:szCs w:val="24"/>
        </w:rPr>
      </w:pPr>
      <w:r w:rsidRPr="00B41C7E">
        <w:rPr>
          <w:szCs w:val="24"/>
        </w:rPr>
        <w:t xml:space="preserve">produkty projektów finansowanych z funduszy europejskich w latach 2014-2020, niezbędne do realizacji produktów planowanych w projektach zgłaszanych do </w:t>
      </w:r>
      <w:r w:rsidR="001D758F" w:rsidRPr="00DF798E">
        <w:rPr>
          <w:rFonts w:cstheme="minorHAnsi"/>
          <w:szCs w:val="24"/>
        </w:rPr>
        <w:t>Program</w:t>
      </w:r>
      <w:r w:rsidR="001D758F">
        <w:rPr>
          <w:rFonts w:cstheme="minorHAnsi"/>
          <w:szCs w:val="24"/>
        </w:rPr>
        <w:t>u</w:t>
      </w:r>
      <w:r w:rsidR="001D758F" w:rsidRPr="00DF798E">
        <w:rPr>
          <w:rFonts w:cstheme="minorHAnsi"/>
          <w:szCs w:val="24"/>
        </w:rPr>
        <w:t xml:space="preserve"> Fundusze Europejskie dla Wielkopolski 2021-2027</w:t>
      </w:r>
      <w:r w:rsidRPr="003D7C5E">
        <w:rPr>
          <w:szCs w:val="24"/>
        </w:rPr>
        <w:t xml:space="preserve"> są gotowe (</w:t>
      </w:r>
      <w:r>
        <w:rPr>
          <w:szCs w:val="24"/>
        </w:rPr>
        <w:t>to jest</w:t>
      </w:r>
      <w:r w:rsidRPr="003D7C5E">
        <w:rPr>
          <w:szCs w:val="24"/>
        </w:rPr>
        <w:t xml:space="preserve"> dokonano ich odbior</w:t>
      </w:r>
      <w:r w:rsidRPr="00B41C7E">
        <w:rPr>
          <w:szCs w:val="24"/>
        </w:rPr>
        <w:t>u oraz uruchomiono wszystkie związane z nimi usługi i funkcjonalności, niezbę</w:t>
      </w:r>
      <w:r w:rsidR="00BB27C7">
        <w:rPr>
          <w:szCs w:val="24"/>
        </w:rPr>
        <w:t>dne dla wdrożenia nowych usług).</w:t>
      </w:r>
    </w:p>
    <w:p w14:paraId="5FF7C78F" w14:textId="77777777" w:rsidR="006C5804" w:rsidRDefault="006C5804" w:rsidP="006C5804">
      <w:pPr>
        <w:pStyle w:val="Nagwek2"/>
        <w:numPr>
          <w:ilvl w:val="1"/>
          <w:numId w:val="64"/>
        </w:numPr>
      </w:pPr>
      <w:bookmarkStart w:id="74" w:name="_Toc221535797"/>
      <w:r w:rsidRPr="007A6B1D">
        <w:t>Projekt jest zorientowany usługowo</w:t>
      </w:r>
      <w:bookmarkEnd w:id="74"/>
      <w:r>
        <w:t xml:space="preserve"> </w:t>
      </w:r>
    </w:p>
    <w:p w14:paraId="3FAF9AE1" w14:textId="77777777" w:rsidR="006C5804" w:rsidRPr="00B41C7E" w:rsidRDefault="006C5804" w:rsidP="006C5804">
      <w:pPr>
        <w:rPr>
          <w:rFonts w:cs="Arial"/>
          <w:color w:val="000000"/>
          <w:szCs w:val="24"/>
        </w:rPr>
      </w:pPr>
      <w:r w:rsidRPr="003D7C5E">
        <w:rPr>
          <w:rFonts w:cs="Arial"/>
          <w:color w:val="000000"/>
          <w:szCs w:val="24"/>
        </w:rPr>
        <w:t>W</w:t>
      </w:r>
      <w:r w:rsidRPr="00B41C7E">
        <w:rPr>
          <w:rFonts w:cs="Arial"/>
          <w:color w:val="000000"/>
          <w:szCs w:val="24"/>
        </w:rPr>
        <w:t xml:space="preserve">nioskodawca powinien jasno zdefiniować usługi objęte projektem oraz wskazać ich obecny i docelowy poziom e-dojrzałości. Dla e-usług rozwijanych, które już istnieją w formie elektronicznej, należy również wskazać planowane nowe funkcjonalności, </w:t>
      </w:r>
      <w:r>
        <w:rPr>
          <w:rFonts w:cs="Arial"/>
          <w:color w:val="000000"/>
          <w:szCs w:val="24"/>
        </w:rPr>
        <w:t>to jest</w:t>
      </w:r>
      <w:r w:rsidRPr="003D7C5E">
        <w:rPr>
          <w:rFonts w:cs="Arial"/>
          <w:color w:val="000000"/>
          <w:szCs w:val="24"/>
        </w:rPr>
        <w:t xml:space="preserve"> szczególne cechy lub elementy danej usługi.</w:t>
      </w:r>
    </w:p>
    <w:p w14:paraId="4ED59316" w14:textId="77777777" w:rsidR="006C5804" w:rsidRPr="00B41C7E" w:rsidRDefault="006C5804" w:rsidP="006C5804">
      <w:pPr>
        <w:rPr>
          <w:szCs w:val="24"/>
        </w:rPr>
      </w:pPr>
      <w:r w:rsidRPr="00B41C7E">
        <w:rPr>
          <w:szCs w:val="24"/>
        </w:rPr>
        <w:t xml:space="preserve">Przedstawiając uzasadnienie należy mieć na uwadze, że elektroniczna usługa publiczna to działanie podejmowane przez podmiot publiczny, polegające na umożliwieniu usługobiorcy realizacji obowiązku lub uprawnienia określonego przepisem prawa, realizowane z udziałem usługobiorcy za pomocą środków komunikacji elektronicznej na odległość, </w:t>
      </w:r>
      <w:r>
        <w:rPr>
          <w:szCs w:val="24"/>
        </w:rPr>
        <w:t>to znaczy</w:t>
      </w:r>
      <w:r w:rsidRPr="00B41C7E">
        <w:rPr>
          <w:szCs w:val="24"/>
        </w:rPr>
        <w:t xml:space="preserve"> bez jednoczesnej obecności stron.</w:t>
      </w:r>
    </w:p>
    <w:p w14:paraId="72789BAA" w14:textId="77777777" w:rsidR="006C5804" w:rsidRPr="00B41C7E" w:rsidRDefault="006C5804" w:rsidP="006C5804">
      <w:pPr>
        <w:rPr>
          <w:szCs w:val="24"/>
        </w:rPr>
      </w:pPr>
      <w:r w:rsidRPr="00B41C7E">
        <w:rPr>
          <w:szCs w:val="24"/>
        </w:rPr>
        <w:t>Poziom dojrzałości e-usług określają następujące definicje:</w:t>
      </w:r>
    </w:p>
    <w:p w14:paraId="17F8BF72" w14:textId="72C9E680" w:rsidR="006C5804" w:rsidRPr="00B41C7E" w:rsidRDefault="006C5804" w:rsidP="006C5804">
      <w:pPr>
        <w:rPr>
          <w:szCs w:val="24"/>
        </w:rPr>
      </w:pPr>
      <w:r w:rsidRPr="00B41C7E">
        <w:rPr>
          <w:szCs w:val="24"/>
        </w:rPr>
        <w:t>Poziom 4 e-usług: transakcja – ten poziom dojrzałości zakłada, że całość usługi realizowana jest w postaci elektro</w:t>
      </w:r>
      <w:r w:rsidR="00375605">
        <w:rPr>
          <w:szCs w:val="24"/>
        </w:rPr>
        <w:t xml:space="preserve">nicznej, w szczególności zaś: </w:t>
      </w:r>
      <w:r w:rsidRPr="00B41C7E">
        <w:rPr>
          <w:szCs w:val="24"/>
        </w:rPr>
        <w:t>dostarczenie wszystkich dokumentów i doręc</w:t>
      </w:r>
      <w:r w:rsidR="00375605">
        <w:rPr>
          <w:szCs w:val="24"/>
        </w:rPr>
        <w:t xml:space="preserve">zeń w postaci elektronicznej, </w:t>
      </w:r>
      <w:r w:rsidRPr="00B41C7E">
        <w:rPr>
          <w:szCs w:val="24"/>
        </w:rPr>
        <w:t xml:space="preserve">brak czynności, które obywatel lub przedsiębiorca musiałby </w:t>
      </w:r>
      <w:r w:rsidR="00375605">
        <w:rPr>
          <w:szCs w:val="24"/>
        </w:rPr>
        <w:t xml:space="preserve">wykonać w postaci papierowej, </w:t>
      </w:r>
      <w:r w:rsidRPr="00B41C7E">
        <w:rPr>
          <w:szCs w:val="24"/>
        </w:rPr>
        <w:t>w przypadku wymagania dokonania płatności – możliwość dokonania tej płatności w postaci elektronicznej.</w:t>
      </w:r>
    </w:p>
    <w:p w14:paraId="3CD54777" w14:textId="77777777" w:rsidR="006C5804" w:rsidRPr="00B41C7E" w:rsidRDefault="006C5804" w:rsidP="006C5804">
      <w:pPr>
        <w:rPr>
          <w:szCs w:val="24"/>
        </w:rPr>
      </w:pPr>
      <w:r w:rsidRPr="00B41C7E">
        <w:rPr>
          <w:szCs w:val="24"/>
        </w:rPr>
        <w:t>Poziom 5 to najwyższy poziom dojrzałości elektronicznej usługi publicznej, który zakłada, że:</w:t>
      </w:r>
    </w:p>
    <w:p w14:paraId="5D236BE8" w14:textId="77777777" w:rsidR="006C5804" w:rsidRPr="00B41C7E" w:rsidRDefault="006C5804" w:rsidP="006C5804">
      <w:pPr>
        <w:pStyle w:val="Akapitzlist"/>
        <w:numPr>
          <w:ilvl w:val="0"/>
          <w:numId w:val="56"/>
        </w:numPr>
        <w:rPr>
          <w:szCs w:val="24"/>
        </w:rPr>
      </w:pPr>
      <w:r w:rsidRPr="00B41C7E">
        <w:rPr>
          <w:szCs w:val="24"/>
        </w:rPr>
        <w:t>formularze wniosków w postaci elektronicznej będą wstępnie wypełniane będącymi w posiadaniu podmiotu świadczącego usługę danymi obywatela lub przedsiębiorcy (</w:t>
      </w:r>
      <w:r>
        <w:rPr>
          <w:szCs w:val="24"/>
        </w:rPr>
        <w:t>na przykład:</w:t>
      </w:r>
      <w:r w:rsidRPr="00B41C7E">
        <w:rPr>
          <w:szCs w:val="24"/>
        </w:rPr>
        <w:t xml:space="preserve"> imię i nazwisko, dane adresowe, numer PESEL, REGON </w:t>
      </w:r>
      <w:r>
        <w:rPr>
          <w:szCs w:val="24"/>
        </w:rPr>
        <w:t>i tym podobne</w:t>
      </w:r>
      <w:r w:rsidRPr="00B41C7E">
        <w:rPr>
          <w:szCs w:val="24"/>
        </w:rPr>
        <w:t>),</w:t>
      </w:r>
    </w:p>
    <w:p w14:paraId="32EF8EA8" w14:textId="77777777" w:rsidR="006C5804" w:rsidRPr="00B41C7E" w:rsidRDefault="006C5804" w:rsidP="006C5804">
      <w:pPr>
        <w:pStyle w:val="Akapitzlist"/>
        <w:numPr>
          <w:ilvl w:val="0"/>
          <w:numId w:val="56"/>
        </w:numPr>
        <w:rPr>
          <w:szCs w:val="24"/>
        </w:rPr>
      </w:pPr>
      <w:r w:rsidRPr="00B41C7E">
        <w:rPr>
          <w:szCs w:val="24"/>
        </w:rPr>
        <w:t>w przypadku usług, w których nie ma konieczności składania wniosku, urząd automatycznie załatwia sprawę (realizuje usługę) w zakresie odpowiednim do sytuacji życiowej usługobiorcy,</w:t>
      </w:r>
    </w:p>
    <w:p w14:paraId="2B4081AC" w14:textId="77777777" w:rsidR="006C5804" w:rsidRPr="00B41C7E" w:rsidRDefault="006C5804" w:rsidP="006C5804">
      <w:pPr>
        <w:pStyle w:val="Akapitzlist"/>
        <w:numPr>
          <w:ilvl w:val="0"/>
          <w:numId w:val="56"/>
        </w:numPr>
        <w:rPr>
          <w:szCs w:val="24"/>
        </w:rPr>
      </w:pPr>
      <w:r w:rsidRPr="00B41C7E">
        <w:rPr>
          <w:szCs w:val="24"/>
        </w:rPr>
        <w:t xml:space="preserve">w przypadku, gdy w procedurze istnieje konieczność dokonania płatności, usługodawca zapewni przekierowanie usługobiorcy do właściwego pośrednika dla dokonania płatności (operacja przekierowania musi zapewnić zachowanie kontekstu zdarzenia, </w:t>
      </w:r>
      <w:r>
        <w:rPr>
          <w:szCs w:val="24"/>
        </w:rPr>
        <w:t>to znaczy</w:t>
      </w:r>
      <w:r w:rsidRPr="00B41C7E">
        <w:rPr>
          <w:szCs w:val="24"/>
        </w:rPr>
        <w:t xml:space="preserve"> wszystkie pola niezbędne do zdefiniowania i wykonania płatności, </w:t>
      </w:r>
      <w:r>
        <w:rPr>
          <w:szCs w:val="24"/>
        </w:rPr>
        <w:t>na przykład:</w:t>
      </w:r>
      <w:r w:rsidRPr="00B41C7E">
        <w:rPr>
          <w:szCs w:val="24"/>
        </w:rPr>
        <w:t xml:space="preserve"> przelewu, są wypełniane automatycznie przez system usługodawcy).</w:t>
      </w:r>
    </w:p>
    <w:p w14:paraId="64BB77A0" w14:textId="77777777" w:rsidR="006C5804" w:rsidRPr="00B41C7E" w:rsidRDefault="006C5804" w:rsidP="006C5804">
      <w:pPr>
        <w:rPr>
          <w:szCs w:val="24"/>
        </w:rPr>
      </w:pPr>
      <w:r w:rsidRPr="00B41C7E">
        <w:rPr>
          <w:szCs w:val="24"/>
        </w:rPr>
        <w:lastRenderedPageBreak/>
        <w:t xml:space="preserve">W celu wykazania określonego poziomu dojrzałości elektronicznej usługi publicznej, wszystkie jej funkcjonalności powinny być definiowane  w sposób jak najbardziej szczegółowy. </w:t>
      </w:r>
    </w:p>
    <w:p w14:paraId="06E934A8" w14:textId="77777777" w:rsidR="006C5804" w:rsidRPr="00B41C7E" w:rsidRDefault="006C5804" w:rsidP="006C5804">
      <w:pPr>
        <w:rPr>
          <w:szCs w:val="24"/>
        </w:rPr>
      </w:pPr>
      <w:r w:rsidRPr="00B41C7E">
        <w:rPr>
          <w:szCs w:val="24"/>
        </w:rPr>
        <w:t>Wszystkie e- usługi w projekcie powinny być przedstawiane z punktu widzenia usługobiorcy (nie usługodawcy) – jako konkretne sprawy, które można załatwić. Pobranie informacji publicznej nie może być wykazywane jako e-usługa.</w:t>
      </w:r>
    </w:p>
    <w:p w14:paraId="3B95CA5A" w14:textId="77777777" w:rsidR="006C5804" w:rsidRDefault="006C5804" w:rsidP="006C5804">
      <w:pPr>
        <w:pStyle w:val="Nagwek2"/>
        <w:numPr>
          <w:ilvl w:val="1"/>
          <w:numId w:val="64"/>
        </w:numPr>
      </w:pPr>
      <w:bookmarkStart w:id="75" w:name="_Toc221535798"/>
      <w:r w:rsidRPr="007A6B1D">
        <w:t>Projekt, a założenia Architektury Informacyjnej Państwa (AIP)</w:t>
      </w:r>
      <w:bookmarkEnd w:id="75"/>
      <w:r>
        <w:t xml:space="preserve"> </w:t>
      </w:r>
    </w:p>
    <w:p w14:paraId="7C80B6CF" w14:textId="77777777" w:rsidR="006C5804" w:rsidRPr="00B41C7E" w:rsidRDefault="006C5804" w:rsidP="006C5804">
      <w:pPr>
        <w:autoSpaceDE w:val="0"/>
        <w:autoSpaceDN w:val="0"/>
        <w:adjustRightInd w:val="0"/>
        <w:rPr>
          <w:rFonts w:cs="Arial"/>
          <w:bCs/>
          <w:color w:val="000000"/>
          <w:szCs w:val="24"/>
        </w:rPr>
      </w:pPr>
      <w:r w:rsidRPr="003D7C5E">
        <w:rPr>
          <w:rFonts w:cs="Arial"/>
          <w:bCs/>
          <w:color w:val="000000"/>
          <w:szCs w:val="24"/>
        </w:rPr>
        <w:t xml:space="preserve">Wnioskodawca powinien wykazać, że projekt z zakresu rozwoju e-usług (w tym digitalizacji zasobów publicznych oraz cyberbezpieczeństwa) </w:t>
      </w:r>
      <w:r w:rsidRPr="00B41C7E">
        <w:rPr>
          <w:rFonts w:cs="Arial"/>
          <w:bCs/>
          <w:color w:val="000000"/>
          <w:szCs w:val="24"/>
        </w:rPr>
        <w:t>jest realizowany przy zapewnieniu jego komplementarności z poziomem krajowym. Rozwiązania wdrażane w ramach projektu będą realizowały założenia Architektury Informacyjnej Państwa. Przedstawiając uzasadnienie Wnioskodawca powinien odnieść się do zakresu wskazanych poniżej pryncypiów architektonicznych (Pryncypiów AIP),</w:t>
      </w:r>
      <w:r w:rsidRPr="00B41C7E">
        <w:rPr>
          <w:rFonts w:cs="Arial"/>
          <w:b/>
          <w:bCs/>
          <w:color w:val="000000"/>
          <w:szCs w:val="24"/>
        </w:rPr>
        <w:t xml:space="preserve"> </w:t>
      </w:r>
      <w:r w:rsidRPr="00B41C7E">
        <w:rPr>
          <w:rFonts w:cs="Arial"/>
          <w:bCs/>
          <w:color w:val="000000"/>
          <w:szCs w:val="24"/>
        </w:rPr>
        <w:t xml:space="preserve">rozumianych jako </w:t>
      </w:r>
      <w:r w:rsidRPr="00B41C7E">
        <w:rPr>
          <w:rFonts w:cs="Arial"/>
          <w:color w:val="000000"/>
          <w:szCs w:val="24"/>
        </w:rPr>
        <w:t>podstawowe i trwałe zasady tworzenia oraz rozwoju systemów informacyjnych państwa (w tym: systemów teleinformatycznych i rejestrów publicznych)</w:t>
      </w:r>
      <w:r w:rsidRPr="00B41C7E">
        <w:rPr>
          <w:rFonts w:cs="Arial"/>
          <w:b/>
          <w:bCs/>
          <w:color w:val="000000"/>
          <w:szCs w:val="24"/>
        </w:rPr>
        <w:t xml:space="preserve">: </w:t>
      </w:r>
    </w:p>
    <w:p w14:paraId="70F2146A" w14:textId="77777777" w:rsidR="006C5804" w:rsidRPr="00B41C7E" w:rsidRDefault="006C5804" w:rsidP="006C5804">
      <w:pPr>
        <w:pStyle w:val="Akapitzlist"/>
        <w:numPr>
          <w:ilvl w:val="0"/>
          <w:numId w:val="36"/>
        </w:numPr>
        <w:rPr>
          <w:szCs w:val="24"/>
        </w:rPr>
      </w:pPr>
      <w:r w:rsidRPr="00B41C7E">
        <w:rPr>
          <w:b/>
          <w:bCs/>
          <w:szCs w:val="24"/>
        </w:rPr>
        <w:t xml:space="preserve">Pomocniczość i proporcjonalność </w:t>
      </w:r>
      <w:r w:rsidRPr="00B41C7E">
        <w:rPr>
          <w:szCs w:val="24"/>
        </w:rPr>
        <w:t xml:space="preserve">(wszelkie działania informatyzacyjne powinny być podejmowane przez organy na jak najniższym szczeblu). </w:t>
      </w:r>
    </w:p>
    <w:p w14:paraId="12061208" w14:textId="77777777" w:rsidR="006C5804" w:rsidRPr="00B41C7E" w:rsidRDefault="006C5804" w:rsidP="006C5804">
      <w:pPr>
        <w:pStyle w:val="Akapitzlist"/>
        <w:numPr>
          <w:ilvl w:val="0"/>
          <w:numId w:val="36"/>
        </w:numPr>
        <w:rPr>
          <w:szCs w:val="24"/>
        </w:rPr>
      </w:pPr>
      <w:r w:rsidRPr="00B41C7E">
        <w:rPr>
          <w:b/>
          <w:bCs/>
          <w:szCs w:val="24"/>
        </w:rPr>
        <w:t xml:space="preserve">Otwartość </w:t>
      </w:r>
      <w:r w:rsidRPr="00B41C7E">
        <w:rPr>
          <w:szCs w:val="24"/>
        </w:rPr>
        <w:t xml:space="preserve">(rozwiązania teleinformatyczne administracji publicznej muszą być w najszerszym możliwym zakresie oparte na otwartych specyfikacjach i standardach, otwartych formatach danych na potrzeby ich wymiany, a w innych wypadkach na powszechnie uznanych dobrych praktykach branżowych). </w:t>
      </w:r>
    </w:p>
    <w:p w14:paraId="0DEE8990" w14:textId="77777777" w:rsidR="006C5804" w:rsidRPr="00B41C7E" w:rsidRDefault="006C5804" w:rsidP="006C5804">
      <w:pPr>
        <w:pStyle w:val="Akapitzlist"/>
        <w:numPr>
          <w:ilvl w:val="0"/>
          <w:numId w:val="36"/>
        </w:numPr>
        <w:rPr>
          <w:szCs w:val="24"/>
        </w:rPr>
      </w:pPr>
      <w:r w:rsidRPr="00B41C7E">
        <w:rPr>
          <w:b/>
          <w:bCs/>
          <w:szCs w:val="24"/>
        </w:rPr>
        <w:t xml:space="preserve">Przejrzystość </w:t>
      </w:r>
      <w:r w:rsidRPr="00B41C7E">
        <w:rPr>
          <w:szCs w:val="24"/>
        </w:rPr>
        <w:t xml:space="preserve">(rozwiązania e-administracji należy tworzyć w sposób zapewniający przejrzystość procesów i reguł administracyjnych, przepływu danych i podejmowanych decyzji). </w:t>
      </w:r>
    </w:p>
    <w:p w14:paraId="132005D3" w14:textId="77777777" w:rsidR="006C5804" w:rsidRPr="00B41C7E" w:rsidRDefault="006C5804" w:rsidP="006C5804">
      <w:pPr>
        <w:pStyle w:val="Akapitzlist"/>
        <w:numPr>
          <w:ilvl w:val="0"/>
          <w:numId w:val="36"/>
        </w:numPr>
        <w:rPr>
          <w:szCs w:val="24"/>
        </w:rPr>
      </w:pPr>
      <w:r w:rsidRPr="00B41C7E">
        <w:rPr>
          <w:b/>
          <w:bCs/>
          <w:szCs w:val="24"/>
        </w:rPr>
        <w:t xml:space="preserve">Ponowne wykorzystanie </w:t>
      </w:r>
      <w:r w:rsidRPr="00B41C7E">
        <w:rPr>
          <w:szCs w:val="24"/>
        </w:rPr>
        <w:t xml:space="preserve">(rozwiązania teleinformatyczne tworzone przez administrację publiczną powinny być projektowane z założeniem reużywalności danych, komponentów technicznych, dokumentacji, doświadczeń, standardów i modeli). </w:t>
      </w:r>
    </w:p>
    <w:p w14:paraId="4E8C1F15" w14:textId="77777777" w:rsidR="006C5804" w:rsidRPr="00B41C7E" w:rsidRDefault="006C5804" w:rsidP="006C5804">
      <w:pPr>
        <w:pStyle w:val="Akapitzlist"/>
        <w:numPr>
          <w:ilvl w:val="0"/>
          <w:numId w:val="36"/>
        </w:numPr>
        <w:rPr>
          <w:szCs w:val="24"/>
        </w:rPr>
      </w:pPr>
      <w:r w:rsidRPr="00B41C7E">
        <w:rPr>
          <w:b/>
          <w:bCs/>
          <w:szCs w:val="24"/>
        </w:rPr>
        <w:t xml:space="preserve">Neutralność technologiczna, przystosowalność i możliwość przenoszenia danych </w:t>
      </w:r>
      <w:r w:rsidRPr="00B41C7E">
        <w:rPr>
          <w:szCs w:val="24"/>
        </w:rPr>
        <w:t xml:space="preserve">(systemy teleinformatyczne należy projektować w sposób minimalizujący ryzyko zachowań monopolistycznych ze strony dostawców (vendor lock-in) oraz zapewniający zachowanie zasad pełnej konkurencyjności). </w:t>
      </w:r>
    </w:p>
    <w:p w14:paraId="709141A4" w14:textId="77777777" w:rsidR="006C5804" w:rsidRPr="00B41C7E" w:rsidRDefault="006C5804" w:rsidP="006C5804">
      <w:pPr>
        <w:pStyle w:val="Akapitzlist"/>
        <w:numPr>
          <w:ilvl w:val="0"/>
          <w:numId w:val="36"/>
        </w:numPr>
        <w:rPr>
          <w:szCs w:val="24"/>
        </w:rPr>
      </w:pPr>
      <w:r w:rsidRPr="00B41C7E">
        <w:rPr>
          <w:b/>
          <w:bCs/>
          <w:szCs w:val="24"/>
        </w:rPr>
        <w:t xml:space="preserve">Zorientowanie na potrzeby użytkownika </w:t>
      </w:r>
      <w:r w:rsidRPr="00B41C7E">
        <w:rPr>
          <w:szCs w:val="24"/>
        </w:rPr>
        <w:t xml:space="preserve">(pod pojęciem użytkownika usług administracji publicznej należy rozumieć zarówno obywateli (osoby fizyczne), przedsiębiorców, jak i inne organy administracji mających do nich dostęp i z nich korzystających. Potrzeby użytkownika są determinantą tego z jakich usług użyteczności publicznej może on korzystać, które będą mu oferowane i w jaki sposób). </w:t>
      </w:r>
    </w:p>
    <w:p w14:paraId="0F9028B1" w14:textId="77777777" w:rsidR="006C5804" w:rsidRPr="00B41C7E" w:rsidRDefault="006C5804" w:rsidP="006C5804">
      <w:pPr>
        <w:pStyle w:val="Akapitzlist"/>
        <w:numPr>
          <w:ilvl w:val="0"/>
          <w:numId w:val="36"/>
        </w:numPr>
        <w:rPr>
          <w:szCs w:val="24"/>
        </w:rPr>
      </w:pPr>
      <w:r w:rsidRPr="00B41C7E">
        <w:rPr>
          <w:b/>
          <w:bCs/>
          <w:szCs w:val="24"/>
        </w:rPr>
        <w:t xml:space="preserve">Włączenie i dostępność </w:t>
      </w:r>
      <w:r w:rsidRPr="00B41C7E">
        <w:rPr>
          <w:szCs w:val="24"/>
        </w:rPr>
        <w:t xml:space="preserve">(rozwiązania e-administracji muszą być w największym możliwym stopniu dostępne dla grup odbiorców których dotyczą. Włączenie - umożliwienie wszystkim użytkownikom pełnego korzystania z osiągnięć jakie niosą za sobą nowe technologie w zakresie dostępu do usług użyteczności publicznej, bez względu na różnego rodzaju </w:t>
      </w:r>
      <w:r w:rsidRPr="00B41C7E">
        <w:rPr>
          <w:szCs w:val="24"/>
        </w:rPr>
        <w:lastRenderedPageBreak/>
        <w:t xml:space="preserve">ograniczenia. Dostępność - zapewnia ludziom z wszelkiego rodzaju niepełnosprawnościami, osobom starszym możliwość korzystania z usług administracji publicznej, na takim poziomie na jakim korzystać mogą osoby zdrowe/ pozostałe). </w:t>
      </w:r>
    </w:p>
    <w:p w14:paraId="2875C85F" w14:textId="77777777" w:rsidR="006C5804" w:rsidRPr="00B41C7E" w:rsidRDefault="006C5804" w:rsidP="006C5804">
      <w:pPr>
        <w:pStyle w:val="Akapitzlist"/>
        <w:numPr>
          <w:ilvl w:val="0"/>
          <w:numId w:val="36"/>
        </w:numPr>
        <w:rPr>
          <w:szCs w:val="24"/>
        </w:rPr>
      </w:pPr>
      <w:r w:rsidRPr="00B41C7E">
        <w:rPr>
          <w:b/>
          <w:bCs/>
          <w:szCs w:val="24"/>
        </w:rPr>
        <w:t xml:space="preserve">Bezpieczeństwo i prywatność </w:t>
      </w:r>
      <w:r w:rsidRPr="00B41C7E">
        <w:rPr>
          <w:szCs w:val="24"/>
        </w:rPr>
        <w:t xml:space="preserve">(dobór technicznych i organizacyjnych środków bezpieczeństwa musi wynikać z obowiązujących przepisów prawa i wymagań biznesowych, w szczególności oczekiwanego poziomu niezawodności, integralności i poufności danych i systemów). </w:t>
      </w:r>
    </w:p>
    <w:p w14:paraId="4994B595" w14:textId="77777777" w:rsidR="006C5804" w:rsidRPr="00B41C7E" w:rsidRDefault="006C5804" w:rsidP="006C5804">
      <w:pPr>
        <w:pStyle w:val="Akapitzlist"/>
        <w:numPr>
          <w:ilvl w:val="0"/>
          <w:numId w:val="36"/>
        </w:numPr>
        <w:rPr>
          <w:szCs w:val="24"/>
        </w:rPr>
      </w:pPr>
      <w:r w:rsidRPr="00B41C7E">
        <w:rPr>
          <w:b/>
          <w:bCs/>
          <w:szCs w:val="24"/>
        </w:rPr>
        <w:t xml:space="preserve">Wielojęzyczność </w:t>
      </w:r>
      <w:r w:rsidRPr="00B41C7E">
        <w:rPr>
          <w:szCs w:val="24"/>
        </w:rPr>
        <w:t xml:space="preserve">(rozwiązania teleinformatyczne muszą przewidywać możliwość wielojęzycznej komunikacji z użytkownikiem i obywatelem. W związku ze swobodą przepływu osób, użytkownikami systemów e-administracji mogą być/są osoby obcojęzyczne). </w:t>
      </w:r>
    </w:p>
    <w:p w14:paraId="6907037F" w14:textId="77777777" w:rsidR="006C5804" w:rsidRPr="00B41C7E" w:rsidRDefault="006C5804" w:rsidP="006C5804">
      <w:pPr>
        <w:pStyle w:val="Akapitzlist"/>
        <w:numPr>
          <w:ilvl w:val="0"/>
          <w:numId w:val="36"/>
        </w:numPr>
        <w:rPr>
          <w:szCs w:val="24"/>
        </w:rPr>
      </w:pPr>
      <w:r w:rsidRPr="00B41C7E">
        <w:rPr>
          <w:b/>
          <w:bCs/>
          <w:szCs w:val="24"/>
        </w:rPr>
        <w:t xml:space="preserve">Uproszczenie administracyjne </w:t>
      </w:r>
      <w:r w:rsidRPr="00B41C7E">
        <w:rPr>
          <w:szCs w:val="24"/>
        </w:rPr>
        <w:t xml:space="preserve">(cyfryzacja jako narzędzie poprawy realizacji zadań państwa wobec obywateli musi koncentrować się na efektywności obsługi spraw z perspektywy obywatela. W miarę rozwoju możliwość technicznych należy eliminować zbędne i nadmiarowe procedury, dokumenty, a niektórych przypadkach również zmniejszać złożoność organizacyjną instytucji. Zarządzanie usługą musi opierać się o zdefiniowany cykl życia usługi z okresową weryfikacją potrzeby i wartości publicznej). </w:t>
      </w:r>
    </w:p>
    <w:p w14:paraId="4D1E0E54" w14:textId="77777777" w:rsidR="006C5804" w:rsidRPr="00B41C7E" w:rsidRDefault="006C5804" w:rsidP="006C5804">
      <w:pPr>
        <w:pStyle w:val="Akapitzlist"/>
        <w:numPr>
          <w:ilvl w:val="0"/>
          <w:numId w:val="36"/>
        </w:numPr>
        <w:rPr>
          <w:szCs w:val="24"/>
        </w:rPr>
      </w:pPr>
      <w:r w:rsidRPr="00B41C7E">
        <w:rPr>
          <w:b/>
          <w:bCs/>
          <w:szCs w:val="24"/>
        </w:rPr>
        <w:t xml:space="preserve">Ochrona informacji </w:t>
      </w:r>
      <w:r w:rsidRPr="00B41C7E">
        <w:rPr>
          <w:szCs w:val="24"/>
        </w:rPr>
        <w:t xml:space="preserve">(dobór technicznych i organizacyjnych środków bezpieczeństwa musi wynikać z wymagań biznesowych, w szczególności oczekiwanego poziomu ciągłości działania i niezaprzeczalności zapisów). </w:t>
      </w:r>
    </w:p>
    <w:p w14:paraId="15189BA3" w14:textId="77777777" w:rsidR="006C5804" w:rsidRDefault="006C5804" w:rsidP="006C5804">
      <w:pPr>
        <w:pStyle w:val="Akapitzlist"/>
        <w:numPr>
          <w:ilvl w:val="0"/>
          <w:numId w:val="36"/>
        </w:numPr>
        <w:rPr>
          <w:szCs w:val="24"/>
        </w:rPr>
      </w:pPr>
      <w:r w:rsidRPr="00B41C7E">
        <w:rPr>
          <w:b/>
          <w:bCs/>
          <w:szCs w:val="24"/>
        </w:rPr>
        <w:t xml:space="preserve">Skuteczność, wydajność i optymalność </w:t>
      </w:r>
      <w:r w:rsidRPr="00B41C7E">
        <w:rPr>
          <w:szCs w:val="24"/>
        </w:rPr>
        <w:t>(tworzone rozwiązania techniczne administracji publicznej muszą służyć podnoszeniu efektywności administracji jako całości i zapewniać racjonalne wydatkowanie pieniędzy publicznych. W ocenie efektywności kluczowymi czynnikami są: skuteczność obsługi potrzeb obywateli, bezpieczeństwo, koszty realizacji zadań państwa, koszty ponoszone przez użytkowników).</w:t>
      </w:r>
    </w:p>
    <w:p w14:paraId="6C177E00" w14:textId="77777777" w:rsidR="006C5804" w:rsidRDefault="006C5804" w:rsidP="006C5804">
      <w:pPr>
        <w:pStyle w:val="Nagwek2"/>
        <w:numPr>
          <w:ilvl w:val="1"/>
          <w:numId w:val="64"/>
        </w:numPr>
      </w:pPr>
      <w:bookmarkStart w:id="76" w:name="_Toc221535799"/>
      <w:r w:rsidRPr="007A6B1D">
        <w:t>Projekt jest realizowany zgodnie z wymaganiami w zakresie interoperacyjności</w:t>
      </w:r>
      <w:bookmarkEnd w:id="76"/>
      <w:r>
        <w:t xml:space="preserve"> </w:t>
      </w:r>
    </w:p>
    <w:p w14:paraId="5C49B245" w14:textId="77777777" w:rsidR="006C5804" w:rsidRPr="007A6B1D" w:rsidRDefault="006C5804" w:rsidP="006C5804">
      <w:r w:rsidRPr="007A6B1D">
        <w:t>Wnioskodawca powinien opisać, w jaki sposób wszystkie systemy teleinformatyczne w ramach projektu spełniają wymagania dotyczące interoperacyjności wskazane w Rozporządzeniu Rady Ministrów z dnia 12 kwietnia 2012 roku w sprawie Krajowych Ram Interoperacyjności, minimalnych wymagań dla rejestrów publicznych i wymiany informacji w postaci elektronicznej oraz minimalnych wymagań dla systemów teleinformatycznych.</w:t>
      </w:r>
    </w:p>
    <w:p w14:paraId="1248ED0B" w14:textId="77777777" w:rsidR="006C5804" w:rsidRDefault="006C5804" w:rsidP="006C5804">
      <w:pPr>
        <w:pStyle w:val="Nagwek2"/>
        <w:numPr>
          <w:ilvl w:val="1"/>
          <w:numId w:val="64"/>
        </w:numPr>
      </w:pPr>
      <w:bookmarkStart w:id="77" w:name="_Toc221535800"/>
      <w:r w:rsidRPr="007A6B1D">
        <w:t>Cyberbezpieczeństwo</w:t>
      </w:r>
      <w:bookmarkEnd w:id="77"/>
    </w:p>
    <w:p w14:paraId="12BA68A9" w14:textId="77777777" w:rsidR="006C5804" w:rsidRPr="003D7C5E" w:rsidRDefault="006C5804" w:rsidP="006C5804">
      <w:pPr>
        <w:autoSpaceDE w:val="0"/>
        <w:autoSpaceDN w:val="0"/>
        <w:adjustRightInd w:val="0"/>
        <w:spacing w:after="0"/>
        <w:rPr>
          <w:rFonts w:cs="Arial"/>
          <w:color w:val="000000"/>
          <w:szCs w:val="24"/>
        </w:rPr>
      </w:pPr>
      <w:r w:rsidRPr="003D7C5E">
        <w:rPr>
          <w:rFonts w:cs="Arial"/>
          <w:color w:val="000000"/>
          <w:szCs w:val="24"/>
        </w:rPr>
        <w:t xml:space="preserve">Wnioskodawca powinien odpowiedzieć na pytanie, czy projekt przewiduje działania w obszarze cyberbezpieczeństwa poprzez: </w:t>
      </w:r>
    </w:p>
    <w:p w14:paraId="144DCE93" w14:textId="77777777" w:rsidR="006C5804" w:rsidRPr="00B41C7E" w:rsidRDefault="006C5804" w:rsidP="006C5804">
      <w:pPr>
        <w:pStyle w:val="Akapitzlist"/>
        <w:numPr>
          <w:ilvl w:val="0"/>
          <w:numId w:val="50"/>
        </w:numPr>
        <w:autoSpaceDE w:val="0"/>
        <w:autoSpaceDN w:val="0"/>
        <w:adjustRightInd w:val="0"/>
        <w:spacing w:after="0"/>
        <w:rPr>
          <w:rFonts w:cs="Arial"/>
          <w:color w:val="000000"/>
          <w:szCs w:val="24"/>
        </w:rPr>
      </w:pPr>
      <w:r w:rsidRPr="00B41C7E">
        <w:rPr>
          <w:rFonts w:cs="Arial"/>
          <w:color w:val="000000"/>
          <w:szCs w:val="24"/>
        </w:rPr>
        <w:t xml:space="preserve">inwestycje w obszarze wzmacniania odporności systemów, zdolności do skutecznego zapobiegania i reagowania na incydenty (w systemach informacyjnych JST, podmiotów publicznych podlegających JST) </w:t>
      </w:r>
    </w:p>
    <w:p w14:paraId="07FA9334" w14:textId="77777777" w:rsidR="006C5804" w:rsidRPr="00297C77" w:rsidRDefault="006C5804" w:rsidP="006C5804">
      <w:pPr>
        <w:pStyle w:val="Akapitzlist"/>
        <w:numPr>
          <w:ilvl w:val="0"/>
          <w:numId w:val="50"/>
        </w:numPr>
        <w:autoSpaceDE w:val="0"/>
        <w:autoSpaceDN w:val="0"/>
        <w:adjustRightInd w:val="0"/>
        <w:spacing w:after="0"/>
        <w:rPr>
          <w:rFonts w:eastAsiaTheme="majorEastAsia" w:cstheme="majorBidi"/>
          <w:szCs w:val="26"/>
        </w:rPr>
      </w:pPr>
      <w:r w:rsidRPr="00297C77">
        <w:rPr>
          <w:rFonts w:cs="Arial"/>
          <w:color w:val="000000"/>
          <w:szCs w:val="24"/>
        </w:rPr>
        <w:t>zwiększanie kompetencji w zakresie cyberbezpieczeństwa.</w:t>
      </w:r>
    </w:p>
    <w:p w14:paraId="32EDF567" w14:textId="77777777" w:rsidR="006C5804" w:rsidRDefault="006C5804" w:rsidP="006C5804">
      <w:pPr>
        <w:pStyle w:val="Nagwek2"/>
        <w:numPr>
          <w:ilvl w:val="1"/>
          <w:numId w:val="64"/>
        </w:numPr>
      </w:pPr>
      <w:bookmarkStart w:id="78" w:name="_Toc221535801"/>
      <w:r w:rsidRPr="007A6B1D">
        <w:lastRenderedPageBreak/>
        <w:t>Skalowalność nowoczesnych rozwiązań informatycznych i technologicznych</w:t>
      </w:r>
      <w:bookmarkEnd w:id="78"/>
      <w:r>
        <w:t xml:space="preserve"> </w:t>
      </w:r>
    </w:p>
    <w:p w14:paraId="6DEC3D24" w14:textId="77777777" w:rsidR="006C5804" w:rsidRPr="007A6B1D" w:rsidRDefault="006C5804" w:rsidP="006C5804">
      <w:r w:rsidRPr="003D7C5E">
        <w:rPr>
          <w:szCs w:val="24"/>
        </w:rPr>
        <w:t>Należy wykazać</w:t>
      </w:r>
      <w:r w:rsidRPr="00B41C7E">
        <w:rPr>
          <w:szCs w:val="24"/>
        </w:rPr>
        <w:t>, czy przewidziane do wdrożenia nowoczesne rozwiązania informatyczne oraz technologiczne są skalowalne, w ramach współpracy międzysektorowej obejmującej w szczególności administrację publiczną, przedsiębiorców, organizacje badawcze.</w:t>
      </w:r>
    </w:p>
    <w:p w14:paraId="1AF28E48" w14:textId="625979A5" w:rsidR="006C5804" w:rsidRDefault="00ED2E08" w:rsidP="00ED2E08">
      <w:pPr>
        <w:pStyle w:val="Nagwek2"/>
        <w:numPr>
          <w:ilvl w:val="1"/>
          <w:numId w:val="64"/>
        </w:numPr>
      </w:pPr>
      <w:bookmarkStart w:id="79" w:name="_Toc221535802"/>
      <w:r w:rsidRPr="00ED2E08">
        <w:t>Zgodność projektu ze Strategią ZIT.</w:t>
      </w:r>
      <w:bookmarkEnd w:id="79"/>
      <w:r w:rsidR="006C5804">
        <w:t xml:space="preserve"> </w:t>
      </w:r>
    </w:p>
    <w:p w14:paraId="2D183ACB" w14:textId="01CD2D5F" w:rsidR="00ED2E08" w:rsidRDefault="006C5804" w:rsidP="00ED2E08">
      <w:r w:rsidRPr="007A6B1D">
        <w:t xml:space="preserve">Wnioskodawca powinien opisać, </w:t>
      </w:r>
      <w:r w:rsidR="00ED2E08">
        <w:t>w jakim stopniu projekt wpływa na zdiagnozowane potrzeby i cele ujęte w obowiązującej Strategii ZIT (pozytywnie zaopiniowanej przez Instytucję Zarządzającą zgodnie z artykułem 34 ustępem 6 punktem 2 ustawy o zasadach realizacji zadań finansowanych ze środków europejskich w perspektywie finansowej 2021–2027).</w:t>
      </w:r>
    </w:p>
    <w:p w14:paraId="61806F50" w14:textId="44A1965B" w:rsidR="00ED2E08" w:rsidRDefault="00ED2E08" w:rsidP="00ED2E08">
      <w:r>
        <w:t>Należy opisać w szczególności, czy i jak:</w:t>
      </w:r>
      <w:r w:rsidRPr="00ED2E08">
        <w:t xml:space="preserve"> </w:t>
      </w:r>
    </w:p>
    <w:p w14:paraId="364A906D" w14:textId="2E6916DF" w:rsidR="00ED2E08" w:rsidRDefault="00ED2E08" w:rsidP="00B62D94">
      <w:pPr>
        <w:pStyle w:val="Akapitzlist"/>
        <w:numPr>
          <w:ilvl w:val="0"/>
          <w:numId w:val="74"/>
        </w:numPr>
      </w:pPr>
      <w:r>
        <w:t>projekt wpływa na niwelowanie słabych stron i zagrożeń lub wzmacnianie silnych stron i wykorzystywanie szans zidentyfikowanych w Strategii ZIT ,</w:t>
      </w:r>
    </w:p>
    <w:p w14:paraId="664931E7" w14:textId="55688AE8" w:rsidR="006C5804" w:rsidRPr="007A6B1D" w:rsidRDefault="00ED2E08" w:rsidP="00ED2E08">
      <w:pPr>
        <w:pStyle w:val="Akapitzlist"/>
        <w:numPr>
          <w:ilvl w:val="0"/>
          <w:numId w:val="74"/>
        </w:numPr>
      </w:pPr>
      <w:r>
        <w:t>projekt wpływa na realizację celów rozwojowych ujętych w Strategii ZIT (w szczególności, w jaki sposób wpisuje się w kierunki interwencji i planowane działania).</w:t>
      </w:r>
    </w:p>
    <w:p w14:paraId="210C4B47" w14:textId="77777777" w:rsidR="006C5804" w:rsidRDefault="006C5804" w:rsidP="006C5804">
      <w:pPr>
        <w:pStyle w:val="Nagwek2"/>
        <w:numPr>
          <w:ilvl w:val="1"/>
          <w:numId w:val="64"/>
        </w:numPr>
      </w:pPr>
      <w:bookmarkStart w:id="80" w:name="_Toc221535803"/>
      <w:r w:rsidRPr="007A6B1D">
        <w:t>Rozwój społeczeństwa informacyjnego</w:t>
      </w:r>
      <w:bookmarkEnd w:id="80"/>
      <w:r>
        <w:t xml:space="preserve"> </w:t>
      </w:r>
    </w:p>
    <w:p w14:paraId="6FB0ACE5" w14:textId="77777777" w:rsidR="006C5804" w:rsidRPr="00B41C7E" w:rsidRDefault="006C5804" w:rsidP="006C5804">
      <w:pPr>
        <w:rPr>
          <w:szCs w:val="24"/>
        </w:rPr>
      </w:pPr>
      <w:r w:rsidRPr="003D7C5E">
        <w:rPr>
          <w:szCs w:val="24"/>
        </w:rPr>
        <w:t>Należy wskazać wpływ realizacji projektu na rozwój społeczeństwa informacyjnego (wsparcia transformacji cyfrowej Wielkopolski)</w:t>
      </w:r>
      <w:r w:rsidRPr="00B41C7E">
        <w:rPr>
          <w:szCs w:val="24"/>
        </w:rPr>
        <w:t>.</w:t>
      </w:r>
    </w:p>
    <w:p w14:paraId="67E5BFAE" w14:textId="77777777" w:rsidR="006C5804" w:rsidRPr="003D7C5E" w:rsidRDefault="006C5804" w:rsidP="006C5804">
      <w:pPr>
        <w:spacing w:after="0"/>
        <w:rPr>
          <w:szCs w:val="24"/>
        </w:rPr>
      </w:pPr>
      <w:r w:rsidRPr="00B41C7E">
        <w:rPr>
          <w:szCs w:val="24"/>
        </w:rPr>
        <w:t xml:space="preserve">Należy opisać, czy projekt realizuje społecznie istotne cele, w tym </w:t>
      </w:r>
      <w:r>
        <w:rPr>
          <w:szCs w:val="24"/>
        </w:rPr>
        <w:t>między innymi</w:t>
      </w:r>
      <w:r w:rsidRPr="00B41C7E">
        <w:rPr>
          <w:szCs w:val="24"/>
        </w:rPr>
        <w:t xml:space="preserve"> założenia Architektury Informacyjnej Państwa (AIP),</w:t>
      </w:r>
      <w:r>
        <w:rPr>
          <w:szCs w:val="24"/>
        </w:rPr>
        <w:t>to jest</w:t>
      </w:r>
      <w:r w:rsidRPr="003D7C5E">
        <w:rPr>
          <w:szCs w:val="24"/>
        </w:rPr>
        <w:t xml:space="preserve">: </w:t>
      </w:r>
    </w:p>
    <w:p w14:paraId="73F76507" w14:textId="77777777" w:rsidR="006C5804" w:rsidRPr="00B41C7E" w:rsidRDefault="006C5804" w:rsidP="006C5804">
      <w:pPr>
        <w:pStyle w:val="Akapitzlist"/>
        <w:numPr>
          <w:ilvl w:val="0"/>
          <w:numId w:val="57"/>
        </w:numPr>
        <w:spacing w:after="0"/>
        <w:rPr>
          <w:szCs w:val="24"/>
        </w:rPr>
      </w:pPr>
      <w:r w:rsidRPr="00B41C7E">
        <w:rPr>
          <w:szCs w:val="24"/>
        </w:rPr>
        <w:t xml:space="preserve">poprawę relacji państwa z obywatelem; </w:t>
      </w:r>
    </w:p>
    <w:p w14:paraId="74EBB02E" w14:textId="77777777" w:rsidR="006C5804" w:rsidRPr="00B41C7E" w:rsidRDefault="006C5804" w:rsidP="006C5804">
      <w:pPr>
        <w:pStyle w:val="Akapitzlist"/>
        <w:numPr>
          <w:ilvl w:val="0"/>
          <w:numId w:val="57"/>
        </w:numPr>
        <w:spacing w:after="0"/>
        <w:rPr>
          <w:szCs w:val="24"/>
        </w:rPr>
      </w:pPr>
      <w:r w:rsidRPr="00B41C7E">
        <w:rPr>
          <w:szCs w:val="24"/>
        </w:rPr>
        <w:t xml:space="preserve">usprawnienie zaplecza elektronicznej administracji; </w:t>
      </w:r>
    </w:p>
    <w:p w14:paraId="10D2D19F" w14:textId="77777777" w:rsidR="006C5804" w:rsidRPr="00B41C7E" w:rsidRDefault="006C5804" w:rsidP="006C5804">
      <w:pPr>
        <w:pStyle w:val="Akapitzlist"/>
        <w:numPr>
          <w:ilvl w:val="0"/>
          <w:numId w:val="57"/>
        </w:numPr>
        <w:spacing w:after="0"/>
        <w:rPr>
          <w:szCs w:val="24"/>
        </w:rPr>
      </w:pPr>
      <w:r w:rsidRPr="00B41C7E">
        <w:rPr>
          <w:szCs w:val="24"/>
        </w:rPr>
        <w:t xml:space="preserve">zwiększenie dostępności i jakości zasobów informacyjnych państwa; </w:t>
      </w:r>
    </w:p>
    <w:p w14:paraId="02C06C73" w14:textId="77777777" w:rsidR="006C5804" w:rsidRPr="00B41C7E" w:rsidRDefault="006C5804" w:rsidP="006C5804">
      <w:pPr>
        <w:pStyle w:val="Akapitzlist"/>
        <w:numPr>
          <w:ilvl w:val="0"/>
          <w:numId w:val="57"/>
        </w:numPr>
        <w:rPr>
          <w:szCs w:val="24"/>
        </w:rPr>
      </w:pPr>
      <w:r w:rsidRPr="00B41C7E">
        <w:rPr>
          <w:szCs w:val="24"/>
        </w:rPr>
        <w:t>rozwój kompetencji cyfrowych.</w:t>
      </w:r>
    </w:p>
    <w:p w14:paraId="2B0D2749" w14:textId="25DD6B81" w:rsidR="006C5804" w:rsidRPr="00B41C7E" w:rsidRDefault="006C5804" w:rsidP="006C5804">
      <w:pPr>
        <w:rPr>
          <w:szCs w:val="24"/>
        </w:rPr>
      </w:pPr>
      <w:r w:rsidRPr="00B41C7E">
        <w:rPr>
          <w:szCs w:val="24"/>
        </w:rPr>
        <w:t xml:space="preserve">Ponadto należy przedstawić wpływ projektu na zwiększenie poziomu interakcji cyfrowych mieszkańców Wielkopolski z instytucjami publicznymi, w szczególności ze służbą zdrowia. W opisie należy wykazać czy efektem projektu będzie </w:t>
      </w:r>
      <w:r>
        <w:rPr>
          <w:szCs w:val="24"/>
        </w:rPr>
        <w:t>między innymi</w:t>
      </w:r>
      <w:r w:rsidRPr="00B41C7E">
        <w:rPr>
          <w:szCs w:val="24"/>
        </w:rPr>
        <w:t xml:space="preserve"> zwiększenie dostępności i jakości e-usług oraz e-zasobów publicznych, w tym e-zdrowia, e-kultury, danych przestrzennych. Jeśli tak, opis powinien zawierać szczegółowe uzasadnienie.</w:t>
      </w:r>
    </w:p>
    <w:p w14:paraId="42D71077" w14:textId="49A9A773" w:rsidR="006C5804" w:rsidRPr="00280B50" w:rsidRDefault="006C5804" w:rsidP="006C5804">
      <w:r w:rsidRPr="00B41C7E">
        <w:rPr>
          <w:szCs w:val="24"/>
        </w:rPr>
        <w:t xml:space="preserve">Wspieranie niwelowania różnic w dostępie do rozwiązań cyfrowych powinno przekładać się na realizację innych celów, </w:t>
      </w:r>
      <w:r>
        <w:rPr>
          <w:szCs w:val="24"/>
        </w:rPr>
        <w:t>na przykład:</w:t>
      </w:r>
      <w:r w:rsidRPr="00B41C7E">
        <w:rPr>
          <w:szCs w:val="24"/>
        </w:rPr>
        <w:t xml:space="preserve"> obniżenie zagrożenia marginalizacją. Należy wykazać, czy zastosowane rozwiązania przyczynią się do skutecznego wdrażania rozwiązań z zakresu Przemysłu 4.0., rozwoju inteligentnych miast (smart cities), inteligentnego rolnictwa (smart farming) – wszystkie oparte na rozwoju sztucznej inteligencji, internetu rzeczy i blockchain/rejestrów rozproszonych, platform e-usług.</w:t>
      </w:r>
    </w:p>
    <w:p w14:paraId="2C2D81B5" w14:textId="6DF6D7A1" w:rsidR="001E1CC0" w:rsidRDefault="006C5804" w:rsidP="00555A4E">
      <w:pPr>
        <w:pStyle w:val="Nagwek1"/>
        <w:numPr>
          <w:ilvl w:val="0"/>
          <w:numId w:val="64"/>
        </w:numPr>
      </w:pPr>
      <w:bookmarkStart w:id="81" w:name="_Toc221535804"/>
      <w:r w:rsidRPr="006C5804">
        <w:lastRenderedPageBreak/>
        <w:t>Analiza wariantów</w:t>
      </w:r>
      <w:bookmarkEnd w:id="81"/>
      <w:r>
        <w:t xml:space="preserve"> </w:t>
      </w:r>
    </w:p>
    <w:p w14:paraId="3EB1DBAF" w14:textId="77777777" w:rsidR="001E1CC0" w:rsidRPr="00B41C7E" w:rsidRDefault="001E1CC0" w:rsidP="001E1CC0">
      <w:pPr>
        <w:rPr>
          <w:szCs w:val="24"/>
        </w:rPr>
      </w:pPr>
      <w:r w:rsidRPr="003D7C5E">
        <w:rPr>
          <w:szCs w:val="24"/>
        </w:rPr>
        <w:t>Dla projektów, których całkowity koszt kwalifikowalny w momencie złożenia wniosku o 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50BF7189" w14:textId="4845AE40" w:rsidR="001E1CC0" w:rsidRPr="001E1CC0" w:rsidRDefault="001E1CC0" w:rsidP="00555A4E">
      <w:r w:rsidRPr="00B41C7E">
        <w:rPr>
          <w:szCs w:val="24"/>
        </w:rPr>
        <w:t>Dla pozostałych projektów obowiązuje metodyka przedstawiona poniżej.</w:t>
      </w:r>
    </w:p>
    <w:p w14:paraId="580048CE" w14:textId="48180C0A" w:rsidR="001E1CC0" w:rsidRDefault="001E1CC0" w:rsidP="00555A4E">
      <w:pPr>
        <w:pStyle w:val="Nagwek2"/>
        <w:numPr>
          <w:ilvl w:val="1"/>
          <w:numId w:val="64"/>
        </w:numPr>
      </w:pPr>
      <w:bookmarkStart w:id="82" w:name="_Toc221535805"/>
      <w:r w:rsidRPr="001E1CC0">
        <w:t>Analiza wykonalności</w:t>
      </w:r>
      <w:bookmarkEnd w:id="82"/>
      <w:r>
        <w:t xml:space="preserve"> </w:t>
      </w:r>
    </w:p>
    <w:p w14:paraId="6257342B" w14:textId="77777777" w:rsidR="001E1CC0" w:rsidRPr="00B41C7E" w:rsidRDefault="001E1CC0" w:rsidP="001E1CC0">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 xml:space="preserve">nym, środowiskowym i instytucjonalnym. </w:t>
      </w:r>
    </w:p>
    <w:p w14:paraId="61C8DBC6" w14:textId="46793322" w:rsidR="001E1CC0" w:rsidRPr="001E1CC0" w:rsidRDefault="001E1CC0" w:rsidP="00555A4E">
      <w:r w:rsidRPr="00B41C7E">
        <w:rPr>
          <w:szCs w:val="24"/>
        </w:rPr>
        <w:t>Nie należy identyfikować tych wariantów, które pozostają w sprzeczności z istniejącym stanem prawnym, są niemożliwe do wykonania z przyczyn ekonomiczno-finansowych, istniejących ograniczeń technicznych.</w:t>
      </w:r>
    </w:p>
    <w:p w14:paraId="6D10C7EA" w14:textId="794DF8DB" w:rsidR="006C5804" w:rsidRDefault="001E1CC0" w:rsidP="00555A4E">
      <w:pPr>
        <w:pStyle w:val="Nagwek2"/>
        <w:numPr>
          <w:ilvl w:val="1"/>
          <w:numId w:val="64"/>
        </w:numPr>
      </w:pPr>
      <w:bookmarkStart w:id="83" w:name="_Toc221535806"/>
      <w:r w:rsidRPr="001E1CC0">
        <w:t>Analiza opcji</w:t>
      </w:r>
      <w:bookmarkEnd w:id="83"/>
    </w:p>
    <w:p w14:paraId="3783F3C6" w14:textId="02508264" w:rsidR="006C5804" w:rsidRPr="001E1CC0" w:rsidRDefault="001E1CC0" w:rsidP="00555A4E">
      <w:r w:rsidRPr="001E1CC0">
        <w:t>Należy przedstawić porównanie i ocenę możliwych do zastosowania rozwiązań inwestycyjnych zidentyfikowanych na etapie analizy wykonalności. W niniejszym punkcie analizę w formie opisowej należy przeprowadzić pod kątem dostępnych rozwiązań technologicznych, z podaniem wartości realizacji tych wariantów.</w:t>
      </w:r>
    </w:p>
    <w:p w14:paraId="2759D4AF" w14:textId="16DB03ED" w:rsidR="006C5804" w:rsidRDefault="006C5804" w:rsidP="00555A4E">
      <w:pPr>
        <w:pStyle w:val="Nagwek1"/>
        <w:numPr>
          <w:ilvl w:val="0"/>
          <w:numId w:val="64"/>
        </w:numPr>
      </w:pPr>
      <w:bookmarkStart w:id="84" w:name="_Toc221535807"/>
      <w:r w:rsidRPr="006C5804">
        <w:t>Analiza finansowa</w:t>
      </w:r>
      <w:bookmarkEnd w:id="84"/>
      <w:r>
        <w:t xml:space="preserve"> </w:t>
      </w:r>
    </w:p>
    <w:p w14:paraId="1947AB9B" w14:textId="77777777" w:rsidR="006C5804" w:rsidRPr="00B41C7E" w:rsidRDefault="006C5804" w:rsidP="006C5804">
      <w:pPr>
        <w:rPr>
          <w:szCs w:val="24"/>
        </w:rPr>
      </w:pPr>
      <w:r w:rsidRPr="003D7C5E">
        <w:rPr>
          <w:szCs w:val="24"/>
        </w:rPr>
        <w:t>Dla projektów, których całkowity koszt kwalifikowalny w momencie złożenia wniosku o dofinansowanie wynosi co najmniej 50 mln PLN, analizę finansową należy przygotować na podstawie Rozdziału</w:t>
      </w:r>
      <w:r w:rsidRPr="00B41C7E">
        <w:rPr>
          <w:szCs w:val="24"/>
        </w:rPr>
        <w:t xml:space="preserve"> 6. „Analiza finansowa” Wytycznych dotyczących zagadnień związanych z przygotowaniem projektów inwestycyjnych, w tym hybrydowych na lata 2021-2027.</w:t>
      </w:r>
    </w:p>
    <w:p w14:paraId="6D8F0630" w14:textId="77777777" w:rsidR="006C5804" w:rsidRPr="00B41C7E" w:rsidRDefault="006C5804" w:rsidP="006C5804">
      <w:pPr>
        <w:rPr>
          <w:szCs w:val="24"/>
        </w:rPr>
      </w:pPr>
      <w:r w:rsidRPr="00B41C7E">
        <w:rPr>
          <w:szCs w:val="24"/>
        </w:rPr>
        <w:t>Dla pozostałych projektów obowiązuje metodyka przedstawiona poniżej.</w:t>
      </w:r>
    </w:p>
    <w:p w14:paraId="22ED5813" w14:textId="77777777" w:rsidR="006C5804" w:rsidRPr="00B41C7E" w:rsidRDefault="006C5804" w:rsidP="006C5804">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06589577" w14:textId="77777777" w:rsidR="006C5804" w:rsidRPr="00B41C7E" w:rsidRDefault="006C5804" w:rsidP="006C5804">
      <w:pPr>
        <w:numPr>
          <w:ilvl w:val="0"/>
          <w:numId w:val="58"/>
        </w:numPr>
        <w:contextualSpacing/>
        <w:rPr>
          <w:szCs w:val="24"/>
        </w:rPr>
      </w:pPr>
      <w:r w:rsidRPr="00B41C7E">
        <w:rPr>
          <w:szCs w:val="24"/>
        </w:rPr>
        <w:t>analizy skonsolidowanej prowadzonej jednocześnie z punktu widzenia właściciela infrastruktury, jak i podmiotu gospodarczego ją eksploatującego (operatora), w przypadku gdy są oni odrębnymi podmiotami;</w:t>
      </w:r>
    </w:p>
    <w:p w14:paraId="0F6AB16D" w14:textId="77777777" w:rsidR="006C5804" w:rsidRPr="00B41C7E" w:rsidRDefault="006C5804" w:rsidP="006C5804">
      <w:pPr>
        <w:numPr>
          <w:ilvl w:val="0"/>
          <w:numId w:val="58"/>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0B25691C" w14:textId="77777777" w:rsidR="006C5804" w:rsidRPr="00B41C7E" w:rsidRDefault="006C5804" w:rsidP="006C5804">
      <w:pPr>
        <w:numPr>
          <w:ilvl w:val="0"/>
          <w:numId w:val="58"/>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 xml:space="preserve">wyjątek stanowią nakłady inwestycyjne na </w:t>
      </w:r>
      <w:r w:rsidRPr="00B41C7E">
        <w:rPr>
          <w:iCs/>
          <w:szCs w:val="24"/>
        </w:rPr>
        <w:lastRenderedPageBreak/>
        <w:t>realizację projektu poniesione przed pierwszym rokiem okresu odniesienia – należy je uwzględnić w pierwszym roku odniesienia, w wartościach niezdyskontowanych;</w:t>
      </w:r>
    </w:p>
    <w:p w14:paraId="353E07BA" w14:textId="77777777" w:rsidR="006C5804" w:rsidRPr="00B41C7E" w:rsidRDefault="006C5804" w:rsidP="006C5804">
      <w:pPr>
        <w:numPr>
          <w:ilvl w:val="0"/>
          <w:numId w:val="58"/>
        </w:numPr>
        <w:contextualSpacing/>
        <w:rPr>
          <w:szCs w:val="24"/>
        </w:rPr>
      </w:pPr>
      <w:r w:rsidRPr="00B41C7E">
        <w:rPr>
          <w:iCs/>
          <w:szCs w:val="24"/>
        </w:rPr>
        <w:t>wartości rezydualnej, oszacowanej w oparciu o metodę wyceny wartości aktywów trwałych netto, określoną przy wykorzystaniu metody i okresu amortyzacji zgodnych z polityką rachunkowości wnioskodawcy/operatora</w:t>
      </w:r>
      <w:r w:rsidRPr="00B41C7E">
        <w:rPr>
          <w:szCs w:val="24"/>
        </w:rPr>
        <w:t>;</w:t>
      </w:r>
    </w:p>
    <w:p w14:paraId="27BB3906" w14:textId="77777777" w:rsidR="006C5804" w:rsidRPr="00B41C7E" w:rsidRDefault="006C5804" w:rsidP="006C5804">
      <w:pPr>
        <w:numPr>
          <w:ilvl w:val="0"/>
          <w:numId w:val="58"/>
        </w:numPr>
        <w:contextualSpacing/>
        <w:rPr>
          <w:szCs w:val="24"/>
        </w:rPr>
      </w:pPr>
      <w:r w:rsidRPr="00B41C7E">
        <w:rPr>
          <w:szCs w:val="24"/>
        </w:rPr>
        <w:t>wartości pieniądza w czasie przy sumowaniu przepływów finansowych w różnych latach.</w:t>
      </w:r>
    </w:p>
    <w:p w14:paraId="54875579" w14:textId="77777777" w:rsidR="006C5804" w:rsidRPr="00B41C7E" w:rsidRDefault="006C5804" w:rsidP="006C5804">
      <w:pPr>
        <w:contextualSpacing/>
        <w:rPr>
          <w:szCs w:val="24"/>
        </w:rPr>
      </w:pPr>
    </w:p>
    <w:p w14:paraId="66E6E8EF" w14:textId="40EB998A" w:rsidR="006C5804" w:rsidRPr="00B41C7E" w:rsidRDefault="006C5804" w:rsidP="006C5804">
      <w:pPr>
        <w:spacing w:before="120"/>
        <w:rPr>
          <w:szCs w:val="24"/>
        </w:rPr>
      </w:pPr>
      <w:r w:rsidRPr="00B41C7E">
        <w:rPr>
          <w:szCs w:val="24"/>
        </w:rPr>
        <w:t>Analizę sporządza się przy użyciu metody standardowej lub złożonej. Wybór metody zależy od tego, czy możliwe jest oddzielenie strumienia przychodów projektu od ogólnego st</w:t>
      </w:r>
      <w:r w:rsidR="008A1FBE">
        <w:rPr>
          <w:szCs w:val="24"/>
        </w:rPr>
        <w:t>rumienia przychodów Wnioskodawcy</w:t>
      </w:r>
      <w:r w:rsidRPr="00B41C7E">
        <w:rPr>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382FAD5" w14:textId="77777777" w:rsidR="006C5804" w:rsidRPr="00B41C7E" w:rsidRDefault="006C5804" w:rsidP="006C5804">
      <w:pPr>
        <w:rPr>
          <w:szCs w:val="24"/>
        </w:rPr>
      </w:pPr>
      <w:r w:rsidRPr="00B41C7E">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12DD8756" w14:textId="4CE09462" w:rsidR="006C5804" w:rsidRPr="00B41C7E" w:rsidRDefault="006C5804" w:rsidP="006C5804">
      <w:pPr>
        <w:numPr>
          <w:ilvl w:val="0"/>
          <w:numId w:val="21"/>
        </w:numPr>
        <w:spacing w:after="0"/>
        <w:ind w:left="709" w:hanging="349"/>
        <w:contextualSpacing/>
        <w:rPr>
          <w:szCs w:val="24"/>
        </w:rPr>
      </w:pPr>
      <w:r w:rsidRPr="00B41C7E">
        <w:rPr>
          <w:szCs w:val="24"/>
        </w:rPr>
        <w:t>„Dane w</w:t>
      </w:r>
      <w:r w:rsidR="00F54262">
        <w:rPr>
          <w:szCs w:val="24"/>
        </w:rPr>
        <w:t>ejściowe</w:t>
      </w:r>
      <w:r w:rsidRPr="00B41C7E">
        <w:rPr>
          <w:szCs w:val="24"/>
        </w:rPr>
        <w:t>”,</w:t>
      </w:r>
    </w:p>
    <w:p w14:paraId="579DAC6E" w14:textId="77777777" w:rsidR="006C5804" w:rsidRPr="00B41C7E" w:rsidRDefault="006C5804" w:rsidP="006C5804">
      <w:pPr>
        <w:numPr>
          <w:ilvl w:val="0"/>
          <w:numId w:val="21"/>
        </w:numPr>
        <w:spacing w:after="0"/>
        <w:ind w:left="709" w:hanging="349"/>
        <w:contextualSpacing/>
        <w:rPr>
          <w:szCs w:val="24"/>
        </w:rPr>
      </w:pPr>
      <w:r w:rsidRPr="00B41C7E">
        <w:rPr>
          <w:szCs w:val="24"/>
        </w:rPr>
        <w:t>„Obliczenia”,</w:t>
      </w:r>
    </w:p>
    <w:p w14:paraId="3B020644" w14:textId="77777777" w:rsidR="00D6207A" w:rsidRDefault="006C5804" w:rsidP="006C5804">
      <w:pPr>
        <w:numPr>
          <w:ilvl w:val="0"/>
          <w:numId w:val="21"/>
        </w:numPr>
        <w:ind w:left="709" w:hanging="352"/>
        <w:contextualSpacing/>
        <w:rPr>
          <w:szCs w:val="24"/>
        </w:rPr>
      </w:pPr>
      <w:r w:rsidRPr="00B41C7E">
        <w:rPr>
          <w:szCs w:val="24"/>
        </w:rPr>
        <w:t>„Trwałość finansowa”</w:t>
      </w:r>
      <w:r w:rsidR="00D6207A">
        <w:rPr>
          <w:szCs w:val="24"/>
        </w:rPr>
        <w:t>,</w:t>
      </w:r>
    </w:p>
    <w:p w14:paraId="56ECEF05" w14:textId="5EA950D0" w:rsidR="006C5804" w:rsidRPr="00B41C7E" w:rsidRDefault="00D6207A" w:rsidP="006C5804">
      <w:pPr>
        <w:numPr>
          <w:ilvl w:val="0"/>
          <w:numId w:val="21"/>
        </w:numPr>
        <w:ind w:left="709" w:hanging="352"/>
        <w:contextualSpacing/>
        <w:rPr>
          <w:szCs w:val="24"/>
        </w:rPr>
      </w:pPr>
      <w:r>
        <w:rPr>
          <w:szCs w:val="24"/>
        </w:rPr>
        <w:t>„</w:t>
      </w:r>
      <w:r w:rsidR="00F963D6">
        <w:rPr>
          <w:szCs w:val="24"/>
        </w:rPr>
        <w:t>Wartość</w:t>
      </w:r>
      <w:r w:rsidR="00F35774">
        <w:rPr>
          <w:szCs w:val="24"/>
        </w:rPr>
        <w:t xml:space="preserve"> dofinansowania</w:t>
      </w:r>
      <w:r>
        <w:rPr>
          <w:szCs w:val="24"/>
        </w:rPr>
        <w:t>”</w:t>
      </w:r>
      <w:r w:rsidR="002B5F73">
        <w:rPr>
          <w:szCs w:val="24"/>
        </w:rPr>
        <w:t>.</w:t>
      </w:r>
    </w:p>
    <w:p w14:paraId="5A9A84B5" w14:textId="77777777" w:rsidR="006C5804" w:rsidRPr="00B41C7E" w:rsidRDefault="006C5804" w:rsidP="006C5804">
      <w:pPr>
        <w:ind w:left="357"/>
        <w:contextualSpacing/>
        <w:rPr>
          <w:szCs w:val="24"/>
        </w:rPr>
      </w:pPr>
    </w:p>
    <w:p w14:paraId="1AEEABB0" w14:textId="74CCD35F" w:rsidR="006C5804" w:rsidRPr="00B41C7E" w:rsidRDefault="006C5804" w:rsidP="00555A4E">
      <w:pPr>
        <w:spacing w:before="120"/>
        <w:rPr>
          <w:szCs w:val="24"/>
        </w:rPr>
      </w:pPr>
      <w:r w:rsidRPr="00B41C7E">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2D2690B" w14:textId="208E13E8" w:rsidR="006C5804" w:rsidRPr="00587B52" w:rsidRDefault="006C5804" w:rsidP="006C5804">
      <w:pPr>
        <w:rPr>
          <w:rFonts w:cstheme="minorHAnsi"/>
          <w:szCs w:val="24"/>
        </w:rPr>
      </w:pPr>
      <w:r w:rsidRPr="00B41C7E">
        <w:rPr>
          <w:szCs w:val="24"/>
        </w:rPr>
        <w:t>Sporządzanie analizy finansowej należy rozpocząć od tabel w arkuszu „Dane w</w:t>
      </w:r>
      <w:r w:rsidR="00282C29">
        <w:rPr>
          <w:szCs w:val="24"/>
        </w:rPr>
        <w:t>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6B32608E" w14:textId="4D14A549" w:rsidR="006C5804" w:rsidRPr="001E1CC0" w:rsidRDefault="006C5804" w:rsidP="00555A4E">
      <w:r w:rsidRPr="00B41C7E">
        <w:rPr>
          <w:szCs w:val="24"/>
        </w:rPr>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661C4002" w14:textId="0A43037A" w:rsidR="006C5804" w:rsidRDefault="006C5804" w:rsidP="00555A4E">
      <w:pPr>
        <w:pStyle w:val="Nagwek2"/>
        <w:numPr>
          <w:ilvl w:val="1"/>
          <w:numId w:val="64"/>
        </w:numPr>
      </w:pPr>
      <w:bookmarkStart w:id="85" w:name="_Toc221535808"/>
      <w:r>
        <w:lastRenderedPageBreak/>
        <w:t>Założenia</w:t>
      </w:r>
      <w:bookmarkEnd w:id="85"/>
      <w:r>
        <w:t xml:space="preserve"> </w:t>
      </w:r>
    </w:p>
    <w:p w14:paraId="6AB38563" w14:textId="3735274B" w:rsidR="006C5804" w:rsidRPr="00B41C7E" w:rsidRDefault="006C5804" w:rsidP="006C5804">
      <w:pPr>
        <w:numPr>
          <w:ilvl w:val="0"/>
          <w:numId w:val="23"/>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04110EE5" w14:textId="77777777" w:rsidR="006C5804" w:rsidRPr="003D7C5E" w:rsidRDefault="006C5804" w:rsidP="006C5804">
      <w:pPr>
        <w:numPr>
          <w:ilvl w:val="0"/>
          <w:numId w:val="23"/>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1D751832" w14:textId="77777777" w:rsidR="006C5804" w:rsidRPr="00B41C7E" w:rsidRDefault="006C5804" w:rsidP="006C5804">
      <w:pPr>
        <w:numPr>
          <w:ilvl w:val="0"/>
          <w:numId w:val="23"/>
        </w:numPr>
        <w:ind w:left="714" w:hanging="357"/>
        <w:contextualSpacing/>
        <w:rPr>
          <w:szCs w:val="24"/>
        </w:rPr>
      </w:pPr>
      <w:r w:rsidRPr="00B41C7E">
        <w:rPr>
          <w:szCs w:val="24"/>
        </w:rPr>
        <w:t>stopa dyskontowa – dla analiz prowadzonych w cenach stałych należy stosować stopę dyskontową na poziomie 4%;</w:t>
      </w:r>
    </w:p>
    <w:p w14:paraId="302E0810" w14:textId="77777777" w:rsidR="006C5804" w:rsidRPr="00B41C7E" w:rsidRDefault="006C5804" w:rsidP="006C5804">
      <w:pPr>
        <w:numPr>
          <w:ilvl w:val="0"/>
          <w:numId w:val="23"/>
        </w:numPr>
        <w:contextualSpacing/>
        <w:rPr>
          <w:szCs w:val="24"/>
        </w:rPr>
      </w:pPr>
      <w:r w:rsidRPr="00B41C7E">
        <w:rPr>
          <w:szCs w:val="24"/>
        </w:rPr>
        <w:t>podatek VAT – analizy należy sporządzić w:</w:t>
      </w:r>
    </w:p>
    <w:p w14:paraId="70F815BE" w14:textId="77777777" w:rsidR="006C5804" w:rsidRPr="00B41C7E" w:rsidRDefault="006C5804" w:rsidP="006C5804">
      <w:pPr>
        <w:numPr>
          <w:ilvl w:val="1"/>
          <w:numId w:val="22"/>
        </w:numPr>
        <w:ind w:left="1560" w:hanging="414"/>
        <w:contextualSpacing/>
        <w:rPr>
          <w:szCs w:val="24"/>
        </w:rPr>
      </w:pPr>
      <w:r w:rsidRPr="00B41C7E">
        <w:rPr>
          <w:szCs w:val="24"/>
        </w:rPr>
        <w:t>cenach netto (bez VAT) w przypadku, gdy podatek VAT podlega (lub może potencjalnie podlegać) odliczeniu lub</w:t>
      </w:r>
    </w:p>
    <w:p w14:paraId="7867023F" w14:textId="77777777" w:rsidR="006C5804" w:rsidRPr="00B41C7E" w:rsidRDefault="006C5804" w:rsidP="006C5804">
      <w:pPr>
        <w:numPr>
          <w:ilvl w:val="1"/>
          <w:numId w:val="22"/>
        </w:numPr>
        <w:ind w:left="1559" w:hanging="414"/>
        <w:contextualSpacing/>
        <w:rPr>
          <w:szCs w:val="24"/>
        </w:rPr>
      </w:pPr>
      <w:r w:rsidRPr="00B41C7E">
        <w:rPr>
          <w:szCs w:val="24"/>
        </w:rPr>
        <w:t>w cenach brutto (wraz z VAT), gdy VAT nie podlega odliczeniu. VAT należy wyodrębnić jako osobną pozycję analizy finansowej;</w:t>
      </w:r>
    </w:p>
    <w:p w14:paraId="67F53707" w14:textId="77777777" w:rsidR="007D67AA" w:rsidRPr="00DE660D" w:rsidRDefault="006C5804" w:rsidP="007D67AA">
      <w:pPr>
        <w:numPr>
          <w:ilvl w:val="0"/>
          <w:numId w:val="23"/>
        </w:numPr>
        <w:contextualSpacing/>
        <w:rPr>
          <w:rFonts w:cstheme="minorHAnsi"/>
          <w:szCs w:val="24"/>
        </w:rPr>
      </w:pPr>
      <w:r w:rsidRPr="00B41C7E">
        <w:rPr>
          <w:szCs w:val="24"/>
        </w:rPr>
        <w:t xml:space="preserve">okres odniesienia (horyzont czasowy) – </w:t>
      </w:r>
      <w:r w:rsidR="007D67AA" w:rsidRPr="00DE660D">
        <w:rPr>
          <w:rFonts w:cstheme="minorHAnsi"/>
          <w:szCs w:val="24"/>
        </w:rPr>
        <w:t xml:space="preserve">okres, za który należy sporządzić prognozę przepływów pieniężnych w projekcie, uwzględniający zarówno okres realizacji projektu, jak i okres po jego ukończeniu, to jest fazę inwestycyjną i operacyjną. Rokiem bazowym w analizie finansowej powinien być założony w analizie rok rozpoczęcia realizacji projektu (na przykład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(na przykład prac geodezyjnych lub uzyskania zezwoleń, czy przeprowadzenia studiów wykonalności) nie uznaje się za rozpoczęcie rzeczowej realizacji projektu. </w:t>
      </w:r>
      <w:r w:rsidR="007D67AA">
        <w:rPr>
          <w:rFonts w:cstheme="minorHAnsi"/>
          <w:szCs w:val="24"/>
        </w:rPr>
        <w:t>W przypadku:</w:t>
      </w:r>
    </w:p>
    <w:p w14:paraId="454D03A0" w14:textId="77777777" w:rsidR="007D67AA" w:rsidRPr="00AB006B" w:rsidRDefault="007D67AA" w:rsidP="007D67AA">
      <w:pPr>
        <w:pStyle w:val="Akapitzlist"/>
        <w:numPr>
          <w:ilvl w:val="0"/>
          <w:numId w:val="75"/>
        </w:numPr>
        <w:rPr>
          <w:rFonts w:cstheme="minorHAnsi"/>
          <w:szCs w:val="24"/>
        </w:rPr>
      </w:pPr>
      <w:r w:rsidRPr="00AB006B">
        <w:rPr>
          <w:rFonts w:cstheme="minorHAnsi"/>
          <w:szCs w:val="24"/>
        </w:rPr>
        <w:t>projektów objętych pomocą publiczną analiza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3690E32C" w14:textId="77777777" w:rsidR="007D67AA" w:rsidRPr="00AB006B" w:rsidRDefault="007D67AA" w:rsidP="007D67AA">
      <w:pPr>
        <w:pStyle w:val="Akapitzlist"/>
        <w:numPr>
          <w:ilvl w:val="0"/>
          <w:numId w:val="75"/>
        </w:numPr>
        <w:rPr>
          <w:rFonts w:cstheme="minorHAnsi"/>
          <w:szCs w:val="24"/>
        </w:rPr>
      </w:pPr>
      <w:r w:rsidRPr="00AB006B">
        <w:rPr>
          <w:rFonts w:cstheme="minorHAnsi"/>
          <w:szCs w:val="24"/>
        </w:rPr>
        <w:t xml:space="preserve">pozostałych projektów okres odniesienia zastosowany w analizach powinien odzwierciedlać ekonomiczny okres użytkowania projektu, a więc odpowiadać oczekiwanemu czasowi, w którym projekt pozostaje użyteczny (to znaczy zdolny do dostarczania dóbr/usług). W celu zachowania porównywalności należy przyjąć 15-letni okres odniesienia. </w:t>
      </w:r>
    </w:p>
    <w:p w14:paraId="64D39210" w14:textId="68BE4F4D" w:rsidR="006C5804" w:rsidRPr="00B41C7E" w:rsidRDefault="006C5804" w:rsidP="007D67AA">
      <w:pPr>
        <w:pStyle w:val="Akapitzlist"/>
        <w:numPr>
          <w:ilvl w:val="0"/>
          <w:numId w:val="23"/>
        </w:numPr>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w:t>
      </w:r>
      <w:r w:rsidRPr="00B41C7E">
        <w:rPr>
          <w:szCs w:val="24"/>
        </w:rPr>
        <w:lastRenderedPageBreak/>
        <w:t>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78967EC5" w14:textId="40C5BC7C" w:rsidR="00A25220" w:rsidRPr="00CA6D28" w:rsidRDefault="006C5804" w:rsidP="006C5804">
      <w:pPr>
        <w:numPr>
          <w:ilvl w:val="0"/>
          <w:numId w:val="23"/>
        </w:numPr>
        <w:contextualSpacing/>
        <w:rPr>
          <w:szCs w:val="24"/>
        </w:rPr>
      </w:pPr>
      <w:r w:rsidRPr="00CA6D28">
        <w:rPr>
          <w:szCs w:val="24"/>
        </w:rPr>
        <w:t xml:space="preserve">amortyzacja – </w:t>
      </w:r>
      <w:r w:rsidR="00CA6D28" w:rsidRPr="00CA6D28">
        <w:rPr>
          <w:szCs w:val="24"/>
        </w:rPr>
        <w:t xml:space="preserve">metoda oraz okres amortyzacji dla każdego typu aktywa powinny być zgodne z polityką rachunkowości Wnioskodawcy.  </w:t>
      </w:r>
      <w:r w:rsidR="00CA6D28" w:rsidRPr="00CA6D28">
        <w:t>Odpisów amortyzacyjnych dokonuje się od wartości początkowej środków trwałych lub wartości niematerialnych i prawnych, począwszy od pierwszego miesiąca następującego po miesiącu, w którym ten środek lub wartość wprowadzono do ewidencji.</w:t>
      </w:r>
      <w:r w:rsidR="00CA6D28" w:rsidRPr="00CA6D28">
        <w:rPr>
          <w:szCs w:val="24"/>
        </w:rPr>
        <w:t xml:space="preserve"> W kalkulacji amortyzacji </w:t>
      </w:r>
      <w:r w:rsidR="00CA6D28" w:rsidRPr="00CA6D28">
        <w:t>należy uwzględnić terminy realizacji (rozpoczęcia i zakończenia) danego zadania/projektu określone we wniosku o dofinansowanie</w:t>
      </w:r>
      <w:r w:rsidRPr="00CA6D28">
        <w:rPr>
          <w:szCs w:val="24"/>
        </w:rPr>
        <w:t>;</w:t>
      </w:r>
    </w:p>
    <w:p w14:paraId="47E905C2" w14:textId="006CA0C3" w:rsidR="006C5804" w:rsidRPr="001E1CC0" w:rsidRDefault="006C5804" w:rsidP="00555A4E">
      <w:pPr>
        <w:numPr>
          <w:ilvl w:val="0"/>
          <w:numId w:val="23"/>
        </w:numPr>
        <w:contextualSpacing/>
      </w:pPr>
      <w:r w:rsidRPr="00555A4E">
        <w:rPr>
          <w:szCs w:val="24"/>
        </w:rPr>
        <w:t>wartość dofinansowania projektu z funduszy UE – może zostać uwzględniona tylko w ramach analizy trwałości finansowej projektu.</w:t>
      </w:r>
    </w:p>
    <w:p w14:paraId="2A2A818F" w14:textId="04F479EB" w:rsidR="006C5804" w:rsidRDefault="006C5804" w:rsidP="00555A4E">
      <w:pPr>
        <w:pStyle w:val="Nagwek2"/>
        <w:numPr>
          <w:ilvl w:val="1"/>
          <w:numId w:val="64"/>
        </w:numPr>
      </w:pPr>
      <w:bookmarkStart w:id="86" w:name="_Toc221535809"/>
      <w:r w:rsidRPr="006C5804">
        <w:t>Nakłady inwestycyjne projektu i wydatki kwalifikowalne</w:t>
      </w:r>
      <w:bookmarkEnd w:id="86"/>
      <w:r>
        <w:t xml:space="preserve"> </w:t>
      </w:r>
    </w:p>
    <w:p w14:paraId="2EFA148B" w14:textId="77777777" w:rsidR="006C5804" w:rsidRDefault="006C5804" w:rsidP="006C5804">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4AF2E692" w14:textId="77777777" w:rsidR="006C5804" w:rsidRDefault="006C5804" w:rsidP="006C5804">
      <w:r>
        <w:t>W przypadku uwzględnienia w analizach nakładów odtworzeniowych, tutaj należy uzasadnić konieczność ich ponoszenia w projekcie, a także wskazać podstawę ich prognozowania.</w:t>
      </w:r>
    </w:p>
    <w:p w14:paraId="31F5DF06" w14:textId="63A22F3B" w:rsidR="006C5804" w:rsidRPr="001E1CC0" w:rsidRDefault="006C5804" w:rsidP="00555A4E">
      <w:r>
        <w:t>Natomiast wartości nakładów inwestycyjnych należy przedstawić z zachowaniem zgodności z wnioskiem o dofinansowanie w arkuszu „Dane w</w:t>
      </w:r>
      <w:r w:rsidR="00846961">
        <w:t>ejściowe</w:t>
      </w:r>
      <w:r>
        <w:t>” w podziale na wydatki kwalifikowalne i niekwalifikowalne.</w:t>
      </w:r>
    </w:p>
    <w:p w14:paraId="62C5BD32" w14:textId="6D583554" w:rsidR="006C5804" w:rsidRDefault="006C5804" w:rsidP="00555A4E">
      <w:pPr>
        <w:pStyle w:val="Nagwek2"/>
        <w:numPr>
          <w:ilvl w:val="1"/>
          <w:numId w:val="64"/>
        </w:numPr>
      </w:pPr>
      <w:bookmarkStart w:id="87" w:name="_Toc221535810"/>
      <w:r w:rsidRPr="006C5804">
        <w:t>Przychody operacyjne projektu</w:t>
      </w:r>
      <w:bookmarkEnd w:id="87"/>
      <w:r>
        <w:t xml:space="preserve"> </w:t>
      </w:r>
    </w:p>
    <w:p w14:paraId="5AF0B9E9" w14:textId="77777777" w:rsidR="006C5804" w:rsidRDefault="006C5804" w:rsidP="006C5804">
      <w:r>
        <w:t>W niniejszym punkcie Studium należy krótko opisać zidentyfikowane źródła przychodów projektu oraz opisać założenia przyjęte do szacowania ich wielkości w okresie odniesienia.</w:t>
      </w:r>
    </w:p>
    <w:p w14:paraId="6018F5E3" w14:textId="77777777" w:rsidR="006C5804" w:rsidRDefault="006C5804" w:rsidP="006C5804">
      <w: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389DE1ED" w14:textId="77777777" w:rsidR="006C5804" w:rsidRDefault="006C5804" w:rsidP="006C5804">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02D5D8" w14:textId="1BF1207C" w:rsidR="006C5804" w:rsidRPr="001E1CC0" w:rsidRDefault="006C5804" w:rsidP="00555A4E">
      <w:r>
        <w:t>Właściwym do uwzględniania wszystkich źródeł przychodów etapem analizy finansowej jest etap analizy trwałości finansowej projektu.</w:t>
      </w:r>
    </w:p>
    <w:p w14:paraId="3F04CCC5" w14:textId="7CAF3118" w:rsidR="006C5804" w:rsidRDefault="006C5804" w:rsidP="00555A4E">
      <w:pPr>
        <w:pStyle w:val="Nagwek2"/>
        <w:numPr>
          <w:ilvl w:val="1"/>
          <w:numId w:val="64"/>
        </w:numPr>
      </w:pPr>
      <w:bookmarkStart w:id="88" w:name="_Toc221535811"/>
      <w:r w:rsidRPr="006C5804">
        <w:lastRenderedPageBreak/>
        <w:t>Koszty operacyjne projektu</w:t>
      </w:r>
      <w:bookmarkEnd w:id="88"/>
      <w:r>
        <w:t xml:space="preserve"> </w:t>
      </w:r>
    </w:p>
    <w:p w14:paraId="5B917484" w14:textId="77777777" w:rsidR="006C5804" w:rsidRPr="00B41C7E" w:rsidRDefault="006C5804" w:rsidP="006C5804">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 danych rynkowych. Kluczowe jest podanie źródła informacji. Szacowanie kosztów należy odnosić do cen rynkowych i przyjętej koncepcji technicznej.</w:t>
      </w:r>
    </w:p>
    <w:p w14:paraId="762FC903" w14:textId="77777777" w:rsidR="006C5804" w:rsidRPr="00B41C7E" w:rsidRDefault="006C5804" w:rsidP="006C5804">
      <w:pPr>
        <w:rPr>
          <w:rFonts w:cstheme="minorHAnsi"/>
          <w:szCs w:val="24"/>
        </w:rPr>
      </w:pPr>
      <w:r w:rsidRPr="00B41C7E">
        <w:rPr>
          <w:rFonts w:cstheme="minorHAnsi"/>
          <w:szCs w:val="24"/>
        </w:rPr>
        <w:t>Proszę opisać poszczególne koszty w odniesieniu do zgłoszonego projektu:</w:t>
      </w:r>
    </w:p>
    <w:p w14:paraId="223F68DC"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amortyzacja;</w:t>
      </w:r>
    </w:p>
    <w:p w14:paraId="75A681A2" w14:textId="77777777" w:rsidR="006C5804" w:rsidRPr="00B41C7E" w:rsidRDefault="006C5804" w:rsidP="006C5804">
      <w:pPr>
        <w:numPr>
          <w:ilvl w:val="0"/>
          <w:numId w:val="28"/>
        </w:numPr>
        <w:spacing w:after="200"/>
        <w:ind w:left="714" w:hanging="357"/>
        <w:contextualSpacing/>
        <w:rPr>
          <w:rFonts w:cstheme="minorHAnsi"/>
          <w:szCs w:val="24"/>
        </w:rPr>
      </w:pPr>
      <w:r w:rsidRPr="00B41C7E">
        <w:rPr>
          <w:rFonts w:cstheme="minorHAnsi"/>
          <w:szCs w:val="24"/>
        </w:rPr>
        <w:t>usługi obce;</w:t>
      </w:r>
    </w:p>
    <w:p w14:paraId="0FC80928"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zużycie materiałów i energii;</w:t>
      </w:r>
    </w:p>
    <w:p w14:paraId="08140D31"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wynagrodzenia;</w:t>
      </w:r>
    </w:p>
    <w:p w14:paraId="044AB31F"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ubezpieczenia społeczne i inne świadczenia;</w:t>
      </w:r>
    </w:p>
    <w:p w14:paraId="40C66715"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podatki i opłaty;</w:t>
      </w:r>
    </w:p>
    <w:p w14:paraId="166D5AA9" w14:textId="77777777" w:rsidR="006C5804" w:rsidRPr="00B41C7E" w:rsidRDefault="006C5804" w:rsidP="006C5804">
      <w:pPr>
        <w:numPr>
          <w:ilvl w:val="0"/>
          <w:numId w:val="28"/>
        </w:numPr>
        <w:spacing w:after="200"/>
        <w:contextualSpacing/>
        <w:rPr>
          <w:rFonts w:cstheme="minorHAnsi"/>
          <w:szCs w:val="24"/>
        </w:rPr>
      </w:pPr>
      <w:r w:rsidRPr="00B41C7E">
        <w:rPr>
          <w:rFonts w:cstheme="minorHAnsi"/>
          <w:szCs w:val="24"/>
        </w:rPr>
        <w:t>pozostałe koszty rodzajowe.</w:t>
      </w:r>
    </w:p>
    <w:p w14:paraId="7C3BCA8D" w14:textId="77777777" w:rsidR="006C5804" w:rsidRPr="00B41C7E" w:rsidRDefault="006C5804" w:rsidP="006C5804">
      <w:pPr>
        <w:spacing w:after="200"/>
        <w:ind w:left="360"/>
        <w:contextualSpacing/>
        <w:rPr>
          <w:rFonts w:cstheme="minorHAnsi"/>
          <w:szCs w:val="24"/>
        </w:rPr>
      </w:pPr>
    </w:p>
    <w:p w14:paraId="1CD6762A" w14:textId="77777777" w:rsidR="006C5804" w:rsidRPr="00B41C7E" w:rsidRDefault="006C5804" w:rsidP="006C5804">
      <w:pPr>
        <w:shd w:val="clear" w:color="auto" w:fill="FFFFFF"/>
        <w:spacing w:before="14"/>
        <w:rPr>
          <w:rFonts w:cstheme="minorHAnsi"/>
          <w:szCs w:val="24"/>
        </w:rPr>
      </w:pPr>
      <w:r w:rsidRPr="00B41C7E">
        <w:rPr>
          <w:rFonts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  </w:t>
      </w:r>
    </w:p>
    <w:p w14:paraId="29296CC9" w14:textId="77777777" w:rsidR="00732E6D" w:rsidRDefault="00732E6D" w:rsidP="00732E6D">
      <w:pPr>
        <w:pStyle w:val="Nagwek2"/>
        <w:numPr>
          <w:ilvl w:val="1"/>
          <w:numId w:val="64"/>
        </w:numPr>
      </w:pPr>
      <w:bookmarkStart w:id="89" w:name="_Toc221535812"/>
      <w:r w:rsidRPr="006C5804">
        <w:t>Wskaźniki efektywności finansowej</w:t>
      </w:r>
      <w:bookmarkEnd w:id="89"/>
    </w:p>
    <w:p w14:paraId="5F6145B0" w14:textId="77777777" w:rsidR="006C5804" w:rsidRPr="00B41C7E" w:rsidRDefault="006C5804" w:rsidP="006C5804">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rozporządzenia nr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31BB653A" w14:textId="77777777" w:rsidR="006C5804" w:rsidRPr="00B41C7E" w:rsidRDefault="006C5804" w:rsidP="006C5804">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7D27384F" w14:textId="77777777" w:rsidR="006C5804" w:rsidRPr="00B41C7E" w:rsidRDefault="006C5804" w:rsidP="006C5804">
      <w:pPr>
        <w:numPr>
          <w:ilvl w:val="0"/>
          <w:numId w:val="25"/>
        </w:numPr>
        <w:contextualSpacing/>
        <w:rPr>
          <w:szCs w:val="24"/>
        </w:rPr>
      </w:pPr>
      <w:r w:rsidRPr="00B41C7E">
        <w:rPr>
          <w:szCs w:val="24"/>
        </w:rPr>
        <w:t>finansowa bieżąca wartość netto inwestycji (FNPV/C),</w:t>
      </w:r>
    </w:p>
    <w:p w14:paraId="64A83186" w14:textId="77777777" w:rsidR="006C5804" w:rsidRPr="00B41C7E" w:rsidRDefault="006C5804" w:rsidP="006C5804">
      <w:pPr>
        <w:numPr>
          <w:ilvl w:val="0"/>
          <w:numId w:val="25"/>
        </w:numPr>
        <w:ind w:left="714" w:hanging="357"/>
        <w:contextualSpacing/>
        <w:rPr>
          <w:szCs w:val="24"/>
        </w:rPr>
      </w:pPr>
      <w:r w:rsidRPr="00B41C7E">
        <w:rPr>
          <w:szCs w:val="24"/>
        </w:rPr>
        <w:t>finansowa wewnętrzna stopa zwrotu z inwestycji (FRR/C),</w:t>
      </w:r>
    </w:p>
    <w:p w14:paraId="2380C137" w14:textId="77777777" w:rsidR="006C5804" w:rsidRPr="00B41C7E" w:rsidRDefault="006C5804" w:rsidP="006C5804">
      <w:pPr>
        <w:rPr>
          <w:szCs w:val="24"/>
        </w:rPr>
      </w:pPr>
      <w:r w:rsidRPr="00B41C7E">
        <w:rPr>
          <w:szCs w:val="24"/>
        </w:rPr>
        <w:t>a w niniejszej części opisowej Studium krótko skomentować otrzymane wyniki.</w:t>
      </w:r>
    </w:p>
    <w:p w14:paraId="1D812529" w14:textId="77777777" w:rsidR="006C5804" w:rsidRPr="00B41C7E" w:rsidRDefault="006C5804" w:rsidP="006C5804">
      <w:pPr>
        <w:rPr>
          <w:szCs w:val="24"/>
        </w:rPr>
      </w:pPr>
      <w:r w:rsidRPr="00B41C7E">
        <w:rPr>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5C40A4C8" w14:textId="65429554" w:rsidR="006C5804" w:rsidRDefault="00946132" w:rsidP="00555A4E">
      <w:pPr>
        <w:pStyle w:val="Nagwek2"/>
        <w:numPr>
          <w:ilvl w:val="1"/>
          <w:numId w:val="64"/>
        </w:numPr>
      </w:pPr>
      <w:bookmarkStart w:id="90" w:name="_Toc221535813"/>
      <w:r w:rsidRPr="00946132">
        <w:t>Trwałość finansowa</w:t>
      </w:r>
      <w:bookmarkEnd w:id="90"/>
    </w:p>
    <w:p w14:paraId="4FDC6F31" w14:textId="2914035F" w:rsidR="004A0435" w:rsidRPr="00B41C7E" w:rsidRDefault="004A0435" w:rsidP="00555A4E">
      <w:pPr>
        <w:rPr>
          <w:szCs w:val="24"/>
        </w:rPr>
      </w:pPr>
      <w:bookmarkStart w:id="91" w:name="_Toc132193896"/>
      <w:bookmarkStart w:id="92" w:name="_Toc132193981"/>
      <w:bookmarkStart w:id="93" w:name="_Toc132194057"/>
      <w:bookmarkStart w:id="94" w:name="_Toc132194104"/>
      <w:bookmarkStart w:id="95" w:name="_Toc132194152"/>
      <w:bookmarkStart w:id="96" w:name="_Toc132193897"/>
      <w:bookmarkStart w:id="97" w:name="_Toc132193982"/>
      <w:bookmarkStart w:id="98" w:name="_Toc132194058"/>
      <w:bookmarkStart w:id="99" w:name="_Toc132194105"/>
      <w:bookmarkStart w:id="100" w:name="_Toc132194153"/>
      <w:bookmarkStart w:id="101" w:name="_Toc132193898"/>
      <w:bookmarkStart w:id="102" w:name="_Toc132193983"/>
      <w:bookmarkStart w:id="103" w:name="_Toc132194059"/>
      <w:bookmarkStart w:id="104" w:name="_Toc132194106"/>
      <w:bookmarkStart w:id="105" w:name="_Toc132194154"/>
      <w:bookmarkStart w:id="106" w:name="_Toc132194060"/>
      <w:bookmarkStart w:id="107" w:name="_Toc132194107"/>
      <w:bookmarkStart w:id="108" w:name="_Toc132194155"/>
      <w:bookmarkStart w:id="109" w:name="_Toc132194063"/>
      <w:bookmarkStart w:id="110" w:name="_Toc132194110"/>
      <w:bookmarkStart w:id="111" w:name="_Toc132194158"/>
      <w:bookmarkStart w:id="112" w:name="_Toc132194064"/>
      <w:bookmarkStart w:id="113" w:name="_Toc132194111"/>
      <w:bookmarkStart w:id="114" w:name="_Toc132194159"/>
      <w:bookmarkStart w:id="115" w:name="_Toc132194065"/>
      <w:bookmarkStart w:id="116" w:name="_Toc132194112"/>
      <w:bookmarkStart w:id="117" w:name="_Toc132194160"/>
      <w:bookmarkStart w:id="118" w:name="_Toc130466047"/>
      <w:bookmarkStart w:id="119" w:name="_Toc130466795"/>
      <w:bookmarkStart w:id="120" w:name="_Toc130466922"/>
      <w:bookmarkStart w:id="121" w:name="_Toc130466058"/>
      <w:bookmarkStart w:id="122" w:name="_Toc130466806"/>
      <w:bookmarkStart w:id="123" w:name="_Toc130466933"/>
      <w:bookmarkStart w:id="124" w:name="_Toc131494788"/>
      <w:bookmarkStart w:id="125" w:name="_Toc131495895"/>
      <w:bookmarkStart w:id="126" w:name="_Toc131495975"/>
      <w:bookmarkStart w:id="127" w:name="_Toc131496742"/>
      <w:bookmarkStart w:id="128" w:name="_Toc131498170"/>
      <w:bookmarkStart w:id="129" w:name="_Toc131499076"/>
      <w:bookmarkStart w:id="130" w:name="_Toc131499134"/>
      <w:bookmarkStart w:id="131" w:name="_Toc131499720"/>
      <w:bookmarkStart w:id="132" w:name="_Toc131499775"/>
      <w:bookmarkStart w:id="133" w:name="_Toc131499880"/>
      <w:bookmarkStart w:id="134" w:name="_Toc131499940"/>
      <w:bookmarkStart w:id="135" w:name="_Toc131500171"/>
      <w:bookmarkStart w:id="136" w:name="_Toc13150183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3D7C5E">
        <w:rPr>
          <w:szCs w:val="24"/>
        </w:rPr>
        <w:t>Zgodnie z art</w:t>
      </w:r>
      <w:r w:rsidR="00862D9C">
        <w:rPr>
          <w:szCs w:val="24"/>
        </w:rPr>
        <w:t>ykułem</w:t>
      </w:r>
      <w:r w:rsidRPr="003D7C5E">
        <w:rPr>
          <w:szCs w:val="24"/>
        </w:rPr>
        <w:t xml:space="preserve"> 73 ust</w:t>
      </w:r>
      <w:r w:rsidR="00862D9C">
        <w:rPr>
          <w:szCs w:val="24"/>
        </w:rPr>
        <w:t>ępem</w:t>
      </w:r>
      <w:r w:rsidRPr="003D7C5E">
        <w:rPr>
          <w:szCs w:val="24"/>
        </w:rPr>
        <w:t xml:space="preserve"> 2 lit</w:t>
      </w:r>
      <w:r w:rsidR="00862D9C">
        <w:rPr>
          <w:szCs w:val="24"/>
        </w:rPr>
        <w:t>erą</w:t>
      </w:r>
      <w:r w:rsidRPr="003D7C5E">
        <w:rPr>
          <w:szCs w:val="24"/>
        </w:rPr>
        <w:t xml:space="preserve"> d rozporządzenia nr 2021/1060 analiza trwałości finansowej projektu polega na wykazaniu, że Wnioskodawca dysponuje niezbędnymi zasobam</w:t>
      </w:r>
      <w:r w:rsidRPr="00B41C7E">
        <w:rPr>
          <w:szCs w:val="24"/>
        </w:rPr>
        <w:t xml:space="preserve">i, </w:t>
      </w:r>
      <w:r w:rsidRPr="00B41C7E">
        <w:rPr>
          <w:szCs w:val="24"/>
        </w:rPr>
        <w:lastRenderedPageBreak/>
        <w:t>aby pokryć koszty eksploatacji i utrzymania inwestycji realizowanej w ramach projektu zarówno na etapie inwestycyjnym, jak i operacyjnym.</w:t>
      </w:r>
    </w:p>
    <w:p w14:paraId="56A28ADC" w14:textId="77777777" w:rsidR="004A0435" w:rsidRPr="00B41C7E" w:rsidRDefault="004A0435" w:rsidP="00555A4E">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5A9578FA" w14:textId="3BCA9C24" w:rsidR="00396BBC" w:rsidRPr="00B41C7E" w:rsidRDefault="004A0435" w:rsidP="00555A4E">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24BE4ABD" w14:textId="4FA72724" w:rsidR="009C25D2" w:rsidRPr="00B41C7E" w:rsidRDefault="009C25D2" w:rsidP="00555A4E">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33460270" w14:textId="46735595" w:rsidR="009C25D2" w:rsidRPr="00B41C7E" w:rsidRDefault="00117D97" w:rsidP="00555A4E">
      <w:pPr>
        <w:pStyle w:val="Akapitzlist"/>
        <w:numPr>
          <w:ilvl w:val="0"/>
          <w:numId w:val="18"/>
        </w:numPr>
        <w:spacing w:after="200"/>
        <w:rPr>
          <w:rFonts w:cs="ArialMT"/>
          <w:b/>
          <w:szCs w:val="24"/>
        </w:rPr>
      </w:pPr>
      <w:r w:rsidRPr="00B41C7E">
        <w:rPr>
          <w:rFonts w:cs="ArialMT"/>
          <w:szCs w:val="24"/>
        </w:rPr>
        <w:t>a</w:t>
      </w:r>
      <w:r w:rsidR="009C25D2" w:rsidRPr="00B41C7E">
        <w:rPr>
          <w:rFonts w:cs="ArialMT"/>
          <w:szCs w:val="24"/>
        </w:rPr>
        <w:t>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1FD84AFF" w14:textId="361AE72B" w:rsidR="009C25D2" w:rsidRPr="00B41C7E" w:rsidRDefault="00117D97" w:rsidP="00555A4E">
      <w:pPr>
        <w:pStyle w:val="Akapitzlist"/>
        <w:numPr>
          <w:ilvl w:val="0"/>
          <w:numId w:val="18"/>
        </w:numPr>
        <w:spacing w:after="200"/>
        <w:rPr>
          <w:rFonts w:cs="ArialMT"/>
          <w:szCs w:val="24"/>
        </w:rPr>
      </w:pPr>
      <w:r w:rsidRPr="00B41C7E">
        <w:rPr>
          <w:rFonts w:cs="ArialMT"/>
          <w:szCs w:val="24"/>
        </w:rPr>
        <w:t>a</w:t>
      </w:r>
      <w:r w:rsidR="009C25D2" w:rsidRPr="00B41C7E">
        <w:rPr>
          <w:rFonts w:cs="ArialMT"/>
          <w:szCs w:val="24"/>
        </w:rPr>
        <w:t>nalizę sytuacji finansowe</w:t>
      </w:r>
      <w:r w:rsidR="00917677">
        <w:rPr>
          <w:rFonts w:cs="ArialMT"/>
          <w:szCs w:val="24"/>
        </w:rPr>
        <w:t>j Wnioskodawcy/O</w:t>
      </w:r>
      <w:r w:rsidR="009C25D2" w:rsidRPr="00B41C7E">
        <w:rPr>
          <w:rFonts w:cs="ArialMT"/>
          <w:szCs w:val="24"/>
        </w:rPr>
        <w:t>peratora</w:t>
      </w:r>
      <w:r w:rsidR="00917677">
        <w:rPr>
          <w:rFonts w:cs="ArialMT"/>
          <w:szCs w:val="24"/>
        </w:rPr>
        <w:t>/Partnera</w:t>
      </w:r>
      <w:r w:rsidR="009C25D2" w:rsidRPr="00B41C7E">
        <w:rPr>
          <w:rFonts w:cs="ArialMT"/>
          <w:szCs w:val="24"/>
        </w:rPr>
        <w:t>. Weryfikacja polega na zbadaniu t</w:t>
      </w:r>
      <w:r w:rsidR="00917677">
        <w:rPr>
          <w:rFonts w:cs="ArialMT"/>
          <w:szCs w:val="24"/>
        </w:rPr>
        <w:t>rwałości finansowej Wnioskodawcy/O</w:t>
      </w:r>
      <w:r w:rsidR="009C25D2" w:rsidRPr="00B41C7E">
        <w:rPr>
          <w:rFonts w:cs="ArialMT"/>
          <w:szCs w:val="24"/>
        </w:rPr>
        <w:t>peratora</w:t>
      </w:r>
      <w:r w:rsidR="00917677">
        <w:rPr>
          <w:rFonts w:cs="ArialMT"/>
          <w:szCs w:val="24"/>
        </w:rPr>
        <w:t>/ Partnera</w:t>
      </w:r>
      <w:r w:rsidR="009C25D2" w:rsidRPr="00B41C7E">
        <w:rPr>
          <w:rFonts w:cs="ArialMT"/>
          <w:szCs w:val="24"/>
        </w:rPr>
        <w:t xml:space="preserve"> z projektem. Analiza przepływów pieniężnych</w:t>
      </w:r>
      <w:r w:rsidR="00917677">
        <w:rPr>
          <w:rFonts w:cs="ArialMT"/>
          <w:szCs w:val="24"/>
        </w:rPr>
        <w:t xml:space="preserve"> powinna wykazać, że Wnioskodawca/O</w:t>
      </w:r>
      <w:r w:rsidR="009C25D2" w:rsidRPr="00B41C7E">
        <w:rPr>
          <w:rFonts w:cs="ArialMT"/>
          <w:szCs w:val="24"/>
        </w:rPr>
        <w:t>perator</w:t>
      </w:r>
      <w:r w:rsidR="00917677">
        <w:rPr>
          <w:rFonts w:cs="ArialMT"/>
          <w:szCs w:val="24"/>
        </w:rPr>
        <w:t>/Partner</w:t>
      </w:r>
      <w:r w:rsidR="009C25D2" w:rsidRPr="00B41C7E">
        <w:rPr>
          <w:rFonts w:cs="ArialMT"/>
          <w:szCs w:val="24"/>
        </w:rPr>
        <w:t xml:space="preserve"> z projektem ma dodatnie roczne saldo skumulowanych przepływów pieniężnych na koniec każdego roku, we wszystkich latach objętych analizą.</w:t>
      </w:r>
    </w:p>
    <w:p w14:paraId="4F988C84" w14:textId="7FD22B40" w:rsidR="009C25D2" w:rsidRPr="00B41C7E" w:rsidRDefault="009C25D2" w:rsidP="00555A4E">
      <w:pPr>
        <w:rPr>
          <w:rFonts w:cs="ArialMT"/>
          <w:szCs w:val="24"/>
        </w:rPr>
      </w:pPr>
      <w:r w:rsidRPr="00B41C7E">
        <w:rPr>
          <w:rFonts w:cs="ArialMT"/>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862D9C">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3C31257D" w14:textId="5FFACC37" w:rsidR="00F05779" w:rsidRDefault="00F963D6" w:rsidP="00CD1D20">
      <w:pPr>
        <w:pStyle w:val="Nagwek1"/>
        <w:numPr>
          <w:ilvl w:val="0"/>
          <w:numId w:val="64"/>
        </w:numPr>
        <w:rPr>
          <w:szCs w:val="26"/>
        </w:rPr>
      </w:pPr>
      <w:bookmarkStart w:id="137" w:name="_Toc221535814"/>
      <w:r>
        <w:rPr>
          <w:szCs w:val="26"/>
        </w:rPr>
        <w:t>Wartość</w:t>
      </w:r>
      <w:r w:rsidRPr="00430690">
        <w:rPr>
          <w:szCs w:val="26"/>
        </w:rPr>
        <w:t xml:space="preserve"> </w:t>
      </w:r>
      <w:r w:rsidR="00CD1D20" w:rsidRPr="00430690">
        <w:rPr>
          <w:szCs w:val="26"/>
        </w:rPr>
        <w:t>dofinansowania projektu</w:t>
      </w:r>
      <w:bookmarkEnd w:id="137"/>
      <w:r w:rsidR="00F05779" w:rsidRPr="00B57109">
        <w:rPr>
          <w:szCs w:val="26"/>
        </w:rPr>
        <w:t xml:space="preserve"> </w:t>
      </w:r>
    </w:p>
    <w:p w14:paraId="1FBFE7A9" w14:textId="71016B12" w:rsidR="00F963D6" w:rsidRPr="00874804" w:rsidRDefault="00F963D6" w:rsidP="00430690">
      <w:r w:rsidRPr="00F963D6">
        <w:t>W przypadku występowania w projekcie kosztów kwalifikowalnych przewidzianych do dofinansowania w ramach Rozporządzenia Komisji (UE) nr 651/2014 (GBER) oraz pomocy de minimis Wnioskodawca zobowiązany jest do ujednolicenia poziomu dofinansowania</w:t>
      </w:r>
      <w:r>
        <w:t>.</w:t>
      </w:r>
    </w:p>
    <w:p w14:paraId="7981670F" w14:textId="7EB673F3" w:rsidR="00F05779" w:rsidRDefault="00F05779" w:rsidP="00430690">
      <w:pPr>
        <w:pStyle w:val="Nagwek2"/>
        <w:numPr>
          <w:ilvl w:val="1"/>
          <w:numId w:val="64"/>
        </w:numPr>
      </w:pPr>
      <w:bookmarkStart w:id="138" w:name="_Toc221535815"/>
      <w:r w:rsidRPr="00F05779">
        <w:t>Ustalenie dofinansowania dla projektów nieobjętych pomocą publiczną.</w:t>
      </w:r>
      <w:bookmarkEnd w:id="138"/>
      <w:r>
        <w:t xml:space="preserve"> </w:t>
      </w:r>
    </w:p>
    <w:p w14:paraId="388B26D7" w14:textId="160053BB" w:rsidR="00F05779" w:rsidRPr="00F05779" w:rsidRDefault="00F05779" w:rsidP="00430690">
      <w:r w:rsidRPr="003A0BBE">
        <w:rPr>
          <w:szCs w:val="24"/>
        </w:rPr>
        <w:t xml:space="preserve">W przypadku projektów nieobjętych pomocą publiczną poziom dofinansowania ustala się </w:t>
      </w:r>
      <w:r>
        <w:rPr>
          <w:szCs w:val="24"/>
        </w:rPr>
        <w:t>zgodnie z Regulaminem wyboru projektów</w:t>
      </w:r>
      <w:r w:rsidRPr="003A0BBE">
        <w:rPr>
          <w:szCs w:val="24"/>
        </w:rPr>
        <w:t xml:space="preserve"> dla</w:t>
      </w:r>
      <w:r>
        <w:rPr>
          <w:szCs w:val="24"/>
        </w:rPr>
        <w:t xml:space="preserve"> naboru.</w:t>
      </w:r>
    </w:p>
    <w:p w14:paraId="1751A845" w14:textId="6AE044F5" w:rsidR="00F963D6" w:rsidRDefault="00F963D6" w:rsidP="00430690">
      <w:pPr>
        <w:pStyle w:val="Nagwek2"/>
        <w:numPr>
          <w:ilvl w:val="1"/>
          <w:numId w:val="64"/>
        </w:numPr>
      </w:pPr>
      <w:bookmarkStart w:id="139" w:name="_Toc221535816"/>
      <w:r w:rsidRPr="00F963D6">
        <w:rPr>
          <w:szCs w:val="24"/>
        </w:rPr>
        <w:lastRenderedPageBreak/>
        <w:t>Ustalenie dofinansowania dla projektów objętych pomocą</w:t>
      </w:r>
      <w:r>
        <w:rPr>
          <w:szCs w:val="24"/>
        </w:rPr>
        <w:t xml:space="preserve"> de minimis</w:t>
      </w:r>
      <w:bookmarkEnd w:id="139"/>
    </w:p>
    <w:p w14:paraId="044DE18A" w14:textId="698C81B6" w:rsidR="00F963D6" w:rsidRPr="00F963D6" w:rsidRDefault="00F963D6" w:rsidP="00F963D6">
      <w:r w:rsidRPr="00F963D6">
        <w:t xml:space="preserve">Wartość dofinansowania należy ustalić jako iloczyn kosztów kwalifikowalnych </w:t>
      </w:r>
      <w:r w:rsidR="00874804">
        <w:t xml:space="preserve">objętych pomocą de minimis </w:t>
      </w:r>
      <w:r w:rsidRPr="00F963D6">
        <w:t xml:space="preserve">i maksymalnej intensywności dofinansowania </w:t>
      </w:r>
      <w:r w:rsidR="00874804">
        <w:t xml:space="preserve">dla pomocy de minimis </w:t>
      </w:r>
      <w:r w:rsidRPr="00F963D6">
        <w:t>określonej w Regulaminie wyboru projektów</w:t>
      </w:r>
      <w:r w:rsidR="00874804">
        <w:t xml:space="preserve"> dla naboru</w:t>
      </w:r>
      <w:r w:rsidRPr="00F963D6">
        <w:t>.</w:t>
      </w:r>
    </w:p>
    <w:p w14:paraId="536A3C66" w14:textId="48664AD5" w:rsidR="00CD1D20" w:rsidRPr="00CD1D20" w:rsidRDefault="00F05779" w:rsidP="00430690">
      <w:pPr>
        <w:pStyle w:val="Nagwek2"/>
        <w:numPr>
          <w:ilvl w:val="1"/>
          <w:numId w:val="64"/>
        </w:numPr>
      </w:pPr>
      <w:bookmarkStart w:id="140" w:name="_Toc221535817"/>
      <w:r w:rsidRPr="00C8271E">
        <w:rPr>
          <w:szCs w:val="24"/>
        </w:rPr>
        <w:t xml:space="preserve">Ustalenie </w:t>
      </w:r>
      <w:r w:rsidR="003E0D87">
        <w:rPr>
          <w:szCs w:val="24"/>
        </w:rPr>
        <w:t xml:space="preserve">dofinansowania dla projektów </w:t>
      </w:r>
      <w:r w:rsidRPr="00C8271E">
        <w:rPr>
          <w:szCs w:val="24"/>
        </w:rPr>
        <w:t xml:space="preserve">objętych pomocą </w:t>
      </w:r>
      <w:r>
        <w:rPr>
          <w:szCs w:val="24"/>
        </w:rPr>
        <w:t>publiczną.</w:t>
      </w:r>
      <w:bookmarkEnd w:id="140"/>
    </w:p>
    <w:p w14:paraId="1F236F8E" w14:textId="77777777" w:rsidR="00841893" w:rsidRPr="00841893" w:rsidRDefault="00841893" w:rsidP="0070095E">
      <w:pPr>
        <w:rPr>
          <w:szCs w:val="24"/>
        </w:rPr>
      </w:pPr>
      <w:r w:rsidRPr="00841893">
        <w:rPr>
          <w:szCs w:val="24"/>
        </w:rPr>
        <w:t xml:space="preserve">Wartość dofinansowania należy ustalić zgodnie z wytycznymi wskazanymi w odpowiednych rozporządzeniach wykonawczych, odnosząc się do sprecyzowanej tam kwalifikowalności kosztów oraz intensywności dofinansowania. </w:t>
      </w:r>
    </w:p>
    <w:p w14:paraId="2D7B515C" w14:textId="77777777" w:rsidR="00841893" w:rsidRPr="00841893" w:rsidRDefault="00841893" w:rsidP="0070095E">
      <w:pPr>
        <w:rPr>
          <w:szCs w:val="24"/>
        </w:rPr>
      </w:pPr>
      <w:r w:rsidRPr="00841893">
        <w:rPr>
          <w:szCs w:val="24"/>
        </w:rPr>
        <w:t>Kwota pomocy nie przekracza różnicy między kosztami kwalifikowalnymi a zyskiem operacyjnym z inwestycji. Zysk operacyjny odlicza się od kosztów kwalifikowalnych ex ante, na podstawie rozsądnych prognoz.</w:t>
      </w:r>
    </w:p>
    <w:p w14:paraId="6EED07CB" w14:textId="77777777" w:rsidR="00841893" w:rsidRPr="00841893" w:rsidRDefault="00841893" w:rsidP="0070095E">
      <w:pPr>
        <w:spacing w:after="160"/>
        <w:rPr>
          <w:szCs w:val="24"/>
        </w:rPr>
      </w:pPr>
      <w:r w:rsidRPr="00841893">
        <w:rPr>
          <w:szCs w:val="24"/>
        </w:rPr>
        <w:t xml:space="preserve">Zysk operacyjny oznacza różnicę między zdyskontowanymi dochodami a zdyskontowanymi kosztami operacyjnymi w ekonomicznym cyklu życia inwestycji, gdy różnica ta jest wartością dodatnią. </w:t>
      </w:r>
    </w:p>
    <w:p w14:paraId="1650DAA1" w14:textId="77777777" w:rsidR="00841893" w:rsidRPr="00841893" w:rsidRDefault="00841893" w:rsidP="0070095E">
      <w:pPr>
        <w:spacing w:after="160"/>
        <w:rPr>
          <w:szCs w:val="24"/>
        </w:rPr>
      </w:pPr>
      <w:r w:rsidRPr="00841893">
        <w:rPr>
          <w:szCs w:val="24"/>
        </w:rPr>
        <w:t xml:space="preserve">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w:t>
      </w:r>
    </w:p>
    <w:p w14:paraId="36E00AE9" w14:textId="77777777" w:rsidR="00841893" w:rsidRPr="00841893" w:rsidRDefault="00841893" w:rsidP="0070095E">
      <w:pPr>
        <w:spacing w:after="160"/>
        <w:rPr>
          <w:rFonts w:cs="ArialMT"/>
          <w:szCs w:val="24"/>
        </w:rPr>
      </w:pPr>
      <w:r w:rsidRPr="00841893">
        <w:rPr>
          <w:szCs w:val="24"/>
        </w:rPr>
        <w:t>Dyskontowanie przychodów i kosztów operacyjnych przy zastosowaniu odpowiedniej stopy dyskontowej pozwala na osiągnięcie rozsądnego zysku. Wielkości finansowe należy dyskontować stopą dyskontową ustalaną na podstawie stopy referencyjnej wykorzystywanej</w:t>
      </w:r>
      <w:r w:rsidRPr="00841893">
        <w:rPr>
          <w:rFonts w:cs="ArialMT"/>
          <w:szCs w:val="24"/>
        </w:rPr>
        <w:t xml:space="preserve"> do obliczania wartości pomocy publicznej, według wzoru: </w:t>
      </w:r>
    </w:p>
    <w:p w14:paraId="4C0F5DDE" w14:textId="77777777" w:rsidR="00841893" w:rsidRPr="00841893" w:rsidRDefault="00841893" w:rsidP="0070095E">
      <w:pPr>
        <w:spacing w:after="160"/>
        <w:rPr>
          <w:rFonts w:cs="ArialMT"/>
          <w:szCs w:val="24"/>
        </w:rPr>
      </w:pPr>
      <w:r w:rsidRPr="00841893">
        <w:rPr>
          <w:rFonts w:cs="ArialMT"/>
          <w:szCs w:val="24"/>
        </w:rPr>
        <w:t xml:space="preserve">Stopa dyskontowa = stopa bazowa + marża 100 punktów bazowych. </w:t>
      </w:r>
    </w:p>
    <w:p w14:paraId="108229A3" w14:textId="77777777" w:rsidR="00983101" w:rsidRDefault="00841893" w:rsidP="0070095E">
      <w:pPr>
        <w:spacing w:after="160"/>
        <w:rPr>
          <w:rFonts w:cs="ArialMT"/>
          <w:szCs w:val="24"/>
        </w:rPr>
      </w:pPr>
      <w:r w:rsidRPr="00841893">
        <w:rPr>
          <w:rFonts w:cs="ArialMT"/>
          <w:szCs w:val="24"/>
        </w:rPr>
        <w:t xml:space="preserve">Aktualna wartość stopy referencyjnej do obliczania wartości pomocy publicznej:  </w:t>
      </w:r>
    </w:p>
    <w:p w14:paraId="0D6EB180" w14:textId="0C60E9DF" w:rsidR="00983101" w:rsidRDefault="00983101" w:rsidP="0070095E">
      <w:pPr>
        <w:spacing w:after="160"/>
        <w:rPr>
          <w:rFonts w:cs="ArialMT"/>
          <w:szCs w:val="24"/>
        </w:rPr>
      </w:pPr>
      <w:hyperlink r:id="rId9" w:history="1">
        <w:r w:rsidRPr="00EA533C">
          <w:rPr>
            <w:rStyle w:val="Hipercze"/>
            <w:rFonts w:cs="ArialMT"/>
            <w:szCs w:val="24"/>
          </w:rPr>
          <w:t>https://uokik.gov.pl/wyjasnienia-wzory-oraz-pomocne-pliki</w:t>
        </w:r>
      </w:hyperlink>
    </w:p>
    <w:p w14:paraId="49CF7215" w14:textId="7D68BBD8" w:rsidR="00160286" w:rsidRPr="0017703F" w:rsidRDefault="00160286" w:rsidP="0070095E">
      <w:pPr>
        <w:spacing w:after="160"/>
        <w:rPr>
          <w:rFonts w:cs="ArialMT"/>
          <w:b/>
          <w:szCs w:val="24"/>
        </w:rPr>
      </w:pPr>
      <w:r w:rsidRPr="0017703F">
        <w:rPr>
          <w:rFonts w:cs="ArialMT"/>
          <w:b/>
          <w:szCs w:val="24"/>
        </w:rPr>
        <w:t>Analiza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4577FECF" w14:textId="77777777" w:rsidR="00841893" w:rsidRPr="00841893" w:rsidRDefault="00841893" w:rsidP="0070095E">
      <w:pPr>
        <w:spacing w:after="160"/>
        <w:rPr>
          <w:rFonts w:cs="ArialMT"/>
          <w:szCs w:val="24"/>
        </w:rPr>
      </w:pPr>
      <w:r w:rsidRPr="00841893">
        <w:rPr>
          <w:rFonts w:cs="ArialMT"/>
          <w:szCs w:val="24"/>
        </w:rPr>
        <w:t>W celu wyliczenia zysku operacyjnego oraz ustalenia wysokości wsparcia należy:</w:t>
      </w:r>
    </w:p>
    <w:p w14:paraId="277714B5" w14:textId="1F8FAF13" w:rsidR="00841893" w:rsidRPr="00841893" w:rsidRDefault="00841893" w:rsidP="0070095E">
      <w:pPr>
        <w:numPr>
          <w:ilvl w:val="0"/>
          <w:numId w:val="71"/>
        </w:numPr>
        <w:spacing w:after="160"/>
        <w:contextualSpacing/>
        <w:rPr>
          <w:rFonts w:cs="ArialMT"/>
          <w:szCs w:val="24"/>
        </w:rPr>
      </w:pPr>
      <w:r w:rsidRPr="00841893">
        <w:rPr>
          <w:rFonts w:cs="ArialMT"/>
          <w:szCs w:val="24"/>
        </w:rPr>
        <w:t xml:space="preserve">Wziąć pod uwagę przychody i koszty operacyjne projektu w okresie ekonomicznego życia projektu </w:t>
      </w:r>
      <w:r w:rsidR="003E0D87">
        <w:rPr>
          <w:rFonts w:cs="ArialMT"/>
          <w:szCs w:val="24"/>
        </w:rPr>
        <w:t>oraz</w:t>
      </w:r>
      <w:r w:rsidRPr="00841893">
        <w:rPr>
          <w:rFonts w:cs="ArialMT"/>
          <w:szCs w:val="24"/>
        </w:rPr>
        <w:t> wyliczyć zysk:</w:t>
      </w:r>
    </w:p>
    <w:p w14:paraId="3538D790" w14:textId="307CF6DC" w:rsidR="00841893" w:rsidRPr="00841893" w:rsidRDefault="00841893" w:rsidP="0070095E">
      <w:pPr>
        <w:spacing w:before="240"/>
        <w:rPr>
          <w:rFonts w:cs="ArialMT"/>
          <w:szCs w:val="24"/>
        </w:rPr>
      </w:pPr>
      <w:r w:rsidRPr="00841893">
        <w:rPr>
          <w:rFonts w:cs="ArialMT"/>
          <w:szCs w:val="24"/>
        </w:rPr>
        <w:t>Zysk operacyjny ZO = Σ zdyskontowanych przychodów operacyjnych -</w:t>
      </w:r>
      <w:r w:rsidR="00E05B30">
        <w:rPr>
          <w:rFonts w:cs="ArialMT"/>
          <w:szCs w:val="24"/>
        </w:rPr>
        <w:t xml:space="preserve"> </w:t>
      </w:r>
      <w:r w:rsidRPr="00841893">
        <w:rPr>
          <w:rFonts w:cs="ArialMT"/>
          <w:szCs w:val="24"/>
        </w:rPr>
        <w:t>Σ zdyskontowanych kosztów operacyjnych</w:t>
      </w:r>
    </w:p>
    <w:p w14:paraId="55972CCB" w14:textId="70F41E23" w:rsidR="00E05B30" w:rsidRPr="00841893" w:rsidRDefault="00841893" w:rsidP="0070095E">
      <w:pPr>
        <w:numPr>
          <w:ilvl w:val="0"/>
          <w:numId w:val="71"/>
        </w:numPr>
        <w:spacing w:after="160"/>
        <w:contextualSpacing/>
        <w:rPr>
          <w:rFonts w:cs="ArialMT"/>
          <w:szCs w:val="24"/>
        </w:rPr>
      </w:pPr>
      <w:r w:rsidRPr="00841893">
        <w:rPr>
          <w:rFonts w:cs="ArialMT"/>
          <w:szCs w:val="24"/>
        </w:rPr>
        <w:lastRenderedPageBreak/>
        <w:t xml:space="preserve">W przypadku gdy zysk operacyjny ˃ 0 należy go odjąć od </w:t>
      </w:r>
      <w:r w:rsidR="00E05B30" w:rsidRPr="00E05B30">
        <w:rPr>
          <w:rFonts w:cs="ArialMT"/>
          <w:szCs w:val="24"/>
        </w:rPr>
        <w:t xml:space="preserve">zdyskontowanych </w:t>
      </w:r>
      <w:r w:rsidRPr="00841893">
        <w:rPr>
          <w:rFonts w:cs="ArialMT"/>
          <w:szCs w:val="24"/>
        </w:rPr>
        <w:t>kosztów kwalifikowalnych projektu.</w:t>
      </w:r>
    </w:p>
    <w:p w14:paraId="71631A4C" w14:textId="56496166" w:rsidR="002103BB" w:rsidRDefault="00E05B30" w:rsidP="0070095E">
      <w:pPr>
        <w:spacing w:after="160"/>
        <w:contextualSpacing/>
        <w:rPr>
          <w:rFonts w:cs="ArialMT"/>
          <w:szCs w:val="24"/>
        </w:rPr>
      </w:pPr>
      <w:r w:rsidRPr="00F54262">
        <w:rPr>
          <w:rFonts w:cs="ArialMT"/>
          <w:szCs w:val="24"/>
        </w:rPr>
        <w:t>Maksymalna wielkość pomocy (zdyskontowana) = zdyskontowane koszty kwalifikowalne – zysk operacyjny</w:t>
      </w:r>
      <w:r w:rsidR="00F33CBB">
        <w:rPr>
          <w:rFonts w:cs="ArialMT"/>
          <w:szCs w:val="24"/>
        </w:rPr>
        <w:t>.</w:t>
      </w:r>
      <w:r w:rsidRPr="00F35774" w:rsidDel="00E05B30">
        <w:rPr>
          <w:rFonts w:cs="ArialMT"/>
          <w:szCs w:val="24"/>
        </w:rPr>
        <w:t xml:space="preserve"> </w:t>
      </w:r>
    </w:p>
    <w:p w14:paraId="39C92B6C" w14:textId="0C0C14D8" w:rsidR="00841893" w:rsidRPr="00F54262" w:rsidRDefault="000247AB" w:rsidP="0070095E">
      <w:pPr>
        <w:spacing w:after="160"/>
        <w:contextualSpacing/>
        <w:rPr>
          <w:rFonts w:cs="ArialMT"/>
          <w:szCs w:val="24"/>
        </w:rPr>
      </w:pPr>
      <w:r>
        <w:rPr>
          <w:rFonts w:cs="ArialMT"/>
          <w:szCs w:val="24"/>
        </w:rPr>
        <w:t>Następnie n</w:t>
      </w:r>
      <w:r w:rsidR="002103BB" w:rsidRPr="00841893">
        <w:rPr>
          <w:rFonts w:cs="ArialMT"/>
          <w:szCs w:val="24"/>
        </w:rPr>
        <w:t xml:space="preserve">ależy przedstawić maksymalną </w:t>
      </w:r>
      <w:r>
        <w:rPr>
          <w:rFonts w:cs="ArialMT"/>
          <w:szCs w:val="24"/>
        </w:rPr>
        <w:t>wartość</w:t>
      </w:r>
      <w:r w:rsidR="002103BB" w:rsidRPr="00841893">
        <w:rPr>
          <w:rFonts w:cs="ArialMT"/>
          <w:szCs w:val="24"/>
        </w:rPr>
        <w:t xml:space="preserve"> pomocy jako wartość niezdyskontowaną.</w:t>
      </w:r>
    </w:p>
    <w:p w14:paraId="2F51A4D0" w14:textId="25339282" w:rsidR="00841893" w:rsidRPr="00841893" w:rsidRDefault="00841893" w:rsidP="0070095E">
      <w:pPr>
        <w:spacing w:before="240" w:after="160"/>
        <w:rPr>
          <w:rFonts w:cs="ArialMT"/>
          <w:szCs w:val="24"/>
        </w:rPr>
      </w:pPr>
      <w:r w:rsidRPr="00841893">
        <w:rPr>
          <w:rFonts w:cs="ArialMT"/>
          <w:szCs w:val="24"/>
        </w:rPr>
        <w:t xml:space="preserve">Każdorazowo należy porównywać czy wyliczona </w:t>
      </w:r>
      <w:r w:rsidR="00D6207A">
        <w:rPr>
          <w:rFonts w:cs="ArialMT"/>
          <w:szCs w:val="24"/>
        </w:rPr>
        <w:t>wartość</w:t>
      </w:r>
      <w:r w:rsidR="00D6207A" w:rsidRPr="00841893">
        <w:rPr>
          <w:rFonts w:cs="ArialMT"/>
          <w:szCs w:val="24"/>
        </w:rPr>
        <w:t xml:space="preserve"> </w:t>
      </w:r>
      <w:r w:rsidRPr="00841893">
        <w:rPr>
          <w:rFonts w:cs="ArialMT"/>
          <w:szCs w:val="24"/>
        </w:rPr>
        <w:t xml:space="preserve">pomocy nie przewyższa kwoty maksymalnego dofinansowania z Regulaminu wyboru projektów dla naboru (maksymalny % x koszty kwalifikowalne), a w przypadku wystąpienia takiej sytuacji przyjąć niższą kwotę i niższy % dofinansowania. Dokonując porównania należy zwrócić uwagę na różnice w kwalifikowalności kosztów </w:t>
      </w:r>
      <w:r w:rsidR="0070095E">
        <w:rPr>
          <w:rFonts w:cs="ArialMT"/>
          <w:szCs w:val="24"/>
        </w:rPr>
        <w:t xml:space="preserve">w przypadku pomocy publicznej i </w:t>
      </w:r>
      <w:r w:rsidRPr="00841893">
        <w:rPr>
          <w:rFonts w:cs="ArialMT"/>
          <w:szCs w:val="24"/>
        </w:rPr>
        <w:t>dofinansowania na zasadach ogólnych.</w:t>
      </w:r>
    </w:p>
    <w:p w14:paraId="6A2C7ECD" w14:textId="7ACE83FF" w:rsidR="00841893" w:rsidRPr="00841893" w:rsidRDefault="00841893" w:rsidP="0070095E">
      <w:pPr>
        <w:numPr>
          <w:ilvl w:val="0"/>
          <w:numId w:val="71"/>
        </w:numPr>
        <w:spacing w:after="160"/>
        <w:contextualSpacing/>
        <w:rPr>
          <w:rFonts w:cs="ArialMT"/>
          <w:szCs w:val="24"/>
        </w:rPr>
      </w:pPr>
      <w:r w:rsidRPr="00841893">
        <w:rPr>
          <w:rFonts w:cs="ArialMT"/>
          <w:szCs w:val="24"/>
        </w:rPr>
        <w:t>Z kolei w przypadku gdy analizowana działalność nie będzie generowała wyżej wymienionego zysku</w:t>
      </w:r>
      <w:r w:rsidR="00E05B30">
        <w:rPr>
          <w:rFonts w:cs="ArialMT"/>
          <w:szCs w:val="24"/>
        </w:rPr>
        <w:t>,</w:t>
      </w:r>
      <w:r w:rsidRPr="00841893">
        <w:rPr>
          <w:rFonts w:cs="ArialMT"/>
          <w:szCs w:val="24"/>
        </w:rPr>
        <w:t xml:space="preserve"> to jest zysk operacyjny ≤ 0, kwota pomocy będzie się odnosiła jedynie do kosztów kwalifikowalnych projektu.</w:t>
      </w:r>
    </w:p>
    <w:p w14:paraId="48096400" w14:textId="1444C0CC" w:rsidR="00841893" w:rsidRPr="00841893" w:rsidRDefault="00841893" w:rsidP="0070095E">
      <w:pPr>
        <w:spacing w:before="240" w:after="160"/>
        <w:rPr>
          <w:rFonts w:cs="ArialMT"/>
          <w:szCs w:val="24"/>
        </w:rPr>
      </w:pPr>
      <w:r w:rsidRPr="00841893">
        <w:rPr>
          <w:rFonts w:cs="ArialMT"/>
          <w:szCs w:val="24"/>
        </w:rPr>
        <w:t xml:space="preserve">Kwota pomocy = </w:t>
      </w:r>
      <w:r w:rsidR="00E05B30" w:rsidRPr="00841893">
        <w:rPr>
          <w:rFonts w:cs="ArialMT"/>
          <w:szCs w:val="24"/>
        </w:rPr>
        <w:t>koszty kwalifikowalne projektu wykazane we wniosku o dofinansowanie projektu</w:t>
      </w:r>
      <w:r w:rsidR="00E05B30" w:rsidRPr="00841893" w:rsidDel="00E05B30">
        <w:rPr>
          <w:rFonts w:cs="ArialMT"/>
          <w:szCs w:val="24"/>
        </w:rPr>
        <w:t xml:space="preserve"> </w:t>
      </w:r>
      <w:r w:rsidRPr="00841893">
        <w:rPr>
          <w:rFonts w:cs="ArialMT"/>
          <w:szCs w:val="24"/>
        </w:rPr>
        <w:t xml:space="preserve">× </w:t>
      </w:r>
      <w:r w:rsidR="00E05B30" w:rsidRPr="00841893">
        <w:rPr>
          <w:rFonts w:cs="ArialMT"/>
          <w:szCs w:val="24"/>
        </w:rPr>
        <w:t>maksymalna stopa współfinansowania określona w Regulaminie wyboru projektów dla naboru</w:t>
      </w:r>
      <w:r w:rsidR="00D829BF">
        <w:rPr>
          <w:rFonts w:cs="ArialMT"/>
          <w:szCs w:val="24"/>
        </w:rPr>
        <w:t>.</w:t>
      </w:r>
      <w:r w:rsidR="00E05B30" w:rsidRPr="00841893" w:rsidDel="00E05B30">
        <w:rPr>
          <w:rFonts w:cs="ArialMT"/>
          <w:szCs w:val="24"/>
        </w:rPr>
        <w:t xml:space="preserve"> </w:t>
      </w:r>
    </w:p>
    <w:p w14:paraId="6E80D592" w14:textId="77777777" w:rsidR="00841893" w:rsidRPr="00841893" w:rsidRDefault="00841893" w:rsidP="0070095E">
      <w:pPr>
        <w:spacing w:after="160"/>
        <w:rPr>
          <w:rFonts w:cs="ArialMT"/>
          <w:szCs w:val="24"/>
        </w:rPr>
      </w:pPr>
      <w:r w:rsidRPr="00841893">
        <w:rPr>
          <w:rFonts w:cs="ArialMT"/>
          <w:szCs w:val="24"/>
        </w:rPr>
        <w:t>W takim przypadku należy przyjąć poziom dofinansowania zgodny z zapisami Regulaminu wyboru projektów dla naboru (maksymalny % x koszty kwalifikowalne).</w:t>
      </w:r>
    </w:p>
    <w:p w14:paraId="6EB2C04D" w14:textId="1F9D2174" w:rsidR="00841893" w:rsidRPr="00841893" w:rsidRDefault="009E6A20" w:rsidP="0070095E">
      <w:pPr>
        <w:shd w:val="clear" w:color="auto" w:fill="FFFFFF"/>
        <w:ind w:right="39"/>
        <w:rPr>
          <w:szCs w:val="24"/>
        </w:rPr>
      </w:pPr>
      <w:r w:rsidRPr="00430690">
        <w:rPr>
          <w:szCs w:val="24"/>
        </w:rPr>
        <w:t xml:space="preserve">Szczegółowe obliczenia w przypadku obliczania </w:t>
      </w:r>
      <w:r w:rsidR="00D6207A">
        <w:rPr>
          <w:szCs w:val="24"/>
        </w:rPr>
        <w:t>wielkości dofinansowania</w:t>
      </w:r>
      <w:r w:rsidRPr="00430690">
        <w:rPr>
          <w:szCs w:val="24"/>
        </w:rPr>
        <w:t xml:space="preserve"> w oparciu o zysk operacyjny należy wykonać w arkuszu „</w:t>
      </w:r>
      <w:r w:rsidR="00874804">
        <w:rPr>
          <w:szCs w:val="24"/>
        </w:rPr>
        <w:t>Wartość dofinansowania</w:t>
      </w:r>
      <w:r w:rsidRPr="00430690">
        <w:rPr>
          <w:szCs w:val="24"/>
        </w:rPr>
        <w:t>”</w:t>
      </w:r>
      <w:r>
        <w:rPr>
          <w:szCs w:val="24"/>
        </w:rPr>
        <w:t>.</w:t>
      </w:r>
      <w:r w:rsidR="00841893" w:rsidRPr="00841893">
        <w:rPr>
          <w:szCs w:val="24"/>
        </w:rPr>
        <w:t xml:space="preserve"> </w:t>
      </w:r>
    </w:p>
    <w:p w14:paraId="6BCB53F7" w14:textId="6A192E6A" w:rsidR="00CD1D20" w:rsidRPr="00CD1D20" w:rsidRDefault="00841893" w:rsidP="0070095E">
      <w:r w:rsidRPr="00841893">
        <w:rPr>
          <w:szCs w:val="24"/>
        </w:rPr>
        <w:t xml:space="preserve">W tym punkcie należy </w:t>
      </w:r>
      <w:r w:rsidR="00D6207A">
        <w:rPr>
          <w:szCs w:val="24"/>
        </w:rPr>
        <w:t xml:space="preserve">wskazać założenia do obliczeń oraz krótko </w:t>
      </w:r>
      <w:r w:rsidRPr="00841893">
        <w:rPr>
          <w:szCs w:val="24"/>
        </w:rPr>
        <w:t>skomentować otrzymane wyniki.</w:t>
      </w:r>
    </w:p>
    <w:p w14:paraId="1C680140" w14:textId="3C6196C0" w:rsidR="00836DC2" w:rsidRDefault="00836DC2" w:rsidP="00555A4E">
      <w:pPr>
        <w:pStyle w:val="Nagwek1"/>
        <w:numPr>
          <w:ilvl w:val="0"/>
          <w:numId w:val="64"/>
        </w:numPr>
      </w:pPr>
      <w:bookmarkStart w:id="141" w:name="_Toc221535818"/>
      <w:r w:rsidRPr="00071ACC">
        <w:t xml:space="preserve">Analiza </w:t>
      </w:r>
      <w:r w:rsidRPr="00B41C7E">
        <w:t>ekonomiczna</w:t>
      </w:r>
      <w:bookmarkEnd w:id="141"/>
    </w:p>
    <w:p w14:paraId="2885EE70" w14:textId="1C858306" w:rsidR="001E1CC0" w:rsidRPr="001E1CC0" w:rsidRDefault="00D57D0E" w:rsidP="00D57D0E">
      <w:r>
        <w:rPr>
          <w:szCs w:val="24"/>
        </w:rPr>
        <w:t>A</w:t>
      </w:r>
      <w:r w:rsidR="001E1CC0" w:rsidRPr="003D7C5E">
        <w:rPr>
          <w:szCs w:val="24"/>
        </w:rPr>
        <w:t xml:space="preserve">nalizę </w:t>
      </w:r>
      <w:r w:rsidR="001E1CC0">
        <w:rPr>
          <w:szCs w:val="24"/>
        </w:rPr>
        <w:t>ekonomiczną</w:t>
      </w:r>
      <w:r w:rsidR="001E1CC0" w:rsidRPr="003D7C5E">
        <w:rPr>
          <w:szCs w:val="24"/>
        </w:rPr>
        <w:t xml:space="preserve"> należy przygotować </w:t>
      </w:r>
      <w:r>
        <w:rPr>
          <w:szCs w:val="24"/>
        </w:rPr>
        <w:t>zgodnie z metodyką przedstawioną</w:t>
      </w:r>
      <w:r w:rsidR="001E1CC0" w:rsidRPr="00297C77">
        <w:rPr>
          <w:szCs w:val="24"/>
        </w:rPr>
        <w:t xml:space="preserve"> poniżej.</w:t>
      </w:r>
    </w:p>
    <w:p w14:paraId="548EB690" w14:textId="28DD7F9C" w:rsidR="000C3037" w:rsidRPr="00B41C7E" w:rsidRDefault="000C3037" w:rsidP="00555A4E">
      <w:pPr>
        <w:pStyle w:val="Akapitzlist"/>
        <w:ind w:left="0"/>
        <w:rPr>
          <w:szCs w:val="24"/>
        </w:rPr>
      </w:pPr>
      <w:bookmarkStart w:id="142" w:name="_Toc132186628"/>
      <w:bookmarkStart w:id="143" w:name="_Toc132193915"/>
      <w:bookmarkStart w:id="144" w:name="_Toc132194000"/>
      <w:bookmarkStart w:id="145" w:name="_Toc132194080"/>
      <w:bookmarkStart w:id="146" w:name="_Toc132194127"/>
      <w:bookmarkStart w:id="147" w:name="_Toc132194175"/>
      <w:bookmarkStart w:id="148" w:name="_Toc132194276"/>
      <w:bookmarkStart w:id="149" w:name="_Toc132194316"/>
      <w:bookmarkStart w:id="150" w:name="_Toc132195192"/>
      <w:bookmarkStart w:id="151" w:name="_Toc132195286"/>
      <w:bookmarkStart w:id="152" w:name="_Toc132195326"/>
      <w:bookmarkStart w:id="153" w:name="_Toc132195362"/>
      <w:bookmarkStart w:id="154" w:name="_Toc131499732"/>
      <w:bookmarkStart w:id="155" w:name="_Toc131499787"/>
      <w:bookmarkStart w:id="156" w:name="_Toc131499892"/>
      <w:bookmarkStart w:id="157" w:name="_Toc131499952"/>
      <w:bookmarkStart w:id="158" w:name="_Toc131500183"/>
      <w:bookmarkStart w:id="159" w:name="_Toc131501847"/>
      <w:bookmarkStart w:id="160" w:name="_Toc131496754"/>
      <w:bookmarkStart w:id="161" w:name="_Toc131498182"/>
      <w:bookmarkStart w:id="162" w:name="_Toc131499088"/>
      <w:bookmarkStart w:id="163" w:name="_Toc131499146"/>
      <w:bookmarkStart w:id="164" w:name="_Toc131499733"/>
      <w:bookmarkStart w:id="165" w:name="_Toc131499788"/>
      <w:bookmarkStart w:id="166" w:name="_Toc131499893"/>
      <w:bookmarkStart w:id="167" w:name="_Toc131499953"/>
      <w:bookmarkStart w:id="168" w:name="_Toc131500184"/>
      <w:bookmarkStart w:id="169" w:name="_Toc131501848"/>
      <w:bookmarkStart w:id="170" w:name="_Toc131496755"/>
      <w:bookmarkStart w:id="171" w:name="_Toc131498183"/>
      <w:bookmarkStart w:id="172" w:name="_Toc131499089"/>
      <w:bookmarkStart w:id="173" w:name="_Toc131499147"/>
      <w:bookmarkStart w:id="174" w:name="_Toc131499734"/>
      <w:bookmarkStart w:id="175" w:name="_Toc131499789"/>
      <w:bookmarkStart w:id="176" w:name="_Toc131499894"/>
      <w:bookmarkStart w:id="177" w:name="_Toc131499954"/>
      <w:bookmarkStart w:id="178" w:name="_Toc131500185"/>
      <w:bookmarkStart w:id="179" w:name="_Toc131501849"/>
      <w:bookmarkStart w:id="180" w:name="_Toc131502054"/>
      <w:bookmarkStart w:id="181" w:name="_Toc131062166"/>
      <w:bookmarkStart w:id="182" w:name="_Toc131062241"/>
      <w:bookmarkStart w:id="183" w:name="_Toc131492632"/>
      <w:bookmarkStart w:id="184" w:name="_Toc131492672"/>
      <w:bookmarkStart w:id="185" w:name="_Toc131494584"/>
      <w:bookmarkStart w:id="186" w:name="_Toc131494798"/>
      <w:bookmarkStart w:id="187" w:name="_Toc131495905"/>
      <w:bookmarkStart w:id="188" w:name="_Toc131495986"/>
      <w:bookmarkStart w:id="189" w:name="_Toc131496525"/>
      <w:bookmarkStart w:id="190" w:name="_Toc131496756"/>
      <w:bookmarkStart w:id="191" w:name="_Toc131498184"/>
      <w:bookmarkStart w:id="192" w:name="_Toc131499090"/>
      <w:bookmarkStart w:id="193" w:name="_Toc131499148"/>
      <w:bookmarkStart w:id="194" w:name="_Toc131499735"/>
      <w:bookmarkStart w:id="195" w:name="_Toc131499790"/>
      <w:bookmarkStart w:id="196" w:name="_Toc131499895"/>
      <w:bookmarkStart w:id="197" w:name="_Toc131499955"/>
      <w:bookmarkStart w:id="198" w:name="_Toc131500186"/>
      <w:bookmarkStart w:id="199" w:name="_Toc131501850"/>
      <w:bookmarkStart w:id="200" w:name="_Toc131502055"/>
      <w:bookmarkStart w:id="201" w:name="_Toc131062167"/>
      <w:bookmarkStart w:id="202" w:name="_Toc131062242"/>
      <w:bookmarkStart w:id="203" w:name="_Toc131492633"/>
      <w:bookmarkStart w:id="204" w:name="_Toc131492673"/>
      <w:bookmarkStart w:id="205" w:name="_Toc131494585"/>
      <w:bookmarkStart w:id="206" w:name="_Toc131494799"/>
      <w:bookmarkStart w:id="207" w:name="_Toc131495906"/>
      <w:bookmarkStart w:id="208" w:name="_Toc131495987"/>
      <w:bookmarkStart w:id="209" w:name="_Toc131496526"/>
      <w:bookmarkStart w:id="210" w:name="_Toc131496757"/>
      <w:bookmarkStart w:id="211" w:name="_Toc131498185"/>
      <w:bookmarkStart w:id="212" w:name="_Toc131499091"/>
      <w:bookmarkStart w:id="213" w:name="_Toc131499149"/>
      <w:bookmarkStart w:id="214" w:name="_Toc131499736"/>
      <w:bookmarkStart w:id="215" w:name="_Toc131499791"/>
      <w:bookmarkStart w:id="216" w:name="_Toc131499896"/>
      <w:bookmarkStart w:id="217" w:name="_Toc131499956"/>
      <w:bookmarkStart w:id="218" w:name="_Toc131500187"/>
      <w:bookmarkStart w:id="219" w:name="_Toc131501851"/>
      <w:bookmarkStart w:id="220" w:name="_Toc131502056"/>
      <w:bookmarkStart w:id="221" w:name="_Toc131062168"/>
      <w:bookmarkStart w:id="222" w:name="_Toc131062243"/>
      <w:bookmarkStart w:id="223" w:name="_Toc131492634"/>
      <w:bookmarkStart w:id="224" w:name="_Toc131492674"/>
      <w:bookmarkStart w:id="225" w:name="_Toc131494586"/>
      <w:bookmarkStart w:id="226" w:name="_Toc131494800"/>
      <w:bookmarkStart w:id="227" w:name="_Toc131495907"/>
      <w:bookmarkStart w:id="228" w:name="_Toc131495988"/>
      <w:bookmarkStart w:id="229" w:name="_Toc131496527"/>
      <w:bookmarkStart w:id="230" w:name="_Toc131496758"/>
      <w:bookmarkStart w:id="231" w:name="_Toc131498186"/>
      <w:bookmarkStart w:id="232" w:name="_Toc131499092"/>
      <w:bookmarkStart w:id="233" w:name="_Toc131499150"/>
      <w:bookmarkStart w:id="234" w:name="_Toc131499737"/>
      <w:bookmarkStart w:id="235" w:name="_Toc131499792"/>
      <w:bookmarkStart w:id="236" w:name="_Toc131499897"/>
      <w:bookmarkStart w:id="237" w:name="_Toc131499957"/>
      <w:bookmarkStart w:id="238" w:name="_Toc131500188"/>
      <w:bookmarkStart w:id="239" w:name="_Toc131501852"/>
      <w:bookmarkStart w:id="240" w:name="_Toc131502057"/>
      <w:bookmarkStart w:id="241" w:name="_Toc131062169"/>
      <w:bookmarkStart w:id="242" w:name="_Toc131062244"/>
      <w:bookmarkStart w:id="243" w:name="_Toc131492635"/>
      <w:bookmarkStart w:id="244" w:name="_Toc131492675"/>
      <w:bookmarkStart w:id="245" w:name="_Toc131494587"/>
      <w:bookmarkStart w:id="246" w:name="_Toc131494801"/>
      <w:bookmarkStart w:id="247" w:name="_Toc131495908"/>
      <w:bookmarkStart w:id="248" w:name="_Toc131495989"/>
      <w:bookmarkStart w:id="249" w:name="_Toc131496528"/>
      <w:bookmarkStart w:id="250" w:name="_Toc131496759"/>
      <w:bookmarkStart w:id="251" w:name="_Toc131498187"/>
      <w:bookmarkStart w:id="252" w:name="_Toc131499093"/>
      <w:bookmarkStart w:id="253" w:name="_Toc131499151"/>
      <w:bookmarkStart w:id="254" w:name="_Toc131499738"/>
      <w:bookmarkStart w:id="255" w:name="_Toc131499793"/>
      <w:bookmarkStart w:id="256" w:name="_Toc131499898"/>
      <w:bookmarkStart w:id="257" w:name="_Toc131499958"/>
      <w:bookmarkStart w:id="258" w:name="_Toc131500189"/>
      <w:bookmarkStart w:id="259" w:name="_Toc131501853"/>
      <w:bookmarkStart w:id="260" w:name="_Toc131502058"/>
      <w:bookmarkStart w:id="261" w:name="_Toc131062170"/>
      <w:bookmarkStart w:id="262" w:name="_Toc131062245"/>
      <w:bookmarkStart w:id="263" w:name="_Toc131492636"/>
      <w:bookmarkStart w:id="264" w:name="_Toc131492676"/>
      <w:bookmarkStart w:id="265" w:name="_Toc131494588"/>
      <w:bookmarkStart w:id="266" w:name="_Toc131494802"/>
      <w:bookmarkStart w:id="267" w:name="_Toc131495909"/>
      <w:bookmarkStart w:id="268" w:name="_Toc131495990"/>
      <w:bookmarkStart w:id="269" w:name="_Toc131496529"/>
      <w:bookmarkStart w:id="270" w:name="_Toc131496760"/>
      <w:bookmarkStart w:id="271" w:name="_Toc131498188"/>
      <w:bookmarkStart w:id="272" w:name="_Toc131499094"/>
      <w:bookmarkStart w:id="273" w:name="_Toc131499152"/>
      <w:bookmarkStart w:id="274" w:name="_Toc131499739"/>
      <w:bookmarkStart w:id="275" w:name="_Toc131499794"/>
      <w:bookmarkStart w:id="276" w:name="_Toc131499899"/>
      <w:bookmarkStart w:id="277" w:name="_Toc131499959"/>
      <w:bookmarkStart w:id="278" w:name="_Toc131500190"/>
      <w:bookmarkStart w:id="279" w:name="_Toc131501854"/>
      <w:bookmarkStart w:id="280" w:name="_Toc131502059"/>
      <w:bookmarkStart w:id="281" w:name="_Toc131062171"/>
      <w:bookmarkStart w:id="282" w:name="_Toc131062246"/>
      <w:bookmarkStart w:id="283" w:name="_Toc131492637"/>
      <w:bookmarkStart w:id="284" w:name="_Toc131492677"/>
      <w:bookmarkStart w:id="285" w:name="_Toc131494589"/>
      <w:bookmarkStart w:id="286" w:name="_Toc131494803"/>
      <w:bookmarkStart w:id="287" w:name="_Toc131495910"/>
      <w:bookmarkStart w:id="288" w:name="_Toc131495991"/>
      <w:bookmarkStart w:id="289" w:name="_Toc131496530"/>
      <w:bookmarkStart w:id="290" w:name="_Toc131496761"/>
      <w:bookmarkStart w:id="291" w:name="_Toc131498189"/>
      <w:bookmarkStart w:id="292" w:name="_Toc131499095"/>
      <w:bookmarkStart w:id="293" w:name="_Toc131499153"/>
      <w:bookmarkStart w:id="294" w:name="_Toc131499740"/>
      <w:bookmarkStart w:id="295" w:name="_Toc131499795"/>
      <w:bookmarkStart w:id="296" w:name="_Toc131499900"/>
      <w:bookmarkStart w:id="297" w:name="_Toc131499960"/>
      <w:bookmarkStart w:id="298" w:name="_Toc131500191"/>
      <w:bookmarkStart w:id="299" w:name="_Toc131501855"/>
      <w:bookmarkStart w:id="300" w:name="_Toc131502060"/>
      <w:bookmarkStart w:id="301" w:name="_Toc131062172"/>
      <w:bookmarkStart w:id="302" w:name="_Toc131062247"/>
      <w:bookmarkStart w:id="303" w:name="_Toc131492638"/>
      <w:bookmarkStart w:id="304" w:name="_Toc131492678"/>
      <w:bookmarkStart w:id="305" w:name="_Toc131494590"/>
      <w:bookmarkStart w:id="306" w:name="_Toc131494804"/>
      <w:bookmarkStart w:id="307" w:name="_Toc131495911"/>
      <w:bookmarkStart w:id="308" w:name="_Toc131495992"/>
      <w:bookmarkStart w:id="309" w:name="_Toc131496531"/>
      <w:bookmarkStart w:id="310" w:name="_Toc131496762"/>
      <w:bookmarkStart w:id="311" w:name="_Toc131498190"/>
      <w:bookmarkStart w:id="312" w:name="_Toc131499096"/>
      <w:bookmarkStart w:id="313" w:name="_Toc131499154"/>
      <w:bookmarkStart w:id="314" w:name="_Toc131499741"/>
      <w:bookmarkStart w:id="315" w:name="_Toc131499796"/>
      <w:bookmarkStart w:id="316" w:name="_Toc131499901"/>
      <w:bookmarkStart w:id="317" w:name="_Toc131499961"/>
      <w:bookmarkStart w:id="318" w:name="_Toc131500192"/>
      <w:bookmarkStart w:id="319" w:name="_Toc131501856"/>
      <w:bookmarkStart w:id="320" w:name="_Toc13150206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B41C7E">
        <w:rPr>
          <w:szCs w:val="24"/>
        </w:rPr>
        <w:t>Analiza ekonomiczna przeprowadzana jest w drodze skorygowania wyników analizy finansowej o efekty fiskalne, efekty zewnętrzne oraz ceny rozrachunkowe. Do oszacowania kosztów i korzyści ekonomicznych stosowana jest, podobnie jak w analizie finansowej, metoda DCF. Analizę ekonomiczną przeprowadza się w cenach stałych. Społeczna stopa dyskontowa (społeczny wskaźnik waloryzacji), jaką należy przyjąć w analizie ekonomicznej, zgodnie z rekomendacją zawartą w Vademecum AE, wynosi 3%.</w:t>
      </w:r>
    </w:p>
    <w:p w14:paraId="42AB6F9F" w14:textId="41CEA0F7" w:rsidR="000C3037" w:rsidRPr="00B41C7E" w:rsidRDefault="000C3037" w:rsidP="003D7C5E">
      <w:pPr>
        <w:rPr>
          <w:szCs w:val="24"/>
        </w:rPr>
      </w:pPr>
      <w:r w:rsidRPr="00B41C7E">
        <w:rPr>
          <w:szCs w:val="24"/>
        </w:rPr>
        <w:t>Podstawą do przeprowadzenia analizy ekonomicznej są przepływy środków pieniężnych określone w analizie finansowej. Przy określaniu ekonomicznych wskaźników efektywności należy jednak dokonać niezbędnych korekt dotyczących:</w:t>
      </w:r>
    </w:p>
    <w:p w14:paraId="6C2356B2" w14:textId="7A62043B" w:rsidR="007C45CB" w:rsidRPr="00B41C7E" w:rsidRDefault="007C45CB" w:rsidP="00B41C7E">
      <w:pPr>
        <w:pStyle w:val="Akapitzlist"/>
        <w:numPr>
          <w:ilvl w:val="0"/>
          <w:numId w:val="46"/>
        </w:numPr>
        <w:rPr>
          <w:szCs w:val="24"/>
        </w:rPr>
      </w:pPr>
      <w:r w:rsidRPr="00B41C7E">
        <w:rPr>
          <w:rFonts w:cs="ArialMT"/>
          <w:szCs w:val="24"/>
        </w:rPr>
        <w:t>efektów fiskalnych</w:t>
      </w:r>
      <w:r w:rsidRPr="00B41C7E">
        <w:rPr>
          <w:szCs w:val="24"/>
        </w:rPr>
        <w:t xml:space="preserve"> (transferów),</w:t>
      </w:r>
    </w:p>
    <w:p w14:paraId="27FA5258" w14:textId="74E31801" w:rsidR="00944AF9" w:rsidRPr="00B41C7E" w:rsidRDefault="000C3037" w:rsidP="00555A4E">
      <w:pPr>
        <w:pStyle w:val="Akapitzlist"/>
        <w:numPr>
          <w:ilvl w:val="0"/>
          <w:numId w:val="46"/>
        </w:numPr>
        <w:rPr>
          <w:szCs w:val="24"/>
        </w:rPr>
      </w:pPr>
      <w:r w:rsidRPr="00B41C7E">
        <w:rPr>
          <w:szCs w:val="24"/>
        </w:rPr>
        <w:t>efektów zewnętrznych,</w:t>
      </w:r>
    </w:p>
    <w:p w14:paraId="642FF9F7" w14:textId="471CD7F9" w:rsidR="000C3037" w:rsidRPr="00B41C7E" w:rsidRDefault="000C3037" w:rsidP="00555A4E">
      <w:pPr>
        <w:pStyle w:val="Akapitzlist"/>
        <w:numPr>
          <w:ilvl w:val="0"/>
          <w:numId w:val="46"/>
        </w:numPr>
        <w:rPr>
          <w:szCs w:val="24"/>
        </w:rPr>
      </w:pPr>
      <w:r w:rsidRPr="00B41C7E">
        <w:rPr>
          <w:szCs w:val="24"/>
        </w:rPr>
        <w:t>przekształceń z cen rynkowych na ceny rozrachunkowe.</w:t>
      </w:r>
    </w:p>
    <w:p w14:paraId="57DCB677" w14:textId="1658EF46" w:rsidR="000C3037" w:rsidRPr="00B41C7E" w:rsidRDefault="000C3037" w:rsidP="00555A4E">
      <w:pPr>
        <w:pStyle w:val="Akapitzlist"/>
        <w:ind w:left="0"/>
        <w:rPr>
          <w:szCs w:val="24"/>
        </w:rPr>
      </w:pPr>
    </w:p>
    <w:p w14:paraId="721223B1" w14:textId="0CFAA7EC" w:rsidR="000C3037" w:rsidRPr="00B41C7E" w:rsidRDefault="000C3037" w:rsidP="00555A4E">
      <w:pPr>
        <w:pStyle w:val="Akapitzlist"/>
        <w:ind w:left="0"/>
        <w:rPr>
          <w:szCs w:val="24"/>
        </w:rPr>
      </w:pPr>
      <w:r w:rsidRPr="00B41C7E">
        <w:rPr>
          <w:szCs w:val="24"/>
        </w:rPr>
        <w:t xml:space="preserve">Korekty fiskalne polegają, </w:t>
      </w:r>
      <w:r w:rsidR="00862D9C">
        <w:rPr>
          <w:szCs w:val="24"/>
        </w:rPr>
        <w:t>między innymi</w:t>
      </w:r>
      <w:r w:rsidRPr="00B41C7E">
        <w:rPr>
          <w:szCs w:val="24"/>
        </w:rPr>
        <w:t xml:space="preserve"> na skorygowaniu następujących pozycji:</w:t>
      </w:r>
    </w:p>
    <w:p w14:paraId="67F2C9EB" w14:textId="0708B240" w:rsidR="000C3037" w:rsidRPr="00B41C7E" w:rsidRDefault="000C3037" w:rsidP="00555A4E">
      <w:pPr>
        <w:pStyle w:val="Akapitzlist"/>
        <w:numPr>
          <w:ilvl w:val="0"/>
          <w:numId w:val="45"/>
        </w:numPr>
        <w:rPr>
          <w:szCs w:val="24"/>
        </w:rPr>
      </w:pPr>
      <w:r w:rsidRPr="00B41C7E">
        <w:rPr>
          <w:szCs w:val="24"/>
        </w:rPr>
        <w:lastRenderedPageBreak/>
        <w:t>odliczeniu podatków pośrednich (</w:t>
      </w:r>
      <w:r w:rsidR="00862D9C">
        <w:rPr>
          <w:szCs w:val="24"/>
        </w:rPr>
        <w:t>na przykład:</w:t>
      </w:r>
      <w:r w:rsidRPr="00B41C7E">
        <w:rPr>
          <w:szCs w:val="24"/>
        </w:rPr>
        <w:t xml:space="preserve"> VAT, który w analizie finansowej był uwzględniany w cenach, czy też podatku akcyzowego),</w:t>
      </w:r>
    </w:p>
    <w:p w14:paraId="3BD1F8AF" w14:textId="7E592DD0" w:rsidR="000C3037" w:rsidRPr="00B41C7E" w:rsidRDefault="000C3037" w:rsidP="00555A4E">
      <w:pPr>
        <w:pStyle w:val="Akapitzlist"/>
        <w:numPr>
          <w:ilvl w:val="0"/>
          <w:numId w:val="45"/>
        </w:numPr>
        <w:rPr>
          <w:szCs w:val="24"/>
        </w:rPr>
      </w:pPr>
      <w:r w:rsidRPr="00B41C7E">
        <w:rPr>
          <w:szCs w:val="24"/>
        </w:rPr>
        <w:t xml:space="preserve">odliczeniu subwencji i wpłat, mających charakter wyłącznie przekazu pieniężnego – </w:t>
      </w:r>
      <w:r w:rsidR="00862D9C">
        <w:rPr>
          <w:szCs w:val="24"/>
        </w:rPr>
        <w:t>tak zwanych</w:t>
      </w:r>
      <w:r w:rsidRPr="00B41C7E">
        <w:rPr>
          <w:szCs w:val="24"/>
        </w:rPr>
        <w:t xml:space="preserve"> ”czystych” płatności transferowych przekazywanych przez podmioty publiczne na rzecz osób fizycznych (</w:t>
      </w:r>
      <w:r w:rsidR="00862D9C">
        <w:rPr>
          <w:szCs w:val="24"/>
        </w:rPr>
        <w:t>na przykład:</w:t>
      </w:r>
      <w:r w:rsidRPr="00B41C7E">
        <w:rPr>
          <w:szCs w:val="24"/>
        </w:rPr>
        <w:t xml:space="preserve"> płatności z tytułu ubezpieczeń społecznych),</w:t>
      </w:r>
    </w:p>
    <w:p w14:paraId="038CDCB6" w14:textId="512CB47B" w:rsidR="000C3037" w:rsidRPr="00B41C7E" w:rsidRDefault="000C3037" w:rsidP="00555A4E">
      <w:pPr>
        <w:pStyle w:val="Akapitzlist"/>
        <w:numPr>
          <w:ilvl w:val="0"/>
          <w:numId w:val="45"/>
        </w:numPr>
        <w:rPr>
          <w:szCs w:val="24"/>
        </w:rPr>
      </w:pPr>
      <w:r w:rsidRPr="00B41C7E">
        <w:rPr>
          <w:szCs w:val="24"/>
        </w:rPr>
        <w:t>uwzględnieniu w cenie tych konkretnych podatków pośrednich / subwencji /dotacji, które mają za zadanie zmienić efekty zewnętrzne. Jednakże należy pamiętać, aby w trakcie analizy nie liczyć ich podwójnie (przykładowo jako podatek włączony do danej ceny oraz jako szacunkowy zewnętrzny koszt środowiskowy).</w:t>
      </w:r>
    </w:p>
    <w:p w14:paraId="0ECAD665" w14:textId="7BBF28BA" w:rsidR="00944AF9" w:rsidRPr="00B41C7E" w:rsidRDefault="00944AF9" w:rsidP="003D7C5E">
      <w:pPr>
        <w:rPr>
          <w:szCs w:val="24"/>
        </w:rPr>
      </w:pPr>
      <w:r w:rsidRPr="00B41C7E">
        <w:rPr>
          <w:szCs w:val="24"/>
        </w:rPr>
        <w:t>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23A9B8A4" w14:textId="225FCCC9" w:rsidR="000C3037" w:rsidRPr="00B41C7E" w:rsidRDefault="000C3037" w:rsidP="00B41C7E">
      <w:pPr>
        <w:rPr>
          <w:szCs w:val="24"/>
        </w:rPr>
      </w:pPr>
      <w:r w:rsidRPr="00B41C7E">
        <w:rPr>
          <w:szCs w:val="24"/>
        </w:rPr>
        <w:t>Przekształcenie z cen rynkowych w ceny rozrachunkowe (ukryte) ma na celu uwzględnienie czynników mogących oderwać ceny od równowagi konkurencyjnej (</w:t>
      </w:r>
      <w:r w:rsidR="003D7C5E">
        <w:rPr>
          <w:szCs w:val="24"/>
        </w:rPr>
        <w:t>to jest</w:t>
      </w:r>
      <w:r w:rsidRPr="003D7C5E">
        <w:rPr>
          <w:szCs w:val="24"/>
        </w:rPr>
        <w:t xml:space="preserve"> skutecznego rynku), takich jak: niedoskonałości rynku, monopole, bariery handlowe, regulacje w z</w:t>
      </w:r>
      <w:r w:rsidRPr="00B41C7E">
        <w:rPr>
          <w:szCs w:val="24"/>
        </w:rPr>
        <w:t xml:space="preserve">akresie prawa pracy, niepełna informacja </w:t>
      </w:r>
      <w:r w:rsidR="003D7C5E">
        <w:rPr>
          <w:szCs w:val="24"/>
        </w:rPr>
        <w:t>i tym podobne</w:t>
      </w:r>
      <w:r w:rsidRPr="00B41C7E">
        <w:rPr>
          <w:szCs w:val="24"/>
        </w:rPr>
        <w:t>.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shadow wage). Szczegółowe informacje na temat przekształcania cen rynkowych na ceny rozrachunkowe wraz z przykładowymi czynnikami konwersji przedstawione zostały w Vademecum AE.</w:t>
      </w:r>
    </w:p>
    <w:p w14:paraId="0FBAF4A5" w14:textId="2D854F18" w:rsidR="000C3037" w:rsidRPr="00B41C7E" w:rsidRDefault="000C3037" w:rsidP="00B41C7E">
      <w:pPr>
        <w:rPr>
          <w:szCs w:val="24"/>
        </w:rPr>
      </w:pPr>
      <w:r w:rsidRPr="00B41C7E">
        <w:rPr>
          <w:szCs w:val="24"/>
        </w:rPr>
        <w:t>W celu dokonania oceny ekonomicznej projektu należy posłużyć się następującymi ekonomicznymi wskaźnikami efektywności:</w:t>
      </w:r>
    </w:p>
    <w:p w14:paraId="12480C07" w14:textId="3B14A1E2" w:rsidR="000C3037" w:rsidRPr="00B41C7E" w:rsidRDefault="000C3037" w:rsidP="00B41C7E">
      <w:pPr>
        <w:pStyle w:val="Akapitzlist"/>
        <w:numPr>
          <w:ilvl w:val="0"/>
          <w:numId w:val="49"/>
        </w:numPr>
        <w:rPr>
          <w:szCs w:val="24"/>
        </w:rPr>
      </w:pPr>
      <w:r w:rsidRPr="00B41C7E">
        <w:rPr>
          <w:szCs w:val="24"/>
        </w:rPr>
        <w:t>ENPV, która powinna być większa od zera,</w:t>
      </w:r>
    </w:p>
    <w:p w14:paraId="710210DA" w14:textId="219334B8" w:rsidR="000C3037" w:rsidRPr="00B41C7E" w:rsidRDefault="000C3037" w:rsidP="00B41C7E">
      <w:pPr>
        <w:pStyle w:val="Akapitzlist"/>
        <w:numPr>
          <w:ilvl w:val="0"/>
          <w:numId w:val="49"/>
        </w:numPr>
        <w:rPr>
          <w:szCs w:val="24"/>
        </w:rPr>
      </w:pPr>
      <w:r w:rsidRPr="00B41C7E">
        <w:rPr>
          <w:szCs w:val="24"/>
        </w:rPr>
        <w:t>ERR, która powinna przewyższać przyjętą stopę dyskontową,</w:t>
      </w:r>
    </w:p>
    <w:p w14:paraId="7DBF15A0" w14:textId="275A339D" w:rsidR="000C3037" w:rsidRPr="00B41C7E" w:rsidRDefault="000C3037" w:rsidP="00B41C7E">
      <w:pPr>
        <w:pStyle w:val="Akapitzlist"/>
        <w:numPr>
          <w:ilvl w:val="0"/>
          <w:numId w:val="49"/>
        </w:numPr>
        <w:rPr>
          <w:szCs w:val="24"/>
        </w:rPr>
      </w:pPr>
      <w:r w:rsidRPr="00B41C7E">
        <w:rPr>
          <w:szCs w:val="24"/>
        </w:rPr>
        <w:t>relacją zdyskontowanych korzyści do zdyskontowanych kosztów (B/C), która powinna być wyższa od jedności.</w:t>
      </w:r>
    </w:p>
    <w:p w14:paraId="06EA0E0F" w14:textId="2E1C00C6" w:rsidR="000C3037" w:rsidRPr="00B41C7E" w:rsidRDefault="000C3037" w:rsidP="00B41C7E">
      <w:pPr>
        <w:rPr>
          <w:szCs w:val="24"/>
        </w:rPr>
      </w:pPr>
      <w:r w:rsidRPr="00B41C7E">
        <w:rPr>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p>
    <w:p w14:paraId="03568972" w14:textId="503FF84F" w:rsidR="007956B1" w:rsidRPr="00B41C7E" w:rsidRDefault="00507F00" w:rsidP="00B41C7E">
      <w:pPr>
        <w:rPr>
          <w:szCs w:val="24"/>
        </w:rPr>
      </w:pPr>
      <w:r w:rsidRPr="00B41C7E">
        <w:rPr>
          <w:szCs w:val="24"/>
        </w:rPr>
        <w:t xml:space="preserve">Ekonomiczna stopa zwrotu (ERR) określa ekonomiczny zwrot z projektu. W przypadku, gdy wartość ENPV wynosi zero, </w:t>
      </w:r>
      <w:r w:rsidR="00862D9C">
        <w:rPr>
          <w:szCs w:val="24"/>
        </w:rPr>
        <w:t>to znaczy</w:t>
      </w:r>
      <w:r w:rsidRPr="00B41C7E">
        <w:rPr>
          <w:szCs w:val="24"/>
        </w:rPr>
        <w:t xml:space="preserve"> bieżąca wartość przyszłych korzyści ekonomicznych jest równa bieżącej wartości kosztów ekonomicznych projektu, ERR jest równe przyjętej stopie dyskontowej. W przypadku, gdy ERR jest niższe od przyjętej stopy dyskontowej, ENPV jest ujemne, co oznacza, </w:t>
      </w:r>
      <w:r w:rsidRPr="00B41C7E">
        <w:rPr>
          <w:szCs w:val="24"/>
        </w:rPr>
        <w:lastRenderedPageBreak/>
        <w:t>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w:t>
      </w:r>
    </w:p>
    <w:p w14:paraId="36FA9FF1" w14:textId="3EBE2EC5" w:rsidR="00507F00" w:rsidRPr="00B41C7E" w:rsidRDefault="00507F00" w:rsidP="00B41C7E">
      <w:pPr>
        <w:rPr>
          <w:szCs w:val="24"/>
        </w:rPr>
      </w:pPr>
      <w:r w:rsidRPr="00B41C7E">
        <w:rPr>
          <w:szCs w:val="24"/>
        </w:rPr>
        <w:t>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w:t>
      </w:r>
    </w:p>
    <w:p w14:paraId="2115139C" w14:textId="68B05737" w:rsidR="00507F00" w:rsidRPr="00B41C7E" w:rsidRDefault="00507F00" w:rsidP="00B41C7E">
      <w:pPr>
        <w:rPr>
          <w:szCs w:val="24"/>
        </w:rPr>
      </w:pPr>
      <w:r w:rsidRPr="00B41C7E">
        <w:rPr>
          <w:szCs w:val="24"/>
        </w:rPr>
        <w:t>Wzory do obliczenia powyższych wskaźników zostały przedstawione w Załączniku 1 do Wytycznych dotyczących zagadnień związanych z przygotowaniem projektów inwestycyjnych, w tym hybrydowych na lata 2021-2027.</w:t>
      </w:r>
    </w:p>
    <w:p w14:paraId="48D0504D" w14:textId="5E6982D2" w:rsidR="007C45CB" w:rsidRPr="00071ACC" w:rsidRDefault="007C45CB" w:rsidP="00555A4E">
      <w:pPr>
        <w:pStyle w:val="Nagwek1"/>
        <w:numPr>
          <w:ilvl w:val="0"/>
          <w:numId w:val="64"/>
        </w:numPr>
      </w:pPr>
      <w:bookmarkStart w:id="321" w:name="_Toc131499743"/>
      <w:bookmarkStart w:id="322" w:name="_Toc131499798"/>
      <w:bookmarkStart w:id="323" w:name="_Toc131499903"/>
      <w:bookmarkStart w:id="324" w:name="_Toc131499963"/>
      <w:bookmarkStart w:id="325" w:name="_Toc131500194"/>
      <w:bookmarkStart w:id="326" w:name="_Toc131501858"/>
      <w:bookmarkStart w:id="327" w:name="_Toc131425538"/>
      <w:bookmarkStart w:id="328" w:name="_Toc221535819"/>
      <w:bookmarkEnd w:id="321"/>
      <w:bookmarkEnd w:id="322"/>
      <w:bookmarkEnd w:id="323"/>
      <w:bookmarkEnd w:id="324"/>
      <w:bookmarkEnd w:id="325"/>
      <w:bookmarkEnd w:id="326"/>
      <w:r w:rsidRPr="00071ACC">
        <w:t>Analiza wrażliwości i ryzyka</w:t>
      </w:r>
      <w:bookmarkEnd w:id="327"/>
      <w:bookmarkEnd w:id="328"/>
      <w:r w:rsidRPr="00071ACC">
        <w:t xml:space="preserve"> </w:t>
      </w:r>
    </w:p>
    <w:p w14:paraId="10CCAA07" w14:textId="517FDB46" w:rsidR="007C45CB" w:rsidRPr="00B41C7E" w:rsidRDefault="007C45CB" w:rsidP="00B41C7E">
      <w:pPr>
        <w:rPr>
          <w:szCs w:val="24"/>
        </w:rPr>
      </w:pPr>
      <w:r w:rsidRPr="003D7C5E">
        <w:rPr>
          <w:szCs w:val="24"/>
        </w:rPr>
        <w:t>Analizę wrażliwości i ryzyka jest obligatoryjnym elementem Studium Wykonalności dla projektów, których całkowity koszt kwalifikowalny w momencie złożenia wniosku o dofinansowanie wynosi co najm</w:t>
      </w:r>
      <w:r w:rsidRPr="00B41C7E">
        <w:rPr>
          <w:szCs w:val="24"/>
        </w:rPr>
        <w:t>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555A4E" w:rsidRDefault="0090241A" w:rsidP="00555A4E">
      <w:pPr>
        <w:rPr>
          <w:rFonts w:cstheme="minorHAnsi"/>
          <w:szCs w:val="24"/>
        </w:rPr>
      </w:pPr>
      <w:bookmarkStart w:id="329" w:name="_Toc131499099"/>
      <w:bookmarkStart w:id="330" w:name="_Toc131499157"/>
      <w:bookmarkStart w:id="331" w:name="_Toc131499100"/>
      <w:bookmarkStart w:id="332" w:name="_Toc131499158"/>
      <w:bookmarkStart w:id="333" w:name="_Toc131499101"/>
      <w:bookmarkStart w:id="334" w:name="_Toc131499159"/>
      <w:bookmarkStart w:id="335" w:name="_Toc131499102"/>
      <w:bookmarkStart w:id="336" w:name="_Toc131499160"/>
      <w:bookmarkStart w:id="337" w:name="_Toc131499103"/>
      <w:bookmarkStart w:id="338" w:name="_Toc131499161"/>
      <w:bookmarkEnd w:id="329"/>
      <w:bookmarkEnd w:id="330"/>
      <w:bookmarkEnd w:id="331"/>
      <w:bookmarkEnd w:id="332"/>
      <w:bookmarkEnd w:id="333"/>
      <w:bookmarkEnd w:id="334"/>
      <w:bookmarkEnd w:id="335"/>
      <w:bookmarkEnd w:id="336"/>
      <w:bookmarkEnd w:id="337"/>
      <w:bookmarkEnd w:id="338"/>
    </w:p>
    <w:sectPr w:rsidR="0090241A" w:rsidRPr="00555A4E" w:rsidSect="005C7564">
      <w:footerReference w:type="default" r:id="rId10"/>
      <w:headerReference w:type="first" r:id="rId11"/>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B94C" w14:textId="77777777" w:rsidR="00927ACE" w:rsidRDefault="00927ACE" w:rsidP="00D36D60">
      <w:pPr>
        <w:spacing w:after="0" w:line="240" w:lineRule="auto"/>
      </w:pPr>
      <w:r>
        <w:separator/>
      </w:r>
    </w:p>
  </w:endnote>
  <w:endnote w:type="continuationSeparator" w:id="0">
    <w:p w14:paraId="65145540" w14:textId="77777777" w:rsidR="00927ACE" w:rsidRDefault="00927ACE"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755FA54F" w:rsidR="00ED2E08" w:rsidRDefault="00ED2E08">
        <w:pPr>
          <w:pStyle w:val="Stopka"/>
          <w:jc w:val="right"/>
        </w:pPr>
        <w:r>
          <w:fldChar w:fldCharType="begin"/>
        </w:r>
        <w:r>
          <w:instrText>PAGE   \* MERGEFORMAT</w:instrText>
        </w:r>
        <w:r>
          <w:fldChar w:fldCharType="separate"/>
        </w:r>
        <w:r w:rsidR="001146A2">
          <w:rPr>
            <w:noProof/>
          </w:rPr>
          <w:t>26</w:t>
        </w:r>
        <w:r>
          <w:fldChar w:fldCharType="end"/>
        </w:r>
      </w:p>
    </w:sdtContent>
  </w:sdt>
  <w:p w14:paraId="7AAF575E" w14:textId="77777777" w:rsidR="00ED2E08" w:rsidRDefault="00ED2E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2E61" w14:textId="77777777" w:rsidR="00927ACE" w:rsidRDefault="00927ACE" w:rsidP="00D36D60">
      <w:pPr>
        <w:spacing w:after="0" w:line="240" w:lineRule="auto"/>
      </w:pPr>
      <w:r>
        <w:separator/>
      </w:r>
    </w:p>
  </w:footnote>
  <w:footnote w:type="continuationSeparator" w:id="0">
    <w:p w14:paraId="22029A7D" w14:textId="77777777" w:rsidR="00927ACE" w:rsidRDefault="00927ACE"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7910869A" w:rsidR="00ED2E08" w:rsidRDefault="00ED2E08" w:rsidP="000C4A9A">
    <w:pPr>
      <w:pStyle w:val="Nagwek"/>
      <w:jc w:val="center"/>
    </w:pPr>
    <w:r>
      <w:rPr>
        <w:noProof/>
        <w:lang w:eastAsia="pl-PL"/>
      </w:rPr>
      <w:drawing>
        <wp:inline distT="0" distB="0" distL="0" distR="0" wp14:anchorId="48F0EF67" wp14:editId="6FBE1B49">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B45"/>
    <w:multiLevelType w:val="hybridMultilevel"/>
    <w:tmpl w:val="213E932E"/>
    <w:lvl w:ilvl="0" w:tplc="C9288EEC">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CE411C"/>
    <w:multiLevelType w:val="hybridMultilevel"/>
    <w:tmpl w:val="1B922A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694946"/>
    <w:multiLevelType w:val="hybridMultilevel"/>
    <w:tmpl w:val="9DDA3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A196E"/>
    <w:multiLevelType w:val="hybridMultilevel"/>
    <w:tmpl w:val="13B0A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F250B"/>
    <w:multiLevelType w:val="hybridMultilevel"/>
    <w:tmpl w:val="860876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D06A4B"/>
    <w:multiLevelType w:val="hybridMultilevel"/>
    <w:tmpl w:val="197AA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7A0"/>
    <w:multiLevelType w:val="hybridMultilevel"/>
    <w:tmpl w:val="87A687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670D06"/>
    <w:multiLevelType w:val="hybridMultilevel"/>
    <w:tmpl w:val="E2321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85756F"/>
    <w:multiLevelType w:val="multilevel"/>
    <w:tmpl w:val="14E26C8C"/>
    <w:numStyleLink w:val="Styl2"/>
  </w:abstractNum>
  <w:abstractNum w:abstractNumId="11" w15:restartNumberingAfterBreak="0">
    <w:nsid w:val="11C153BA"/>
    <w:multiLevelType w:val="hybridMultilevel"/>
    <w:tmpl w:val="7F92A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F75BF3"/>
    <w:multiLevelType w:val="multilevel"/>
    <w:tmpl w:val="14E26C8C"/>
    <w:numStyleLink w:val="Styl2"/>
  </w:abstractNum>
  <w:abstractNum w:abstractNumId="13" w15:restartNumberingAfterBreak="0">
    <w:nsid w:val="15243204"/>
    <w:multiLevelType w:val="hybridMultilevel"/>
    <w:tmpl w:val="EC0E5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27943"/>
    <w:multiLevelType w:val="hybridMultilevel"/>
    <w:tmpl w:val="8FF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D9477D"/>
    <w:multiLevelType w:val="hybridMultilevel"/>
    <w:tmpl w:val="73C48A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51B73"/>
    <w:multiLevelType w:val="hybridMultilevel"/>
    <w:tmpl w:val="8D045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5E3D64"/>
    <w:multiLevelType w:val="hybridMultilevel"/>
    <w:tmpl w:val="E25EE1D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1E920E81"/>
    <w:multiLevelType w:val="hybridMultilevel"/>
    <w:tmpl w:val="0DC6E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50C7"/>
    <w:multiLevelType w:val="hybridMultilevel"/>
    <w:tmpl w:val="6CE06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5D636B"/>
    <w:multiLevelType w:val="hybridMultilevel"/>
    <w:tmpl w:val="663ECDCA"/>
    <w:lvl w:ilvl="0" w:tplc="748C9316">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91D68C0"/>
    <w:multiLevelType w:val="hybridMultilevel"/>
    <w:tmpl w:val="D270A2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AE5CCE"/>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FE4649"/>
    <w:multiLevelType w:val="hybridMultilevel"/>
    <w:tmpl w:val="391EA75A"/>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FF3499"/>
    <w:multiLevelType w:val="hybridMultilevel"/>
    <w:tmpl w:val="F91AEAD8"/>
    <w:lvl w:ilvl="0" w:tplc="07BE87DE">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6B76C1"/>
    <w:multiLevelType w:val="hybridMultilevel"/>
    <w:tmpl w:val="50485E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42822E5"/>
    <w:multiLevelType w:val="hybridMultilevel"/>
    <w:tmpl w:val="AB3A578A"/>
    <w:lvl w:ilvl="0" w:tplc="04150001">
      <w:start w:val="1"/>
      <w:numFmt w:val="bullet"/>
      <w:lvlText w:val=""/>
      <w:lvlJc w:val="left"/>
      <w:pPr>
        <w:ind w:left="720" w:hanging="360"/>
      </w:pPr>
      <w:rPr>
        <w:rFonts w:ascii="Symbol" w:hAnsi="Symbol" w:hint="default"/>
      </w:rPr>
    </w:lvl>
    <w:lvl w:ilvl="1" w:tplc="044E81F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075108"/>
    <w:multiLevelType w:val="hybridMultilevel"/>
    <w:tmpl w:val="E8D4D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D11262"/>
    <w:multiLevelType w:val="hybridMultilevel"/>
    <w:tmpl w:val="ECF65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2657C2"/>
    <w:multiLevelType w:val="hybridMultilevel"/>
    <w:tmpl w:val="7D524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89B583E"/>
    <w:multiLevelType w:val="multilevel"/>
    <w:tmpl w:val="8A08F7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344BE9"/>
    <w:multiLevelType w:val="hybridMultilevel"/>
    <w:tmpl w:val="CFC2B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4159F1"/>
    <w:multiLevelType w:val="hybridMultilevel"/>
    <w:tmpl w:val="E00CBD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C292075"/>
    <w:multiLevelType w:val="hybridMultilevel"/>
    <w:tmpl w:val="BAC80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026B01"/>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 w15:restartNumberingAfterBreak="0">
    <w:nsid w:val="465D1DE9"/>
    <w:multiLevelType w:val="hybridMultilevel"/>
    <w:tmpl w:val="44C0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0F27F8"/>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48A05CF7"/>
    <w:multiLevelType w:val="multilevel"/>
    <w:tmpl w:val="D048D7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FF6EA3"/>
    <w:multiLevelType w:val="hybridMultilevel"/>
    <w:tmpl w:val="5F72FFCA"/>
    <w:lvl w:ilvl="0" w:tplc="5400EB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5256BB"/>
    <w:multiLevelType w:val="hybridMultilevel"/>
    <w:tmpl w:val="2E0E3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2B82842"/>
    <w:multiLevelType w:val="hybridMultilevel"/>
    <w:tmpl w:val="347E1E6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9" w15:restartNumberingAfterBreak="0">
    <w:nsid w:val="52D15E44"/>
    <w:multiLevelType w:val="multilevel"/>
    <w:tmpl w:val="EFB474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F36559"/>
    <w:multiLevelType w:val="hybridMultilevel"/>
    <w:tmpl w:val="C8D062F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75F180B"/>
    <w:multiLevelType w:val="hybridMultilevel"/>
    <w:tmpl w:val="9178435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58AB554A"/>
    <w:multiLevelType w:val="hybridMultilevel"/>
    <w:tmpl w:val="A02AF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9624B18"/>
    <w:multiLevelType w:val="hybridMultilevel"/>
    <w:tmpl w:val="229ABC9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5AAE0B7A"/>
    <w:multiLevelType w:val="hybridMultilevel"/>
    <w:tmpl w:val="16DC7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B0E7F4B"/>
    <w:multiLevelType w:val="hybridMultilevel"/>
    <w:tmpl w:val="5B44D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58648D"/>
    <w:multiLevelType w:val="hybridMultilevel"/>
    <w:tmpl w:val="97C4EA7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61E6129B"/>
    <w:multiLevelType w:val="hybridMultilevel"/>
    <w:tmpl w:val="03BCB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D554B1"/>
    <w:multiLevelType w:val="hybridMultilevel"/>
    <w:tmpl w:val="F104C1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8182267"/>
    <w:multiLevelType w:val="hybridMultilevel"/>
    <w:tmpl w:val="0C6CE7C4"/>
    <w:lvl w:ilvl="0" w:tplc="4992F4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2E3A11"/>
    <w:multiLevelType w:val="hybridMultilevel"/>
    <w:tmpl w:val="961E75B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DF7186"/>
    <w:multiLevelType w:val="hybridMultilevel"/>
    <w:tmpl w:val="C010DCEE"/>
    <w:lvl w:ilvl="0" w:tplc="EFDAFEA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D5650A"/>
    <w:multiLevelType w:val="hybridMultilevel"/>
    <w:tmpl w:val="0BD44A16"/>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1E66107"/>
    <w:multiLevelType w:val="hybridMultilevel"/>
    <w:tmpl w:val="0FF8F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4CC7ECC"/>
    <w:multiLevelType w:val="hybridMultilevel"/>
    <w:tmpl w:val="3FA40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0"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172CA"/>
    <w:multiLevelType w:val="hybridMultilevel"/>
    <w:tmpl w:val="7FAEB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6924A0"/>
    <w:multiLevelType w:val="hybridMultilevel"/>
    <w:tmpl w:val="7D0CD6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927667">
    <w:abstractNumId w:val="59"/>
  </w:num>
  <w:num w:numId="2" w16cid:durableId="800727374">
    <w:abstractNumId w:val="42"/>
  </w:num>
  <w:num w:numId="3" w16cid:durableId="2005812834">
    <w:abstractNumId w:val="21"/>
  </w:num>
  <w:num w:numId="4" w16cid:durableId="766926472">
    <w:abstractNumId w:val="54"/>
  </w:num>
  <w:num w:numId="5" w16cid:durableId="1122843349">
    <w:abstractNumId w:val="71"/>
  </w:num>
  <w:num w:numId="6" w16cid:durableId="1345090260">
    <w:abstractNumId w:val="66"/>
  </w:num>
  <w:num w:numId="7" w16cid:durableId="511528526">
    <w:abstractNumId w:val="72"/>
  </w:num>
  <w:num w:numId="8" w16cid:durableId="74594787">
    <w:abstractNumId w:val="25"/>
  </w:num>
  <w:num w:numId="9" w16cid:durableId="1764952679">
    <w:abstractNumId w:val="65"/>
  </w:num>
  <w:num w:numId="10" w16cid:durableId="1488324812">
    <w:abstractNumId w:val="69"/>
  </w:num>
  <w:num w:numId="11" w16cid:durableId="327709616">
    <w:abstractNumId w:val="67"/>
  </w:num>
  <w:num w:numId="12" w16cid:durableId="90400762">
    <w:abstractNumId w:val="45"/>
  </w:num>
  <w:num w:numId="13" w16cid:durableId="1904827581">
    <w:abstractNumId w:val="8"/>
  </w:num>
  <w:num w:numId="14" w16cid:durableId="2075926805">
    <w:abstractNumId w:val="30"/>
  </w:num>
  <w:num w:numId="15" w16cid:durableId="1580139495">
    <w:abstractNumId w:val="60"/>
  </w:num>
  <w:num w:numId="16" w16cid:durableId="954025119">
    <w:abstractNumId w:val="22"/>
  </w:num>
  <w:num w:numId="17" w16cid:durableId="1105350553">
    <w:abstractNumId w:val="11"/>
  </w:num>
  <w:num w:numId="18" w16cid:durableId="1098912661">
    <w:abstractNumId w:val="1"/>
  </w:num>
  <w:num w:numId="19" w16cid:durableId="616716717">
    <w:abstractNumId w:val="51"/>
  </w:num>
  <w:num w:numId="20" w16cid:durableId="1406758172">
    <w:abstractNumId w:val="53"/>
  </w:num>
  <w:num w:numId="21" w16cid:durableId="2104917415">
    <w:abstractNumId w:val="47"/>
  </w:num>
  <w:num w:numId="22" w16cid:durableId="514271857">
    <w:abstractNumId w:val="29"/>
  </w:num>
  <w:num w:numId="23" w16cid:durableId="780304286">
    <w:abstractNumId w:val="63"/>
  </w:num>
  <w:num w:numId="24" w16cid:durableId="376440387">
    <w:abstractNumId w:val="18"/>
  </w:num>
  <w:num w:numId="25" w16cid:durableId="998387779">
    <w:abstractNumId w:val="57"/>
  </w:num>
  <w:num w:numId="26" w16cid:durableId="318775730">
    <w:abstractNumId w:val="15"/>
  </w:num>
  <w:num w:numId="27" w16cid:durableId="1811819535">
    <w:abstractNumId w:val="36"/>
  </w:num>
  <w:num w:numId="28" w16cid:durableId="467628410">
    <w:abstractNumId w:val="31"/>
  </w:num>
  <w:num w:numId="29" w16cid:durableId="1686128314">
    <w:abstractNumId w:val="49"/>
  </w:num>
  <w:num w:numId="30" w16cid:durableId="407120429">
    <w:abstractNumId w:val="52"/>
  </w:num>
  <w:num w:numId="31" w16cid:durableId="414404640">
    <w:abstractNumId w:val="62"/>
  </w:num>
  <w:num w:numId="32" w16cid:durableId="388261722">
    <w:abstractNumId w:val="9"/>
  </w:num>
  <w:num w:numId="33" w16cid:durableId="169369638">
    <w:abstractNumId w:val="34"/>
  </w:num>
  <w:num w:numId="34" w16cid:durableId="458839049">
    <w:abstractNumId w:val="48"/>
  </w:num>
  <w:num w:numId="35" w16cid:durableId="1651639390">
    <w:abstractNumId w:val="64"/>
  </w:num>
  <w:num w:numId="36" w16cid:durableId="1517306842">
    <w:abstractNumId w:val="13"/>
  </w:num>
  <w:num w:numId="37" w16cid:durableId="123693640">
    <w:abstractNumId w:val="38"/>
  </w:num>
  <w:num w:numId="38" w16cid:durableId="934553291">
    <w:abstractNumId w:val="69"/>
  </w:num>
  <w:num w:numId="39" w16cid:durableId="1576816989">
    <w:abstractNumId w:val="33"/>
  </w:num>
  <w:num w:numId="40" w16cid:durableId="582571138">
    <w:abstractNumId w:val="46"/>
  </w:num>
  <w:num w:numId="41" w16cid:durableId="14158204">
    <w:abstractNumId w:val="16"/>
  </w:num>
  <w:num w:numId="42" w16cid:durableId="783891538">
    <w:abstractNumId w:val="55"/>
  </w:num>
  <w:num w:numId="43" w16cid:durableId="1013415417">
    <w:abstractNumId w:val="5"/>
  </w:num>
  <w:num w:numId="44" w16cid:durableId="163060571">
    <w:abstractNumId w:val="17"/>
  </w:num>
  <w:num w:numId="45" w16cid:durableId="519663111">
    <w:abstractNumId w:val="7"/>
  </w:num>
  <w:num w:numId="46" w16cid:durableId="338238280">
    <w:abstractNumId w:val="4"/>
  </w:num>
  <w:num w:numId="47" w16cid:durableId="1944338963">
    <w:abstractNumId w:val="23"/>
  </w:num>
  <w:num w:numId="48" w16cid:durableId="261841225">
    <w:abstractNumId w:val="73"/>
  </w:num>
  <w:num w:numId="49" w16cid:durableId="550918280">
    <w:abstractNumId w:val="41"/>
  </w:num>
  <w:num w:numId="50" w16cid:durableId="1321420717">
    <w:abstractNumId w:val="2"/>
  </w:num>
  <w:num w:numId="51" w16cid:durableId="1891575344">
    <w:abstractNumId w:val="27"/>
  </w:num>
  <w:num w:numId="52" w16cid:durableId="1014309890">
    <w:abstractNumId w:val="68"/>
  </w:num>
  <w:num w:numId="53" w16cid:durableId="1330325959">
    <w:abstractNumId w:val="6"/>
  </w:num>
  <w:num w:numId="54" w16cid:durableId="519701188">
    <w:abstractNumId w:val="28"/>
  </w:num>
  <w:num w:numId="55" w16cid:durableId="702940601">
    <w:abstractNumId w:val="70"/>
  </w:num>
  <w:num w:numId="56" w16cid:durableId="2019575485">
    <w:abstractNumId w:val="20"/>
  </w:num>
  <w:num w:numId="57" w16cid:durableId="1316373936">
    <w:abstractNumId w:val="50"/>
  </w:num>
  <w:num w:numId="58" w16cid:durableId="1632781094">
    <w:abstractNumId w:val="40"/>
  </w:num>
  <w:num w:numId="59" w16cid:durableId="460198707">
    <w:abstractNumId w:val="26"/>
  </w:num>
  <w:num w:numId="60" w16cid:durableId="1942103886">
    <w:abstractNumId w:val="24"/>
  </w:num>
  <w:num w:numId="61" w16cid:durableId="1595364150">
    <w:abstractNumId w:val="43"/>
  </w:num>
  <w:num w:numId="62" w16cid:durableId="1484664623">
    <w:abstractNumId w:val="35"/>
  </w:num>
  <w:num w:numId="63" w16cid:durableId="1342203078">
    <w:abstractNumId w:val="61"/>
  </w:num>
  <w:num w:numId="64" w16cid:durableId="307637759">
    <w:abstractNumId w:val="56"/>
  </w:num>
  <w:num w:numId="65" w16cid:durableId="690884234">
    <w:abstractNumId w:val="32"/>
  </w:num>
  <w:num w:numId="66" w16cid:durableId="2021617590">
    <w:abstractNumId w:val="39"/>
  </w:num>
  <w:num w:numId="67" w16cid:durableId="377556493">
    <w:abstractNumId w:val="3"/>
  </w:num>
  <w:num w:numId="68" w16cid:durableId="690226307">
    <w:abstractNumId w:val="44"/>
  </w:num>
  <w:num w:numId="69" w16cid:durableId="1471632150">
    <w:abstractNumId w:val="12"/>
  </w:num>
  <w:num w:numId="70" w16cid:durableId="1712684832">
    <w:abstractNumId w:val="10"/>
  </w:num>
  <w:num w:numId="71" w16cid:durableId="1481850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8455917">
    <w:abstractNumId w:val="37"/>
  </w:num>
  <w:num w:numId="73" w16cid:durableId="1334529253">
    <w:abstractNumId w:val="14"/>
  </w:num>
  <w:num w:numId="74" w16cid:durableId="1128620956">
    <w:abstractNumId w:val="0"/>
  </w:num>
  <w:num w:numId="75" w16cid:durableId="1620405681">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4626"/>
    <w:rsid w:val="000247AB"/>
    <w:rsid w:val="00027682"/>
    <w:rsid w:val="00051DA7"/>
    <w:rsid w:val="00063B8F"/>
    <w:rsid w:val="00067C35"/>
    <w:rsid w:val="0007142D"/>
    <w:rsid w:val="00071ACC"/>
    <w:rsid w:val="00075047"/>
    <w:rsid w:val="0007652C"/>
    <w:rsid w:val="000814ED"/>
    <w:rsid w:val="00082138"/>
    <w:rsid w:val="00082668"/>
    <w:rsid w:val="000837DD"/>
    <w:rsid w:val="00085F30"/>
    <w:rsid w:val="000860A7"/>
    <w:rsid w:val="00093B6B"/>
    <w:rsid w:val="00096BDB"/>
    <w:rsid w:val="000B3E22"/>
    <w:rsid w:val="000B5EB6"/>
    <w:rsid w:val="000C1BDF"/>
    <w:rsid w:val="000C2F15"/>
    <w:rsid w:val="000C3037"/>
    <w:rsid w:val="000C4A9A"/>
    <w:rsid w:val="000C5961"/>
    <w:rsid w:val="000D1025"/>
    <w:rsid w:val="000E2253"/>
    <w:rsid w:val="000F4F9A"/>
    <w:rsid w:val="0010527C"/>
    <w:rsid w:val="001122A2"/>
    <w:rsid w:val="001146A2"/>
    <w:rsid w:val="00116170"/>
    <w:rsid w:val="00117D97"/>
    <w:rsid w:val="001217AD"/>
    <w:rsid w:val="00123CBF"/>
    <w:rsid w:val="001273D7"/>
    <w:rsid w:val="0013116F"/>
    <w:rsid w:val="001436BD"/>
    <w:rsid w:val="001519CF"/>
    <w:rsid w:val="00160286"/>
    <w:rsid w:val="0016395B"/>
    <w:rsid w:val="001728B7"/>
    <w:rsid w:val="0017703F"/>
    <w:rsid w:val="00184F23"/>
    <w:rsid w:val="0019204F"/>
    <w:rsid w:val="001C6857"/>
    <w:rsid w:val="001D758F"/>
    <w:rsid w:val="001E1634"/>
    <w:rsid w:val="001E1CC0"/>
    <w:rsid w:val="001E5B7C"/>
    <w:rsid w:val="001E6BAA"/>
    <w:rsid w:val="001F4DAE"/>
    <w:rsid w:val="002077DB"/>
    <w:rsid w:val="002103BB"/>
    <w:rsid w:val="0021654D"/>
    <w:rsid w:val="002346B6"/>
    <w:rsid w:val="00244207"/>
    <w:rsid w:val="002571D0"/>
    <w:rsid w:val="00263DF7"/>
    <w:rsid w:val="00273AAE"/>
    <w:rsid w:val="00280B50"/>
    <w:rsid w:val="002825F7"/>
    <w:rsid w:val="00282C29"/>
    <w:rsid w:val="002A1740"/>
    <w:rsid w:val="002A1E5B"/>
    <w:rsid w:val="002A5D1F"/>
    <w:rsid w:val="002A6A17"/>
    <w:rsid w:val="002B5F73"/>
    <w:rsid w:val="002C147E"/>
    <w:rsid w:val="002C79E7"/>
    <w:rsid w:val="002D005E"/>
    <w:rsid w:val="002D2E38"/>
    <w:rsid w:val="002D66FF"/>
    <w:rsid w:val="002F19F2"/>
    <w:rsid w:val="00302A31"/>
    <w:rsid w:val="00326A7D"/>
    <w:rsid w:val="003331FD"/>
    <w:rsid w:val="0034284B"/>
    <w:rsid w:val="00360EF7"/>
    <w:rsid w:val="0036458B"/>
    <w:rsid w:val="00375605"/>
    <w:rsid w:val="00376E02"/>
    <w:rsid w:val="0038567D"/>
    <w:rsid w:val="0039456E"/>
    <w:rsid w:val="00396BBC"/>
    <w:rsid w:val="003B4EBA"/>
    <w:rsid w:val="003C6836"/>
    <w:rsid w:val="003D44D8"/>
    <w:rsid w:val="003D7C5E"/>
    <w:rsid w:val="003E0019"/>
    <w:rsid w:val="003E0D87"/>
    <w:rsid w:val="003F0C21"/>
    <w:rsid w:val="00401327"/>
    <w:rsid w:val="00402D03"/>
    <w:rsid w:val="004145AA"/>
    <w:rsid w:val="0041476B"/>
    <w:rsid w:val="00423B57"/>
    <w:rsid w:val="00430690"/>
    <w:rsid w:val="00435B43"/>
    <w:rsid w:val="00437F22"/>
    <w:rsid w:val="00442A34"/>
    <w:rsid w:val="004436A1"/>
    <w:rsid w:val="00443C4A"/>
    <w:rsid w:val="00452C70"/>
    <w:rsid w:val="0045663D"/>
    <w:rsid w:val="00457D59"/>
    <w:rsid w:val="00457D6B"/>
    <w:rsid w:val="00476DBC"/>
    <w:rsid w:val="004875C9"/>
    <w:rsid w:val="004A0435"/>
    <w:rsid w:val="004B1BC2"/>
    <w:rsid w:val="004D3AB2"/>
    <w:rsid w:val="004E15F7"/>
    <w:rsid w:val="004E1B90"/>
    <w:rsid w:val="004F28BC"/>
    <w:rsid w:val="00507F00"/>
    <w:rsid w:val="005157BB"/>
    <w:rsid w:val="00522118"/>
    <w:rsid w:val="00530ED3"/>
    <w:rsid w:val="00531B47"/>
    <w:rsid w:val="005366FF"/>
    <w:rsid w:val="00555A4E"/>
    <w:rsid w:val="0056383E"/>
    <w:rsid w:val="00570475"/>
    <w:rsid w:val="00571A0E"/>
    <w:rsid w:val="00576293"/>
    <w:rsid w:val="00580488"/>
    <w:rsid w:val="0058099B"/>
    <w:rsid w:val="00582852"/>
    <w:rsid w:val="005858E7"/>
    <w:rsid w:val="00590044"/>
    <w:rsid w:val="00592AF3"/>
    <w:rsid w:val="005A3ED5"/>
    <w:rsid w:val="005B0F5F"/>
    <w:rsid w:val="005B3129"/>
    <w:rsid w:val="005B7E7A"/>
    <w:rsid w:val="005C7564"/>
    <w:rsid w:val="005D5937"/>
    <w:rsid w:val="005E07A1"/>
    <w:rsid w:val="005F41C4"/>
    <w:rsid w:val="00603A96"/>
    <w:rsid w:val="00610301"/>
    <w:rsid w:val="00612FC1"/>
    <w:rsid w:val="00615FCC"/>
    <w:rsid w:val="00617101"/>
    <w:rsid w:val="00617785"/>
    <w:rsid w:val="006275A8"/>
    <w:rsid w:val="00630E56"/>
    <w:rsid w:val="006310AE"/>
    <w:rsid w:val="006330F7"/>
    <w:rsid w:val="00634E7C"/>
    <w:rsid w:val="00637004"/>
    <w:rsid w:val="006507B9"/>
    <w:rsid w:val="00660CA0"/>
    <w:rsid w:val="0066169B"/>
    <w:rsid w:val="00666CBF"/>
    <w:rsid w:val="00666F59"/>
    <w:rsid w:val="00674C05"/>
    <w:rsid w:val="0069662C"/>
    <w:rsid w:val="006A0F0A"/>
    <w:rsid w:val="006B69BB"/>
    <w:rsid w:val="006C2F32"/>
    <w:rsid w:val="006C443D"/>
    <w:rsid w:val="006C5804"/>
    <w:rsid w:val="006D2113"/>
    <w:rsid w:val="006D29F5"/>
    <w:rsid w:val="006F1FF8"/>
    <w:rsid w:val="006F7BC2"/>
    <w:rsid w:val="0070095E"/>
    <w:rsid w:val="00703BF5"/>
    <w:rsid w:val="00704016"/>
    <w:rsid w:val="00704E08"/>
    <w:rsid w:val="0072470C"/>
    <w:rsid w:val="00732E6D"/>
    <w:rsid w:val="0073775D"/>
    <w:rsid w:val="00737A67"/>
    <w:rsid w:val="0074453D"/>
    <w:rsid w:val="00765893"/>
    <w:rsid w:val="00766895"/>
    <w:rsid w:val="00771DF6"/>
    <w:rsid w:val="00775E18"/>
    <w:rsid w:val="00780EFD"/>
    <w:rsid w:val="00785839"/>
    <w:rsid w:val="0079161F"/>
    <w:rsid w:val="007956B1"/>
    <w:rsid w:val="007A2F71"/>
    <w:rsid w:val="007A50BF"/>
    <w:rsid w:val="007A6B1D"/>
    <w:rsid w:val="007A7ACA"/>
    <w:rsid w:val="007B5136"/>
    <w:rsid w:val="007C0E23"/>
    <w:rsid w:val="007C45CB"/>
    <w:rsid w:val="007C5B3A"/>
    <w:rsid w:val="007D67AA"/>
    <w:rsid w:val="007E0D48"/>
    <w:rsid w:val="007F70AF"/>
    <w:rsid w:val="00805820"/>
    <w:rsid w:val="00814CDD"/>
    <w:rsid w:val="00817E0E"/>
    <w:rsid w:val="0082492E"/>
    <w:rsid w:val="00836DC2"/>
    <w:rsid w:val="00841893"/>
    <w:rsid w:val="00844A9A"/>
    <w:rsid w:val="00846961"/>
    <w:rsid w:val="00851F2C"/>
    <w:rsid w:val="00861B73"/>
    <w:rsid w:val="00862D9C"/>
    <w:rsid w:val="00874804"/>
    <w:rsid w:val="0087604D"/>
    <w:rsid w:val="00883AB7"/>
    <w:rsid w:val="0089339E"/>
    <w:rsid w:val="008A1FBE"/>
    <w:rsid w:val="008B046C"/>
    <w:rsid w:val="008B09D9"/>
    <w:rsid w:val="008B1ABB"/>
    <w:rsid w:val="008C0239"/>
    <w:rsid w:val="008C3042"/>
    <w:rsid w:val="008C37E2"/>
    <w:rsid w:val="008D3E59"/>
    <w:rsid w:val="008D41B7"/>
    <w:rsid w:val="008D6486"/>
    <w:rsid w:val="008E2189"/>
    <w:rsid w:val="008E2F7F"/>
    <w:rsid w:val="008E54BA"/>
    <w:rsid w:val="008E6817"/>
    <w:rsid w:val="008F1DB6"/>
    <w:rsid w:val="008F3611"/>
    <w:rsid w:val="008F7A34"/>
    <w:rsid w:val="0090234C"/>
    <w:rsid w:val="0090241A"/>
    <w:rsid w:val="00912B4B"/>
    <w:rsid w:val="00917677"/>
    <w:rsid w:val="009234D6"/>
    <w:rsid w:val="00927ACE"/>
    <w:rsid w:val="0093160F"/>
    <w:rsid w:val="009344CB"/>
    <w:rsid w:val="00944AF9"/>
    <w:rsid w:val="00946132"/>
    <w:rsid w:val="00947D73"/>
    <w:rsid w:val="00951925"/>
    <w:rsid w:val="00957079"/>
    <w:rsid w:val="0096360D"/>
    <w:rsid w:val="00976221"/>
    <w:rsid w:val="00983101"/>
    <w:rsid w:val="009A455B"/>
    <w:rsid w:val="009B2A5A"/>
    <w:rsid w:val="009C25D2"/>
    <w:rsid w:val="009C4D6E"/>
    <w:rsid w:val="009C6D52"/>
    <w:rsid w:val="009D028F"/>
    <w:rsid w:val="009D0CAD"/>
    <w:rsid w:val="009E32DB"/>
    <w:rsid w:val="009E6A20"/>
    <w:rsid w:val="009F6752"/>
    <w:rsid w:val="00A02DDB"/>
    <w:rsid w:val="00A034BE"/>
    <w:rsid w:val="00A25220"/>
    <w:rsid w:val="00A27595"/>
    <w:rsid w:val="00A36E40"/>
    <w:rsid w:val="00A55E57"/>
    <w:rsid w:val="00A73AAC"/>
    <w:rsid w:val="00A7569A"/>
    <w:rsid w:val="00A916B9"/>
    <w:rsid w:val="00A938C4"/>
    <w:rsid w:val="00A96052"/>
    <w:rsid w:val="00AC1665"/>
    <w:rsid w:val="00AC4E52"/>
    <w:rsid w:val="00AD2988"/>
    <w:rsid w:val="00AD5D38"/>
    <w:rsid w:val="00AD609D"/>
    <w:rsid w:val="00AD684D"/>
    <w:rsid w:val="00AE3B96"/>
    <w:rsid w:val="00AE73E4"/>
    <w:rsid w:val="00AF4F07"/>
    <w:rsid w:val="00B1090E"/>
    <w:rsid w:val="00B2634A"/>
    <w:rsid w:val="00B278E1"/>
    <w:rsid w:val="00B27B2A"/>
    <w:rsid w:val="00B41C7E"/>
    <w:rsid w:val="00B57109"/>
    <w:rsid w:val="00B62D94"/>
    <w:rsid w:val="00B74F12"/>
    <w:rsid w:val="00B75B38"/>
    <w:rsid w:val="00BB27C7"/>
    <w:rsid w:val="00BE3FDA"/>
    <w:rsid w:val="00BF44D4"/>
    <w:rsid w:val="00BF5627"/>
    <w:rsid w:val="00C04090"/>
    <w:rsid w:val="00C10282"/>
    <w:rsid w:val="00C15DA4"/>
    <w:rsid w:val="00C17311"/>
    <w:rsid w:val="00C17C0D"/>
    <w:rsid w:val="00C271C6"/>
    <w:rsid w:val="00C40C3C"/>
    <w:rsid w:val="00C53077"/>
    <w:rsid w:val="00C537E9"/>
    <w:rsid w:val="00C540A8"/>
    <w:rsid w:val="00C55BC0"/>
    <w:rsid w:val="00C5717A"/>
    <w:rsid w:val="00C81E5B"/>
    <w:rsid w:val="00C91534"/>
    <w:rsid w:val="00C9256A"/>
    <w:rsid w:val="00C94827"/>
    <w:rsid w:val="00CA0CF5"/>
    <w:rsid w:val="00CA2587"/>
    <w:rsid w:val="00CA6D28"/>
    <w:rsid w:val="00CB108E"/>
    <w:rsid w:val="00CB3194"/>
    <w:rsid w:val="00CB5571"/>
    <w:rsid w:val="00CC6082"/>
    <w:rsid w:val="00CD1D20"/>
    <w:rsid w:val="00CF2F3F"/>
    <w:rsid w:val="00D02A62"/>
    <w:rsid w:val="00D061A5"/>
    <w:rsid w:val="00D13AD0"/>
    <w:rsid w:val="00D17AE5"/>
    <w:rsid w:val="00D20BE2"/>
    <w:rsid w:val="00D21808"/>
    <w:rsid w:val="00D34A8C"/>
    <w:rsid w:val="00D36D60"/>
    <w:rsid w:val="00D43F3D"/>
    <w:rsid w:val="00D47CC4"/>
    <w:rsid w:val="00D55B6E"/>
    <w:rsid w:val="00D56482"/>
    <w:rsid w:val="00D57D0E"/>
    <w:rsid w:val="00D6207A"/>
    <w:rsid w:val="00D70A19"/>
    <w:rsid w:val="00D74B27"/>
    <w:rsid w:val="00D829BF"/>
    <w:rsid w:val="00DB6EB5"/>
    <w:rsid w:val="00DC0B31"/>
    <w:rsid w:val="00DC11B4"/>
    <w:rsid w:val="00DD091E"/>
    <w:rsid w:val="00DE408C"/>
    <w:rsid w:val="00DE4304"/>
    <w:rsid w:val="00DE73EF"/>
    <w:rsid w:val="00E05B30"/>
    <w:rsid w:val="00E068D1"/>
    <w:rsid w:val="00E2275B"/>
    <w:rsid w:val="00E27218"/>
    <w:rsid w:val="00E3221F"/>
    <w:rsid w:val="00E32A88"/>
    <w:rsid w:val="00E36766"/>
    <w:rsid w:val="00E5383C"/>
    <w:rsid w:val="00E64D3C"/>
    <w:rsid w:val="00E66ED9"/>
    <w:rsid w:val="00E731F2"/>
    <w:rsid w:val="00E74CF9"/>
    <w:rsid w:val="00E90D35"/>
    <w:rsid w:val="00E933E0"/>
    <w:rsid w:val="00EA60C3"/>
    <w:rsid w:val="00EB5334"/>
    <w:rsid w:val="00EB61C1"/>
    <w:rsid w:val="00EC6C6C"/>
    <w:rsid w:val="00ED2E08"/>
    <w:rsid w:val="00EE5C5C"/>
    <w:rsid w:val="00EF1E57"/>
    <w:rsid w:val="00EF428B"/>
    <w:rsid w:val="00EF77BF"/>
    <w:rsid w:val="00F05779"/>
    <w:rsid w:val="00F14105"/>
    <w:rsid w:val="00F251F4"/>
    <w:rsid w:val="00F263DC"/>
    <w:rsid w:val="00F32704"/>
    <w:rsid w:val="00F33CBB"/>
    <w:rsid w:val="00F34F9E"/>
    <w:rsid w:val="00F35774"/>
    <w:rsid w:val="00F4577C"/>
    <w:rsid w:val="00F50525"/>
    <w:rsid w:val="00F51EB4"/>
    <w:rsid w:val="00F52588"/>
    <w:rsid w:val="00F54262"/>
    <w:rsid w:val="00F55400"/>
    <w:rsid w:val="00F7234D"/>
    <w:rsid w:val="00F834C9"/>
    <w:rsid w:val="00F906CD"/>
    <w:rsid w:val="00F910E6"/>
    <w:rsid w:val="00F91D39"/>
    <w:rsid w:val="00F963D6"/>
    <w:rsid w:val="00FA172B"/>
    <w:rsid w:val="00FB211A"/>
    <w:rsid w:val="00FB55ED"/>
    <w:rsid w:val="00FB59B3"/>
    <w:rsid w:val="00FC0EC0"/>
    <w:rsid w:val="00FC67AC"/>
    <w:rsid w:val="00FC7A21"/>
    <w:rsid w:val="00FD1E02"/>
    <w:rsid w:val="00FD27B8"/>
    <w:rsid w:val="00FE4F32"/>
    <w:rsid w:val="00FF2BC0"/>
    <w:rsid w:val="00FF306D"/>
    <w:rsid w:val="00FF4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10"/>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26"/>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table" w:styleId="Tabela-Siatka">
    <w:name w:val="Table Grid"/>
    <w:basedOn w:val="Standardowy"/>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kik.gov.pl/wyjasnienia-wzory-oraz-pomocne-pli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A429-404E-4178-B196-637AE696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8867</Words>
  <Characters>53207</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61951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Idziak Maciej</cp:lastModifiedBy>
  <cp:revision>26</cp:revision>
  <dcterms:created xsi:type="dcterms:W3CDTF">2025-04-04T11:01:00Z</dcterms:created>
  <dcterms:modified xsi:type="dcterms:W3CDTF">2026-02-09T12:51:00Z</dcterms:modified>
</cp:coreProperties>
</file>