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587B52" w:rsidRDefault="00D36D60" w:rsidP="006424BB">
      <w:pPr>
        <w:rPr>
          <w:rFonts w:cstheme="minorHAnsi"/>
          <w:b/>
          <w:szCs w:val="24"/>
        </w:rPr>
      </w:pPr>
    </w:p>
    <w:p w14:paraId="13B962AB" w14:textId="0B412A90" w:rsidR="00D36D60" w:rsidRPr="00587B52" w:rsidRDefault="002613A1" w:rsidP="00207C9A">
      <w:pPr>
        <w:autoSpaceDE w:val="0"/>
        <w:autoSpaceDN w:val="0"/>
        <w:adjustRightInd w:val="0"/>
        <w:ind w:left="4248" w:firstLine="708"/>
        <w:rPr>
          <w:rFonts w:cstheme="minorHAnsi"/>
          <w:b/>
          <w:szCs w:val="24"/>
        </w:rPr>
      </w:pPr>
      <w:r>
        <w:rPr>
          <w:rFonts w:cstheme="minorHAnsi"/>
          <w:szCs w:val="24"/>
        </w:rPr>
        <w:t>Załącznik numer</w:t>
      </w:r>
      <w:r w:rsidR="00564BBE" w:rsidRPr="00587B52">
        <w:rPr>
          <w:rFonts w:cstheme="minorHAnsi"/>
          <w:szCs w:val="24"/>
        </w:rPr>
        <w:t xml:space="preserve"> </w:t>
      </w:r>
      <w:r w:rsidR="00564BBE" w:rsidRPr="004F19D3">
        <w:rPr>
          <w:rFonts w:cstheme="minorHAnsi"/>
          <w:szCs w:val="24"/>
        </w:rPr>
        <w:t>4</w:t>
      </w:r>
      <w:r w:rsidR="00687152">
        <w:rPr>
          <w:rFonts w:cstheme="minorHAnsi"/>
          <w:szCs w:val="24"/>
        </w:rPr>
        <w:t xml:space="preserve"> </w:t>
      </w:r>
      <w:r w:rsidR="008B0E33" w:rsidRPr="00587B52">
        <w:rPr>
          <w:rFonts w:cstheme="minorHAnsi"/>
          <w:szCs w:val="24"/>
        </w:rPr>
        <w:t xml:space="preserve">do Regulaminu </w:t>
      </w:r>
      <w:r w:rsidR="00687152">
        <w:rPr>
          <w:rFonts w:cstheme="minorHAnsi"/>
          <w:szCs w:val="24"/>
        </w:rPr>
        <w:t>w</w:t>
      </w:r>
      <w:r w:rsidR="00687152" w:rsidRPr="00687152">
        <w:rPr>
          <w:rFonts w:cstheme="minorHAnsi"/>
          <w:szCs w:val="24"/>
        </w:rPr>
        <w:t xml:space="preserve">yboru </w:t>
      </w:r>
      <w:r w:rsidR="00585A46">
        <w:rPr>
          <w:rFonts w:cstheme="minorHAnsi"/>
          <w:szCs w:val="24"/>
        </w:rPr>
        <w:t xml:space="preserve">     </w:t>
      </w:r>
      <w:r w:rsidR="00687152">
        <w:rPr>
          <w:rFonts w:cstheme="minorHAnsi"/>
          <w:szCs w:val="24"/>
        </w:rPr>
        <w:t>p</w:t>
      </w:r>
      <w:r w:rsidR="001F0245">
        <w:rPr>
          <w:rFonts w:cstheme="minorHAnsi"/>
          <w:szCs w:val="24"/>
        </w:rPr>
        <w:t>rojektu</w:t>
      </w:r>
      <w:r w:rsidR="00687152" w:rsidRPr="00687152">
        <w:rPr>
          <w:rFonts w:cstheme="minorHAnsi"/>
          <w:szCs w:val="24"/>
        </w:rPr>
        <w:t xml:space="preserve"> </w:t>
      </w:r>
      <w:r w:rsidR="00687152">
        <w:rPr>
          <w:rFonts w:cstheme="minorHAnsi"/>
          <w:szCs w:val="24"/>
        </w:rPr>
        <w:t>d</w:t>
      </w:r>
      <w:r w:rsidR="00687152" w:rsidRPr="00687152">
        <w:rPr>
          <w:rFonts w:cstheme="minorHAnsi"/>
          <w:szCs w:val="24"/>
        </w:rPr>
        <w:t xml:space="preserve">la </w:t>
      </w:r>
      <w:r w:rsidR="00687152">
        <w:rPr>
          <w:rFonts w:cstheme="minorHAnsi"/>
          <w:szCs w:val="24"/>
        </w:rPr>
        <w:t>n</w:t>
      </w:r>
      <w:r w:rsidR="00687152" w:rsidRPr="00687152">
        <w:rPr>
          <w:rFonts w:cstheme="minorHAnsi"/>
          <w:szCs w:val="24"/>
        </w:rPr>
        <w:t>aboru F</w:t>
      </w:r>
      <w:r w:rsidR="00687152">
        <w:rPr>
          <w:rFonts w:cstheme="minorHAnsi"/>
          <w:szCs w:val="24"/>
        </w:rPr>
        <w:t>EWP</w:t>
      </w:r>
      <w:r w:rsidR="00046C8E">
        <w:rPr>
          <w:rFonts w:cstheme="minorHAnsi"/>
          <w:szCs w:val="24"/>
        </w:rPr>
        <w:t>.</w:t>
      </w:r>
      <w:r w:rsidR="00980A41">
        <w:rPr>
          <w:rFonts w:cstheme="minorHAnsi"/>
          <w:szCs w:val="24"/>
        </w:rPr>
        <w:t>10</w:t>
      </w:r>
      <w:r w:rsidR="00046C8E">
        <w:rPr>
          <w:rFonts w:cstheme="minorHAnsi"/>
          <w:szCs w:val="24"/>
        </w:rPr>
        <w:t>.0</w:t>
      </w:r>
      <w:r w:rsidR="00980A41">
        <w:rPr>
          <w:rFonts w:cstheme="minorHAnsi"/>
          <w:szCs w:val="24"/>
        </w:rPr>
        <w:t>5</w:t>
      </w:r>
      <w:r w:rsidR="00687152" w:rsidRPr="00687152">
        <w:rPr>
          <w:rFonts w:cstheme="minorHAnsi"/>
          <w:szCs w:val="24"/>
        </w:rPr>
        <w:t>-I</w:t>
      </w:r>
      <w:r w:rsidR="00687152">
        <w:rPr>
          <w:rFonts w:cstheme="minorHAnsi"/>
          <w:szCs w:val="24"/>
        </w:rPr>
        <w:t>Z</w:t>
      </w:r>
      <w:r w:rsidR="001F0245">
        <w:rPr>
          <w:rFonts w:cstheme="minorHAnsi"/>
          <w:szCs w:val="24"/>
        </w:rPr>
        <w:t>.00-001/2</w:t>
      </w:r>
      <w:r w:rsidR="00ED40F1">
        <w:rPr>
          <w:rFonts w:cstheme="minorHAnsi"/>
          <w:szCs w:val="24"/>
        </w:rPr>
        <w:t>6</w:t>
      </w:r>
    </w:p>
    <w:p w14:paraId="22FBB938" w14:textId="77777777" w:rsidR="00D36D60" w:rsidRPr="00587B52" w:rsidRDefault="00D36D60" w:rsidP="006424BB">
      <w:pPr>
        <w:rPr>
          <w:rFonts w:cstheme="minorHAnsi"/>
          <w:b/>
          <w:szCs w:val="24"/>
        </w:rPr>
      </w:pPr>
    </w:p>
    <w:p w14:paraId="2DFD54C3" w14:textId="2E55CDCD" w:rsidR="00D36D60" w:rsidRPr="0091278E" w:rsidRDefault="00A7569A" w:rsidP="006424BB">
      <w:pPr>
        <w:rPr>
          <w:rFonts w:cstheme="minorHAnsi"/>
          <w:b/>
          <w:sz w:val="28"/>
          <w:szCs w:val="24"/>
        </w:rPr>
      </w:pPr>
      <w:r w:rsidRPr="0091278E">
        <w:rPr>
          <w:rFonts w:cstheme="minorHAnsi"/>
          <w:b/>
          <w:sz w:val="28"/>
          <w:szCs w:val="24"/>
        </w:rPr>
        <w:t xml:space="preserve">Tytuł Projektu: </w:t>
      </w:r>
      <w:r w:rsidR="009E27C1">
        <w:rPr>
          <w:rFonts w:cstheme="minorHAnsi"/>
          <w:b/>
          <w:sz w:val="28"/>
          <w:szCs w:val="24"/>
        </w:rPr>
        <w:t xml:space="preserve"> </w:t>
      </w:r>
    </w:p>
    <w:p w14:paraId="6AA99840" w14:textId="77777777" w:rsidR="00A7569A" w:rsidRPr="0091278E" w:rsidRDefault="00A7569A" w:rsidP="006424BB">
      <w:pPr>
        <w:rPr>
          <w:rFonts w:cstheme="minorHAnsi"/>
          <w:b/>
          <w:sz w:val="28"/>
          <w:szCs w:val="24"/>
        </w:rPr>
      </w:pPr>
      <w:r w:rsidRPr="0091278E">
        <w:rPr>
          <w:rFonts w:cstheme="minorHAnsi"/>
          <w:b/>
          <w:sz w:val="28"/>
          <w:szCs w:val="24"/>
        </w:rPr>
        <w:t>Wnioskodawca:</w:t>
      </w:r>
    </w:p>
    <w:p w14:paraId="0742C02C" w14:textId="213FD0D0" w:rsidR="00D36D60" w:rsidRDefault="00D36D60" w:rsidP="006424BB">
      <w:pPr>
        <w:rPr>
          <w:rFonts w:cstheme="minorHAnsi"/>
          <w:b/>
          <w:sz w:val="28"/>
          <w:szCs w:val="24"/>
        </w:rPr>
      </w:pPr>
    </w:p>
    <w:p w14:paraId="19D3B87D" w14:textId="77777777" w:rsidR="00EA12ED" w:rsidRPr="00EA12ED" w:rsidRDefault="00EA12ED" w:rsidP="00EA12ED">
      <w:pPr>
        <w:keepNext/>
        <w:keepLines/>
        <w:spacing w:before="360" w:after="240"/>
        <w:jc w:val="center"/>
        <w:rPr>
          <w:rFonts w:eastAsiaTheme="majorEastAsia" w:cstheme="majorBidi"/>
          <w:sz w:val="36"/>
          <w:szCs w:val="32"/>
        </w:rPr>
      </w:pPr>
      <w:r w:rsidRPr="00EA12ED">
        <w:rPr>
          <w:rFonts w:eastAsiaTheme="majorEastAsia" w:cstheme="majorBidi"/>
          <w:sz w:val="36"/>
          <w:szCs w:val="32"/>
        </w:rPr>
        <w:t>Instrukcja do sporządzenia Studium Wykonalności</w:t>
      </w:r>
    </w:p>
    <w:p w14:paraId="45BD97E8" w14:textId="019A15CF" w:rsidR="00EA12ED" w:rsidRDefault="00EA12ED" w:rsidP="00B721D0">
      <w:pPr>
        <w:rPr>
          <w:rFonts w:cstheme="minorHAnsi"/>
          <w:b/>
          <w:sz w:val="28"/>
          <w:szCs w:val="24"/>
        </w:rPr>
      </w:pPr>
    </w:p>
    <w:p w14:paraId="19DBD82B" w14:textId="77777777" w:rsidR="00F003BD" w:rsidRDefault="00F003BD" w:rsidP="00F003BD">
      <w:pPr>
        <w:jc w:val="center"/>
        <w:rPr>
          <w:rFonts w:cstheme="minorHAnsi"/>
          <w:b/>
          <w:sz w:val="28"/>
          <w:szCs w:val="24"/>
        </w:rPr>
      </w:pPr>
      <w:r w:rsidRPr="0091278E">
        <w:rPr>
          <w:rFonts w:cstheme="minorHAnsi"/>
          <w:b/>
          <w:sz w:val="28"/>
          <w:szCs w:val="24"/>
        </w:rPr>
        <w:t>Działanie FEWP.</w:t>
      </w:r>
      <w:r>
        <w:rPr>
          <w:rFonts w:cstheme="minorHAnsi"/>
          <w:b/>
          <w:sz w:val="28"/>
          <w:szCs w:val="24"/>
        </w:rPr>
        <w:t>10.</w:t>
      </w:r>
      <w:r w:rsidRPr="0091278E">
        <w:rPr>
          <w:rFonts w:cstheme="minorHAnsi"/>
          <w:b/>
          <w:sz w:val="28"/>
          <w:szCs w:val="24"/>
        </w:rPr>
        <w:t>0</w:t>
      </w:r>
      <w:r>
        <w:rPr>
          <w:rFonts w:cstheme="minorHAnsi"/>
          <w:b/>
          <w:sz w:val="28"/>
          <w:szCs w:val="24"/>
        </w:rPr>
        <w:t xml:space="preserve">5 </w:t>
      </w:r>
      <w:r w:rsidRPr="00207C9A">
        <w:rPr>
          <w:rFonts w:cstheme="minorHAnsi"/>
          <w:b/>
          <w:sz w:val="28"/>
          <w:szCs w:val="24"/>
        </w:rPr>
        <w:t xml:space="preserve">Sprawnie funkcjonujący i zdekarbonizowany transport publiczny </w:t>
      </w:r>
    </w:p>
    <w:p w14:paraId="2200A92A" w14:textId="77777777" w:rsidR="00F003BD" w:rsidRDefault="00F003BD" w:rsidP="00F003BD">
      <w:pPr>
        <w:jc w:val="center"/>
      </w:pPr>
      <w:r w:rsidRPr="0091278E">
        <w:rPr>
          <w:rFonts w:cstheme="minorHAnsi"/>
          <w:b/>
          <w:sz w:val="28"/>
        </w:rPr>
        <w:t>Typ</w:t>
      </w:r>
      <w:r>
        <w:rPr>
          <w:rFonts w:cstheme="minorHAnsi"/>
          <w:b/>
          <w:sz w:val="28"/>
        </w:rPr>
        <w:t>y projektów</w:t>
      </w:r>
      <w:r w:rsidRPr="0091278E">
        <w:rPr>
          <w:rFonts w:cstheme="minorHAnsi"/>
          <w:b/>
          <w:sz w:val="28"/>
        </w:rPr>
        <w:t xml:space="preserve">: </w:t>
      </w:r>
    </w:p>
    <w:p w14:paraId="0E6664F0" w14:textId="77777777" w:rsidR="00F003BD" w:rsidRPr="00207C9A" w:rsidRDefault="00F003BD" w:rsidP="00F003BD">
      <w:pPr>
        <w:pStyle w:val="Default"/>
        <w:numPr>
          <w:ilvl w:val="0"/>
          <w:numId w:val="16"/>
        </w:numPr>
        <w:rPr>
          <w:rFonts w:asciiTheme="minorHAnsi" w:hAnsiTheme="minorHAnsi" w:cstheme="minorHAnsi"/>
          <w:b/>
          <w:sz w:val="28"/>
        </w:rPr>
      </w:pPr>
      <w:r w:rsidRPr="00207C9A">
        <w:rPr>
          <w:rFonts w:asciiTheme="minorHAnsi" w:hAnsiTheme="minorHAnsi" w:cstheme="minorHAnsi"/>
          <w:b/>
          <w:sz w:val="28"/>
        </w:rPr>
        <w:t>Zakup zeroemisyjnego taboru autobusowego (elektrycznych BEV, wodorowych FCV) na potrzeby publicznego transportu zbiorowego, spełniających wymogi dla „ekologicznie czystych pojazdów”.</w:t>
      </w:r>
    </w:p>
    <w:p w14:paraId="093AF2E7" w14:textId="059C7315" w:rsidR="00F003BD" w:rsidRPr="00207C9A" w:rsidRDefault="00F003BD" w:rsidP="00F003BD">
      <w:pPr>
        <w:pStyle w:val="Default"/>
        <w:numPr>
          <w:ilvl w:val="0"/>
          <w:numId w:val="16"/>
        </w:numPr>
        <w:rPr>
          <w:rFonts w:asciiTheme="minorHAnsi" w:hAnsiTheme="minorHAnsi" w:cstheme="minorHAnsi"/>
          <w:b/>
          <w:sz w:val="28"/>
        </w:rPr>
      </w:pPr>
      <w:r w:rsidRPr="00207C9A">
        <w:rPr>
          <w:rFonts w:asciiTheme="minorHAnsi" w:hAnsiTheme="minorHAnsi" w:cstheme="minorHAnsi"/>
          <w:b/>
          <w:sz w:val="28"/>
        </w:rPr>
        <w:t>Budowa i rozbudowa infrastruktury do ładowania i tankowania zeroemisyjnych pojazdów komunikacji publicznej, instalacje służące do dystrybucji nośników energii i paliw dla zero-emisyjnego transportu zbiorowego nowej generacji wykorzystującego proekologic</w:t>
      </w:r>
      <w:r w:rsidR="00FD2FC0">
        <w:rPr>
          <w:rFonts w:asciiTheme="minorHAnsi" w:hAnsiTheme="minorHAnsi" w:cstheme="minorHAnsi"/>
          <w:b/>
          <w:sz w:val="28"/>
        </w:rPr>
        <w:t>zne źródła napędu (takie jak na przykład</w:t>
      </w:r>
      <w:r w:rsidRPr="00207C9A">
        <w:rPr>
          <w:rFonts w:asciiTheme="minorHAnsi" w:hAnsiTheme="minorHAnsi" w:cstheme="minorHAnsi"/>
          <w:b/>
          <w:sz w:val="28"/>
        </w:rPr>
        <w:t xml:space="preserve"> energia elektryczna, wodór).</w:t>
      </w:r>
    </w:p>
    <w:p w14:paraId="358545BC" w14:textId="60FEC0C5" w:rsidR="00F003BD" w:rsidRPr="00207C9A" w:rsidRDefault="00F003BD" w:rsidP="00F003BD">
      <w:pPr>
        <w:pStyle w:val="Default"/>
        <w:numPr>
          <w:ilvl w:val="0"/>
          <w:numId w:val="16"/>
        </w:numPr>
        <w:rPr>
          <w:rFonts w:asciiTheme="minorHAnsi" w:hAnsiTheme="minorHAnsi" w:cstheme="minorHAnsi"/>
          <w:b/>
          <w:sz w:val="28"/>
        </w:rPr>
      </w:pPr>
      <w:r w:rsidRPr="00207C9A">
        <w:rPr>
          <w:rFonts w:asciiTheme="minorHAnsi" w:hAnsiTheme="minorHAnsi" w:cstheme="minorHAnsi"/>
          <w:b/>
          <w:sz w:val="28"/>
        </w:rPr>
        <w:t xml:space="preserve">Budowa, przebudowa, rozbudowa i modernizacja infrastruktury transportu zbiorowego, obsługi pasażerów oraz poprawy przepływu pasażerów </w:t>
      </w:r>
      <w:r w:rsidR="0071731F" w:rsidRPr="00FD2FC0">
        <w:rPr>
          <w:rFonts w:asciiTheme="minorHAnsi" w:hAnsiTheme="minorHAnsi" w:cstheme="minorHAnsi"/>
          <w:b/>
          <w:sz w:val="28"/>
        </w:rPr>
        <w:t>w </w:t>
      </w:r>
      <w:r w:rsidRPr="00FD2FC0">
        <w:rPr>
          <w:rFonts w:asciiTheme="minorHAnsi" w:hAnsiTheme="minorHAnsi" w:cstheme="minorHAnsi"/>
          <w:b/>
          <w:sz w:val="28"/>
        </w:rPr>
        <w:t>z</w:t>
      </w:r>
      <w:r w:rsidRPr="00207C9A">
        <w:rPr>
          <w:rFonts w:asciiTheme="minorHAnsi" w:hAnsiTheme="minorHAnsi" w:cstheme="minorHAnsi"/>
          <w:b/>
          <w:sz w:val="28"/>
        </w:rPr>
        <w:t>wiązku ze zmieniającą się geografią dojazdów (do pracy, szkół, usług itp.).</w:t>
      </w:r>
    </w:p>
    <w:p w14:paraId="54D11184" w14:textId="77777777" w:rsidR="00F003BD" w:rsidRPr="00207C9A" w:rsidRDefault="00F003BD" w:rsidP="00F003BD">
      <w:pPr>
        <w:pStyle w:val="Default"/>
        <w:numPr>
          <w:ilvl w:val="0"/>
          <w:numId w:val="16"/>
        </w:numPr>
        <w:rPr>
          <w:rFonts w:asciiTheme="minorHAnsi" w:hAnsiTheme="minorHAnsi" w:cstheme="minorHAnsi"/>
          <w:b/>
          <w:sz w:val="28"/>
        </w:rPr>
      </w:pPr>
      <w:r w:rsidRPr="00207C9A">
        <w:rPr>
          <w:rFonts w:asciiTheme="minorHAnsi" w:hAnsiTheme="minorHAnsi" w:cstheme="minorHAnsi"/>
          <w:b/>
          <w:sz w:val="28"/>
        </w:rPr>
        <w:t>Rozwój systemów zarządzania i organizacji ruchu ITS na potrzeby publicznego transportu zbiorowego.</w:t>
      </w:r>
    </w:p>
    <w:p w14:paraId="7399D515" w14:textId="77777777" w:rsidR="00F003BD" w:rsidRPr="00207C9A" w:rsidRDefault="00F003BD" w:rsidP="00F003BD">
      <w:pPr>
        <w:pStyle w:val="Default"/>
        <w:numPr>
          <w:ilvl w:val="0"/>
          <w:numId w:val="16"/>
        </w:numPr>
        <w:rPr>
          <w:rFonts w:asciiTheme="minorHAnsi" w:hAnsiTheme="minorHAnsi" w:cstheme="minorHAnsi"/>
          <w:b/>
          <w:sz w:val="28"/>
        </w:rPr>
      </w:pPr>
      <w:r w:rsidRPr="00207C9A">
        <w:rPr>
          <w:rFonts w:asciiTheme="minorHAnsi" w:hAnsiTheme="minorHAnsi" w:cstheme="minorHAnsi"/>
          <w:b/>
          <w:sz w:val="28"/>
        </w:rPr>
        <w:t>Rozwój infrastruktury dla indywidualnego ruchu nieemisyjnego.</w:t>
      </w:r>
    </w:p>
    <w:p w14:paraId="6F90888D" w14:textId="77777777" w:rsidR="00F003BD" w:rsidRPr="00B85AC6" w:rsidRDefault="00F003BD" w:rsidP="00F003BD">
      <w:pPr>
        <w:pStyle w:val="Default"/>
        <w:ind w:left="720"/>
        <w:rPr>
          <w:rFonts w:cstheme="minorHAnsi"/>
          <w:b/>
          <w:sz w:val="28"/>
        </w:rPr>
      </w:pPr>
    </w:p>
    <w:p w14:paraId="16D3883B" w14:textId="77777777" w:rsidR="00F003BD" w:rsidRDefault="00F003BD" w:rsidP="00F003BD">
      <w:pPr>
        <w:jc w:val="center"/>
        <w:rPr>
          <w:rFonts w:cstheme="minorHAnsi"/>
          <w:b/>
          <w:sz w:val="28"/>
          <w:szCs w:val="24"/>
        </w:rPr>
      </w:pPr>
      <w:r w:rsidRPr="0091278E">
        <w:rPr>
          <w:rFonts w:cstheme="minorHAnsi"/>
          <w:b/>
          <w:sz w:val="28"/>
          <w:szCs w:val="24"/>
        </w:rPr>
        <w:t>Fundusze Europejskie dla Wielkopolski 2021-2027</w:t>
      </w:r>
    </w:p>
    <w:p w14:paraId="069839AF" w14:textId="77777777" w:rsidR="00207C9A" w:rsidRPr="00207C9A" w:rsidRDefault="00207C9A" w:rsidP="00207C9A">
      <w:pPr>
        <w:jc w:val="center"/>
        <w:rPr>
          <w:rFonts w:cstheme="minorHAnsi"/>
          <w:b/>
          <w:sz w:val="28"/>
          <w:szCs w:val="24"/>
        </w:rPr>
      </w:pPr>
    </w:p>
    <w:p w14:paraId="45BE1E8C" w14:textId="2C25FF72" w:rsidR="00D36D60" w:rsidRPr="00587B52" w:rsidRDefault="0090241A" w:rsidP="006424BB">
      <w:pPr>
        <w:rPr>
          <w:rFonts w:cstheme="minorHAnsi"/>
          <w:szCs w:val="24"/>
        </w:rPr>
      </w:pPr>
      <w:r w:rsidRPr="00587B52">
        <w:rPr>
          <w:rFonts w:cstheme="minorHAnsi"/>
          <w:szCs w:val="24"/>
        </w:rPr>
        <w:t>Autor</w:t>
      </w:r>
      <w:r w:rsidR="005C7564" w:rsidRPr="00587B52">
        <w:rPr>
          <w:rFonts w:cstheme="minorHAnsi"/>
          <w:szCs w:val="24"/>
        </w:rPr>
        <w:t xml:space="preserve"> Studium</w:t>
      </w:r>
      <w:r w:rsidR="00477C6C">
        <w:rPr>
          <w:rFonts w:cstheme="minorHAnsi"/>
          <w:szCs w:val="24"/>
        </w:rPr>
        <w:t xml:space="preserve"> Wykonalności</w:t>
      </w:r>
      <w:r w:rsidRPr="00587B52">
        <w:rPr>
          <w:rFonts w:cstheme="minorHAnsi"/>
          <w:szCs w:val="24"/>
        </w:rPr>
        <w:t>: imię, nazwisko, firma/instytucja</w:t>
      </w:r>
    </w:p>
    <w:p w14:paraId="3591BA47" w14:textId="217825EC" w:rsidR="00C05918" w:rsidRPr="00587B52" w:rsidRDefault="0090241A" w:rsidP="006424BB">
      <w:pPr>
        <w:rPr>
          <w:rFonts w:cstheme="minorHAnsi"/>
          <w:szCs w:val="24"/>
        </w:rPr>
      </w:pPr>
      <w:r w:rsidRPr="00587B52">
        <w:rPr>
          <w:rFonts w:cstheme="minorHAnsi"/>
          <w:szCs w:val="24"/>
        </w:rPr>
        <w:t>Kontakt: e-mail, telefon</w:t>
      </w:r>
    </w:p>
    <w:p w14:paraId="1C537817" w14:textId="4066AF6F" w:rsidR="0058099B" w:rsidRPr="00587B52" w:rsidRDefault="00615FCC" w:rsidP="006424BB">
      <w:pPr>
        <w:jc w:val="center"/>
        <w:rPr>
          <w:rFonts w:cstheme="minorHAnsi"/>
          <w:color w:val="FF0000"/>
          <w:szCs w:val="24"/>
        </w:rPr>
      </w:pPr>
      <w:r w:rsidRPr="00587B52">
        <w:rPr>
          <w:rFonts w:cstheme="minorHAnsi"/>
          <w:szCs w:val="24"/>
        </w:rPr>
        <w:t>SW.FEWP.</w:t>
      </w:r>
      <w:r w:rsidR="00980A41">
        <w:rPr>
          <w:rFonts w:cstheme="minorHAnsi"/>
          <w:szCs w:val="24"/>
        </w:rPr>
        <w:t>10</w:t>
      </w:r>
      <w:r w:rsidR="00782E4E">
        <w:rPr>
          <w:rFonts w:cstheme="minorHAnsi"/>
          <w:szCs w:val="24"/>
        </w:rPr>
        <w:t>.</w:t>
      </w:r>
      <w:r w:rsidR="00B24661" w:rsidRPr="00587B52">
        <w:rPr>
          <w:rFonts w:cstheme="minorHAnsi"/>
          <w:szCs w:val="24"/>
        </w:rPr>
        <w:t>0</w:t>
      </w:r>
      <w:r w:rsidR="00980A41">
        <w:rPr>
          <w:rFonts w:cstheme="minorHAnsi"/>
          <w:szCs w:val="24"/>
        </w:rPr>
        <w:t>5</w:t>
      </w:r>
      <w:r w:rsidR="001F0245">
        <w:rPr>
          <w:rFonts w:cstheme="minorHAnsi"/>
          <w:szCs w:val="24"/>
        </w:rPr>
        <w:t>.02</w:t>
      </w:r>
    </w:p>
    <w:p w14:paraId="1B1BEC21" w14:textId="170BF99D" w:rsidR="002D66FF" w:rsidRPr="00587B52" w:rsidRDefault="00D02A62" w:rsidP="006424BB">
      <w:pPr>
        <w:jc w:val="center"/>
        <w:rPr>
          <w:rFonts w:cstheme="minorHAnsi"/>
          <w:szCs w:val="24"/>
        </w:rPr>
      </w:pPr>
      <w:r w:rsidRPr="00587B52">
        <w:rPr>
          <w:rFonts w:cstheme="minorHAnsi"/>
          <w:szCs w:val="24"/>
        </w:rPr>
        <w:t xml:space="preserve">Poznań, </w:t>
      </w:r>
      <w:r w:rsidR="00ED40F1">
        <w:rPr>
          <w:rFonts w:cstheme="minorHAnsi"/>
          <w:szCs w:val="24"/>
        </w:rPr>
        <w:t>luty</w:t>
      </w:r>
      <w:r w:rsidR="001F0245">
        <w:rPr>
          <w:rFonts w:cstheme="minorHAnsi"/>
          <w:szCs w:val="24"/>
        </w:rPr>
        <w:t xml:space="preserve"> 202</w:t>
      </w:r>
      <w:r w:rsidR="00ED40F1">
        <w:rPr>
          <w:rFonts w:cstheme="minorHAnsi"/>
          <w:szCs w:val="24"/>
        </w:rPr>
        <w:t>6</w:t>
      </w:r>
      <w:r w:rsidR="00413F73">
        <w:rPr>
          <w:rFonts w:cstheme="minorHAnsi"/>
          <w:szCs w:val="24"/>
        </w:rPr>
        <w:t xml:space="preserve"> roku</w:t>
      </w:r>
      <w:r w:rsidR="0090241A" w:rsidRPr="00587B52">
        <w:rPr>
          <w:rFonts w:cstheme="minorHAnsi"/>
          <w:szCs w:val="24"/>
        </w:rPr>
        <w:br w:type="page"/>
      </w:r>
    </w:p>
    <w:p w14:paraId="193E6776" w14:textId="75DE7C8F" w:rsidR="002D66FF" w:rsidRPr="00587B52" w:rsidRDefault="002D66FF" w:rsidP="006424BB">
      <w:pPr>
        <w:rPr>
          <w:rFonts w:cstheme="minorHAnsi"/>
          <w:szCs w:val="24"/>
        </w:rPr>
      </w:pPr>
      <w:r w:rsidRPr="00587B52">
        <w:rPr>
          <w:rFonts w:cstheme="minorHAnsi"/>
          <w:szCs w:val="24"/>
        </w:rPr>
        <w:lastRenderedPageBreak/>
        <w:t xml:space="preserve">Studium </w:t>
      </w:r>
      <w:r w:rsidR="000F3199" w:rsidRPr="00587B52">
        <w:rPr>
          <w:rFonts w:cstheme="minorHAnsi"/>
          <w:szCs w:val="24"/>
        </w:rPr>
        <w:t>W</w:t>
      </w:r>
      <w:r w:rsidRPr="00587B52">
        <w:rPr>
          <w:rFonts w:cstheme="minorHAnsi"/>
          <w:szCs w:val="24"/>
        </w:rPr>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365B8E67" w:rsidR="0090241A" w:rsidRPr="00587B52" w:rsidRDefault="00423B57" w:rsidP="0067295D">
      <w:pPr>
        <w:rPr>
          <w:rFonts w:cstheme="minorHAnsi"/>
          <w:szCs w:val="24"/>
        </w:rPr>
      </w:pPr>
      <w:r w:rsidRPr="00587B52">
        <w:rPr>
          <w:rFonts w:cstheme="minorHAnsi"/>
          <w:szCs w:val="24"/>
        </w:rPr>
        <w:t>Celem Instrukcji do sporządzenia Studium Wykonalności, zwan</w:t>
      </w:r>
      <w:r w:rsidR="000F3199" w:rsidRPr="00587B52">
        <w:rPr>
          <w:rFonts w:cstheme="minorHAnsi"/>
          <w:szCs w:val="24"/>
        </w:rPr>
        <w:t>ej</w:t>
      </w:r>
      <w:r w:rsidRPr="00587B52">
        <w:rPr>
          <w:rFonts w:cstheme="minorHAnsi"/>
          <w:szCs w:val="24"/>
        </w:rPr>
        <w:t xml:space="preserve"> dalej Instrukcją, jest ujednolicenie sposobu przygotowania Studium Wykonalności dla projektów przez wszystkie podmioty ubiegające się o wsparcie z Funduszy Europejskich dla Wielkopolski 2021-2027 w ramach Działania FEWP.</w:t>
      </w:r>
      <w:r w:rsidR="00C57673">
        <w:rPr>
          <w:rFonts w:cstheme="minorHAnsi"/>
          <w:szCs w:val="24"/>
        </w:rPr>
        <w:t>10</w:t>
      </w:r>
      <w:r w:rsidR="00F60BD9">
        <w:rPr>
          <w:rFonts w:cstheme="minorHAnsi"/>
          <w:szCs w:val="24"/>
        </w:rPr>
        <w:t>.</w:t>
      </w:r>
      <w:r w:rsidR="00A54686" w:rsidRPr="00587B52">
        <w:rPr>
          <w:rFonts w:cstheme="minorHAnsi"/>
          <w:szCs w:val="24"/>
        </w:rPr>
        <w:t>0</w:t>
      </w:r>
      <w:r w:rsidR="00C57673">
        <w:rPr>
          <w:rFonts w:cstheme="minorHAnsi"/>
          <w:szCs w:val="24"/>
        </w:rPr>
        <w:t>5</w:t>
      </w:r>
      <w:r w:rsidR="00F87E5E">
        <w:rPr>
          <w:rFonts w:cstheme="minorHAnsi"/>
          <w:szCs w:val="24"/>
        </w:rPr>
        <w:t xml:space="preserve"> </w:t>
      </w:r>
      <w:r w:rsidR="00C57673" w:rsidRPr="00C57673">
        <w:rPr>
          <w:rFonts w:cstheme="minorHAnsi"/>
          <w:szCs w:val="24"/>
        </w:rPr>
        <w:t>Sprawnie funkcjonujący i zdekarbonizowany transport publiczny</w:t>
      </w:r>
      <w:r w:rsidR="00AB5FEA">
        <w:rPr>
          <w:rFonts w:cstheme="minorHAnsi"/>
          <w:szCs w:val="24"/>
        </w:rPr>
        <w:t>.</w:t>
      </w:r>
    </w:p>
    <w:p w14:paraId="7A1C0F5E" w14:textId="77777777" w:rsidR="0090241A" w:rsidRPr="00587B52" w:rsidRDefault="0090241A" w:rsidP="006424BB">
      <w:pPr>
        <w:rPr>
          <w:rFonts w:cstheme="minorHAnsi"/>
          <w:szCs w:val="24"/>
        </w:rPr>
      </w:pPr>
      <w:r w:rsidRPr="00587B52">
        <w:rPr>
          <w:rFonts w:cstheme="minorHAnsi"/>
          <w:szCs w:val="24"/>
        </w:rPr>
        <w:t xml:space="preserve">Przygotowując Studium Wykonalności należy mieć na uwadze następujące zasady: </w:t>
      </w:r>
    </w:p>
    <w:p w14:paraId="21867CB1" w14:textId="1B1162BA"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Dane przedstawione w Studium Wykonalności powinny </w:t>
      </w:r>
      <w:r w:rsidR="000F3199" w:rsidRPr="00587B52">
        <w:rPr>
          <w:rFonts w:cstheme="minorHAnsi"/>
          <w:szCs w:val="24"/>
        </w:rPr>
        <w:t xml:space="preserve">być </w:t>
      </w:r>
      <w:r w:rsidR="00423B57" w:rsidRPr="00587B52">
        <w:rPr>
          <w:rFonts w:cstheme="minorHAnsi"/>
          <w:szCs w:val="24"/>
        </w:rPr>
        <w:t>zgodne</w:t>
      </w:r>
      <w:r w:rsidRPr="00587B52">
        <w:rPr>
          <w:rFonts w:cstheme="minorHAnsi"/>
          <w:szCs w:val="24"/>
        </w:rPr>
        <w:t xml:space="preserve"> z danymi zawartymi we wniosku o dofinansowanie.</w:t>
      </w:r>
    </w:p>
    <w:p w14:paraId="3F6A54C3"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aktualne na dzień składania wniosku.</w:t>
      </w:r>
    </w:p>
    <w:p w14:paraId="6D429B19"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Studium Wykonalności musi być zgodne z:</w:t>
      </w:r>
    </w:p>
    <w:p w14:paraId="2F44FB41" w14:textId="64DAAAB4" w:rsidR="0090241A" w:rsidRPr="00587B52" w:rsidRDefault="00F30E27" w:rsidP="006424BB">
      <w:pPr>
        <w:pStyle w:val="Akapitzlist"/>
        <w:numPr>
          <w:ilvl w:val="1"/>
          <w:numId w:val="1"/>
        </w:numPr>
        <w:ind w:left="567" w:hanging="283"/>
        <w:rPr>
          <w:rFonts w:cstheme="minorHAnsi"/>
          <w:szCs w:val="24"/>
        </w:rPr>
      </w:pPr>
      <w:r>
        <w:rPr>
          <w:rFonts w:cstheme="minorHAnsi"/>
          <w:szCs w:val="24"/>
        </w:rPr>
        <w:t>P</w:t>
      </w:r>
      <w:r w:rsidR="005C7564" w:rsidRPr="00587B52">
        <w:rPr>
          <w:rFonts w:cstheme="minorHAnsi"/>
          <w:szCs w:val="24"/>
        </w:rPr>
        <w:t>rogramem Fundusze Europejskie dla Wielkopolski 2021-2027</w:t>
      </w:r>
      <w:r w:rsidR="0090241A" w:rsidRPr="00587B52">
        <w:rPr>
          <w:rFonts w:cstheme="minorHAnsi"/>
          <w:szCs w:val="24"/>
        </w:rPr>
        <w:t>;</w:t>
      </w:r>
    </w:p>
    <w:p w14:paraId="0467B91E" w14:textId="223B9079" w:rsidR="0090241A" w:rsidRPr="00587B52" w:rsidRDefault="005C7564" w:rsidP="006424BB">
      <w:pPr>
        <w:pStyle w:val="Akapitzlist"/>
        <w:numPr>
          <w:ilvl w:val="1"/>
          <w:numId w:val="1"/>
        </w:numPr>
        <w:ind w:left="567" w:hanging="283"/>
        <w:rPr>
          <w:rFonts w:cstheme="minorHAnsi"/>
          <w:szCs w:val="24"/>
        </w:rPr>
      </w:pPr>
      <w:r w:rsidRPr="00587B52">
        <w:rPr>
          <w:rFonts w:cstheme="minorHAnsi"/>
          <w:szCs w:val="24"/>
        </w:rPr>
        <w:t>Szczegółowym Opisem Priorytetów Programu Fundusze Europejskie dla Wielkopolski 2021-2027</w:t>
      </w:r>
      <w:r w:rsidR="0090241A" w:rsidRPr="00587B52">
        <w:rPr>
          <w:rFonts w:cstheme="minorHAnsi"/>
          <w:szCs w:val="24"/>
        </w:rPr>
        <w:t>;</w:t>
      </w:r>
    </w:p>
    <w:p w14:paraId="1A3578D6" w14:textId="77777777"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Wytycznymi </w:t>
      </w:r>
      <w:r w:rsidR="005C7564" w:rsidRPr="00587B52">
        <w:rPr>
          <w:rFonts w:cstheme="minorHAnsi"/>
          <w:szCs w:val="24"/>
        </w:rPr>
        <w:t>dotyczącymi zagadnień związanych z przygotowaniem projektów inwestycyjnych, w tym hybrydowych na lata 2021-2027</w:t>
      </w:r>
      <w:r w:rsidRPr="00587B52">
        <w:rPr>
          <w:rFonts w:cstheme="minorHAnsi"/>
          <w:szCs w:val="24"/>
        </w:rPr>
        <w:t>;</w:t>
      </w:r>
    </w:p>
    <w:p w14:paraId="1069616B" w14:textId="2E32EA1E" w:rsidR="0090241A" w:rsidRDefault="008B1ABB" w:rsidP="006424BB">
      <w:pPr>
        <w:pStyle w:val="Akapitzlist"/>
        <w:numPr>
          <w:ilvl w:val="1"/>
          <w:numId w:val="1"/>
        </w:numPr>
        <w:ind w:left="567" w:hanging="283"/>
        <w:rPr>
          <w:rFonts w:cstheme="minorHAnsi"/>
          <w:szCs w:val="24"/>
        </w:rPr>
      </w:pPr>
      <w:r w:rsidRPr="00587B52">
        <w:rPr>
          <w:rFonts w:cstheme="minorHAnsi"/>
          <w:szCs w:val="24"/>
        </w:rPr>
        <w:t>Wytycznymi dotyczącymi kwalifikowalności wydatków na lata 2021-2027</w:t>
      </w:r>
      <w:r w:rsidR="0090241A" w:rsidRPr="00587B52">
        <w:rPr>
          <w:rFonts w:cstheme="minorHAnsi"/>
          <w:szCs w:val="24"/>
        </w:rPr>
        <w:t>;</w:t>
      </w:r>
    </w:p>
    <w:p w14:paraId="660E3E55" w14:textId="3FCA62A4" w:rsidR="00791432" w:rsidRPr="00791432" w:rsidRDefault="00B5553D" w:rsidP="00791432">
      <w:pPr>
        <w:pStyle w:val="Akapitzlist"/>
        <w:numPr>
          <w:ilvl w:val="1"/>
          <w:numId w:val="1"/>
        </w:numPr>
        <w:ind w:left="567" w:hanging="283"/>
        <w:rPr>
          <w:rFonts w:cstheme="minorHAnsi"/>
          <w:szCs w:val="24"/>
        </w:rPr>
      </w:pPr>
      <w:r>
        <w:rPr>
          <w:rFonts w:cstheme="minorHAnsi"/>
          <w:szCs w:val="24"/>
        </w:rPr>
        <w:t>Niebieską Księgą.</w:t>
      </w:r>
      <w:r w:rsidR="00791432" w:rsidRPr="00791432">
        <w:rPr>
          <w:rFonts w:cstheme="minorHAnsi"/>
          <w:szCs w:val="24"/>
        </w:rPr>
        <w:t xml:space="preserve"> Sektor transportu publicznego</w:t>
      </w:r>
      <w:r w:rsidR="00791432">
        <w:rPr>
          <w:rFonts w:cstheme="minorHAnsi"/>
          <w:szCs w:val="24"/>
        </w:rPr>
        <w:t xml:space="preserve"> </w:t>
      </w:r>
      <w:r w:rsidR="00791432" w:rsidRPr="00791432">
        <w:rPr>
          <w:rFonts w:cstheme="minorHAnsi"/>
          <w:szCs w:val="24"/>
        </w:rPr>
        <w:t>w miastach, aglomeracjach i regionac</w:t>
      </w:r>
      <w:r w:rsidR="00791432">
        <w:rPr>
          <w:rFonts w:cstheme="minorHAnsi"/>
          <w:szCs w:val="24"/>
        </w:rPr>
        <w:t>h</w:t>
      </w:r>
      <w:r w:rsidR="00C3729C">
        <w:rPr>
          <w:rFonts w:cstheme="minorHAnsi"/>
          <w:szCs w:val="24"/>
        </w:rPr>
        <w:t xml:space="preserve">, </w:t>
      </w:r>
      <w:r>
        <w:rPr>
          <w:rFonts w:cstheme="minorHAnsi"/>
          <w:szCs w:val="24"/>
        </w:rPr>
        <w:t>J</w:t>
      </w:r>
      <w:r w:rsidR="00D85BF8">
        <w:rPr>
          <w:rFonts w:cstheme="minorHAnsi"/>
          <w:szCs w:val="24"/>
        </w:rPr>
        <w:t>aspers</w:t>
      </w:r>
      <w:r>
        <w:rPr>
          <w:rFonts w:cstheme="minorHAnsi"/>
          <w:szCs w:val="24"/>
        </w:rPr>
        <w:t xml:space="preserve"> 2023</w:t>
      </w:r>
      <w:r w:rsidR="005C1834">
        <w:rPr>
          <w:rFonts w:cstheme="minorHAnsi"/>
          <w:szCs w:val="24"/>
        </w:rPr>
        <w:t xml:space="preserve"> (Niebieska Księga)</w:t>
      </w:r>
      <w:r w:rsidR="006F22F0">
        <w:rPr>
          <w:rFonts w:cstheme="minorHAnsi"/>
          <w:szCs w:val="24"/>
        </w:rPr>
        <w:t>;</w:t>
      </w:r>
    </w:p>
    <w:p w14:paraId="35CAF7C6" w14:textId="109176B2" w:rsidR="0090241A" w:rsidRPr="00587B52" w:rsidRDefault="0090241A" w:rsidP="006424BB">
      <w:pPr>
        <w:pStyle w:val="Akapitzlist"/>
        <w:numPr>
          <w:ilvl w:val="1"/>
          <w:numId w:val="1"/>
        </w:numPr>
        <w:ind w:left="567" w:hanging="283"/>
        <w:rPr>
          <w:rFonts w:cstheme="minorHAnsi"/>
          <w:szCs w:val="24"/>
        </w:rPr>
      </w:pPr>
      <w:r w:rsidRPr="00587B52">
        <w:rPr>
          <w:rFonts w:cstheme="minorHAnsi"/>
          <w:szCs w:val="24"/>
        </w:rPr>
        <w:t xml:space="preserve">Przewodnikiem do analizy kosztów i korzyści projektów inwestycyjnych (Guide to </w:t>
      </w:r>
      <w:proofErr w:type="spellStart"/>
      <w:r w:rsidRPr="00587B52">
        <w:rPr>
          <w:rFonts w:cstheme="minorHAnsi"/>
          <w:szCs w:val="24"/>
        </w:rPr>
        <w:t>Cost</w:t>
      </w:r>
      <w:proofErr w:type="spellEnd"/>
      <w:r w:rsidRPr="00587B52">
        <w:rPr>
          <w:rFonts w:cstheme="minorHAnsi"/>
          <w:szCs w:val="24"/>
        </w:rPr>
        <w:t xml:space="preserve">-benefit Analysis of Investment Project -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w:t>
      </w:r>
      <w:proofErr w:type="spellStart"/>
      <w:r w:rsidRPr="00587B52">
        <w:rPr>
          <w:rFonts w:cstheme="minorHAnsi"/>
          <w:szCs w:val="24"/>
        </w:rPr>
        <w:t>tool</w:t>
      </w:r>
      <w:proofErr w:type="spellEnd"/>
      <w:r w:rsidRPr="00587B52">
        <w:rPr>
          <w:rFonts w:cstheme="minorHAnsi"/>
          <w:szCs w:val="24"/>
        </w:rPr>
        <w:t xml:space="preserve"> for </w:t>
      </w:r>
      <w:proofErr w:type="spellStart"/>
      <w:r w:rsidRPr="00587B52">
        <w:rPr>
          <w:rFonts w:cstheme="minorHAnsi"/>
          <w:szCs w:val="24"/>
        </w:rPr>
        <w:t>Cohesion</w:t>
      </w:r>
      <w:proofErr w:type="spellEnd"/>
      <w:r w:rsidRPr="00587B52">
        <w:rPr>
          <w:rFonts w:cstheme="minorHAnsi"/>
          <w:szCs w:val="24"/>
        </w:rPr>
        <w:t xml:space="preserve"> Policy 2014-2020) Komisji Europejskiej, grudzień 2014 (Przewodnik AKK);</w:t>
      </w:r>
    </w:p>
    <w:p w14:paraId="46903FB8" w14:textId="77777777" w:rsidR="0090241A" w:rsidRPr="00587B52" w:rsidRDefault="00082138" w:rsidP="006424BB">
      <w:pPr>
        <w:pStyle w:val="Akapitzlist"/>
        <w:numPr>
          <w:ilvl w:val="1"/>
          <w:numId w:val="1"/>
        </w:numPr>
        <w:ind w:left="567" w:hanging="283"/>
        <w:rPr>
          <w:rFonts w:cstheme="minorHAnsi"/>
          <w:szCs w:val="24"/>
        </w:rPr>
      </w:pPr>
      <w:r w:rsidRPr="00587B52">
        <w:rPr>
          <w:rFonts w:cstheme="minorHAnsi"/>
          <w:szCs w:val="24"/>
        </w:rPr>
        <w:t>Vademecum analizy ekonomicznej (</w:t>
      </w:r>
      <w:proofErr w:type="spellStart"/>
      <w:r w:rsidRPr="00587B52">
        <w:rPr>
          <w:rFonts w:cstheme="minorHAnsi"/>
          <w:szCs w:val="24"/>
        </w:rPr>
        <w:t>Economic</w:t>
      </w:r>
      <w:proofErr w:type="spellEnd"/>
      <w:r w:rsidRPr="00587B52">
        <w:rPr>
          <w:rFonts w:cstheme="minorHAnsi"/>
          <w:szCs w:val="24"/>
        </w:rPr>
        <w:t xml:space="preserve"> </w:t>
      </w:r>
      <w:proofErr w:type="spellStart"/>
      <w:r w:rsidRPr="00587B52">
        <w:rPr>
          <w:rFonts w:cstheme="minorHAnsi"/>
          <w:szCs w:val="24"/>
        </w:rPr>
        <w:t>Appraisal</w:t>
      </w:r>
      <w:proofErr w:type="spellEnd"/>
      <w:r w:rsidRPr="00587B52">
        <w:rPr>
          <w:rFonts w:cstheme="minorHAnsi"/>
          <w:szCs w:val="24"/>
        </w:rPr>
        <w:t xml:space="preserve"> Vademecum 2021-2027), Komisj</w:t>
      </w:r>
      <w:r w:rsidR="008B1ABB" w:rsidRPr="00587B52">
        <w:rPr>
          <w:rFonts w:cstheme="minorHAnsi"/>
          <w:szCs w:val="24"/>
        </w:rPr>
        <w:t>i</w:t>
      </w:r>
      <w:r w:rsidRPr="00587B52">
        <w:rPr>
          <w:rFonts w:cstheme="minorHAnsi"/>
          <w:szCs w:val="24"/>
        </w:rPr>
        <w:t xml:space="preserve"> Europejsk</w:t>
      </w:r>
      <w:r w:rsidR="008B1ABB" w:rsidRPr="00587B52">
        <w:rPr>
          <w:rFonts w:cstheme="minorHAnsi"/>
          <w:szCs w:val="24"/>
        </w:rPr>
        <w:t>iej</w:t>
      </w:r>
      <w:r w:rsidRPr="00587B52">
        <w:rPr>
          <w:rFonts w:cstheme="minorHAnsi"/>
          <w:szCs w:val="24"/>
        </w:rPr>
        <w:t>, wrzesień 2021 (Vademecum AE)</w:t>
      </w:r>
      <w:r w:rsidR="0090241A" w:rsidRPr="00587B52">
        <w:rPr>
          <w:rFonts w:cstheme="minorHAnsi"/>
          <w:szCs w:val="24"/>
        </w:rPr>
        <w:t>.</w:t>
      </w:r>
    </w:p>
    <w:p w14:paraId="26E9590D" w14:textId="77777777" w:rsidR="0090241A" w:rsidRPr="00587B52" w:rsidRDefault="0090241A" w:rsidP="006424BB">
      <w:pPr>
        <w:pStyle w:val="Akapitzlist"/>
        <w:numPr>
          <w:ilvl w:val="0"/>
          <w:numId w:val="2"/>
        </w:numPr>
        <w:ind w:left="284" w:hanging="284"/>
        <w:rPr>
          <w:rFonts w:cstheme="minorHAnsi"/>
          <w:szCs w:val="24"/>
        </w:rPr>
      </w:pPr>
      <w:r w:rsidRPr="00587B52">
        <w:rPr>
          <w:rFonts w:cstheme="minorHAnsi"/>
          <w:szCs w:val="24"/>
        </w:rPr>
        <w:t xml:space="preserve">Należy wskazać wszystkie źródła pozyskania danych (zarówno liczbowych, jak i </w:t>
      </w:r>
      <w:proofErr w:type="spellStart"/>
      <w:r w:rsidRPr="00587B52">
        <w:rPr>
          <w:rFonts w:cstheme="minorHAnsi"/>
          <w:szCs w:val="24"/>
        </w:rPr>
        <w:t>nieliczbowych</w:t>
      </w:r>
      <w:proofErr w:type="spellEnd"/>
      <w:r w:rsidRPr="00587B52">
        <w:rPr>
          <w:rFonts w:cstheme="minorHAnsi"/>
          <w:szCs w:val="24"/>
        </w:rPr>
        <w:t xml:space="preserve">) oraz okres, którego dotyczą. Dane muszą być wiarygodne i realne. Dane statystyczne powinny być nie starsze niż 2 lata. </w:t>
      </w:r>
    </w:p>
    <w:p w14:paraId="0A3D9EE3" w14:textId="77777777" w:rsidR="008C0AC5" w:rsidRDefault="00AC4C1F" w:rsidP="006424BB">
      <w:pPr>
        <w:rPr>
          <w:rFonts w:cstheme="minorHAnsi"/>
          <w:szCs w:val="24"/>
        </w:rPr>
      </w:pPr>
      <w:r w:rsidRPr="00587B52">
        <w:rPr>
          <w:rFonts w:cstheme="minorHAnsi"/>
          <w:szCs w:val="24"/>
        </w:rPr>
        <w:t>Instytucja Zarządzająca zaleca, aby sporządzać Studium Wykonalności zgodnie z przedstawionym schematem. Strona tytułowa powinna zawierać tytuł projektu, nazwę Wnioskodawcy, nazwę Działania i właściw</w:t>
      </w:r>
      <w:r w:rsidR="005D59C3" w:rsidRPr="00587B52">
        <w:rPr>
          <w:rFonts w:cstheme="minorHAnsi"/>
          <w:szCs w:val="24"/>
        </w:rPr>
        <w:t>y</w:t>
      </w:r>
      <w:r w:rsidRPr="00587B52">
        <w:rPr>
          <w:rFonts w:cstheme="minorHAnsi"/>
          <w:szCs w:val="24"/>
        </w:rPr>
        <w:t xml:space="preserve"> typ projektu wynikając</w:t>
      </w:r>
      <w:r w:rsidR="005D59C3" w:rsidRPr="00587B52">
        <w:rPr>
          <w:rFonts w:cstheme="minorHAnsi"/>
          <w:szCs w:val="24"/>
        </w:rPr>
        <w:t>y</w:t>
      </w:r>
      <w:r w:rsidRPr="00587B52">
        <w:rPr>
          <w:rFonts w:cstheme="minorHAnsi"/>
          <w:szCs w:val="24"/>
        </w:rPr>
        <w:t xml:space="preserve"> z </w:t>
      </w:r>
      <w:r w:rsidR="004E630B">
        <w:rPr>
          <w:rFonts w:cstheme="minorHAnsi"/>
          <w:szCs w:val="24"/>
        </w:rPr>
        <w:t>Programu Fundusze Europejskie dla Wielkopolski 2021-2027</w:t>
      </w:r>
      <w:r w:rsidRPr="00587B52">
        <w:rPr>
          <w:rFonts w:cstheme="minorHAnsi"/>
          <w:szCs w:val="24"/>
        </w:rPr>
        <w:t xml:space="preserve">, </w:t>
      </w:r>
      <w:r w:rsidR="000F3199" w:rsidRPr="00587B52">
        <w:rPr>
          <w:rFonts w:cstheme="minorHAnsi"/>
          <w:szCs w:val="24"/>
        </w:rPr>
        <w:t xml:space="preserve">imię i nazwisko </w:t>
      </w:r>
      <w:r w:rsidRPr="00587B52">
        <w:rPr>
          <w:rFonts w:cstheme="minorHAnsi"/>
          <w:szCs w:val="24"/>
        </w:rPr>
        <w:t xml:space="preserve">autora Studium Wykonalności oraz jego dane kontaktowe. Przy wypełnianiu dokumentu należy usunąć opisy stanowiące wskazówki do poszczególnych pozycji Studium Wykonalności. Dodatkowo należy unikać </w:t>
      </w:r>
      <w:r w:rsidR="006424BB">
        <w:rPr>
          <w:rFonts w:cstheme="minorHAnsi"/>
          <w:szCs w:val="24"/>
        </w:rPr>
        <w:t>n</w:t>
      </w:r>
      <w:r w:rsidRPr="00587B52">
        <w:rPr>
          <w:rFonts w:cstheme="minorHAnsi"/>
          <w:szCs w:val="24"/>
        </w:rPr>
        <w:t>admiernego rozbudowywania opisów i podawania informacji zbędnych dla oceny wykonalności projektu. Informacje powinny być konkretne i jednoznaczne, najlepiej poparte danymi liczbowymi.</w:t>
      </w:r>
      <w:r w:rsidR="008C0AC5">
        <w:rPr>
          <w:rFonts w:cstheme="minorHAnsi"/>
          <w:szCs w:val="24"/>
        </w:rPr>
        <w:t xml:space="preserve"> </w:t>
      </w:r>
    </w:p>
    <w:p w14:paraId="5E3E960B" w14:textId="37105FF2" w:rsidR="00AC4C1F" w:rsidRPr="00587B52" w:rsidRDefault="00AC4C1F" w:rsidP="006424BB">
      <w:pPr>
        <w:rPr>
          <w:rFonts w:cstheme="minorHAnsi"/>
          <w:szCs w:val="24"/>
        </w:rPr>
      </w:pPr>
      <w:r w:rsidRPr="00587B52">
        <w:rPr>
          <w:rFonts w:cstheme="minorHAnsi"/>
          <w:szCs w:val="24"/>
        </w:rPr>
        <w:lastRenderedPageBreak/>
        <w:t xml:space="preserve">Wszystkie podmioty zainteresowane ubieganiem się o dofinansowanie w ramach </w:t>
      </w:r>
      <w:r w:rsidR="004E630B" w:rsidRPr="004E630B">
        <w:rPr>
          <w:rFonts w:cstheme="minorHAnsi"/>
          <w:szCs w:val="24"/>
        </w:rPr>
        <w:t>Programu Fundusze Europejskie dla Wielkopolski 2021-2027</w:t>
      </w:r>
      <w:r w:rsidR="00F03ABD">
        <w:rPr>
          <w:rFonts w:cstheme="minorHAnsi"/>
          <w:szCs w:val="24"/>
        </w:rPr>
        <w:t xml:space="preserve"> </w:t>
      </w:r>
      <w:r w:rsidRPr="00587B52">
        <w:rPr>
          <w:rFonts w:cstheme="minorHAnsi"/>
          <w:szCs w:val="24"/>
        </w:rPr>
        <w:t>powinny zapoznać się z regulacjami unijnymi oraz krajowym</w:t>
      </w:r>
      <w:r w:rsidR="000F3199" w:rsidRPr="00587B52">
        <w:rPr>
          <w:rFonts w:cstheme="minorHAnsi"/>
          <w:szCs w:val="24"/>
        </w:rPr>
        <w:t>i</w:t>
      </w:r>
      <w:r w:rsidRPr="00587B52">
        <w:rPr>
          <w:rFonts w:cstheme="minorHAnsi"/>
          <w:szCs w:val="24"/>
        </w:rPr>
        <w:t>, w zakresie przygotowywania projektów inwestycyjnych.</w:t>
      </w:r>
    </w:p>
    <w:p w14:paraId="3E0F8156" w14:textId="0B685960" w:rsidR="00895283" w:rsidRPr="00587B52" w:rsidRDefault="00AC4C1F" w:rsidP="006424BB">
      <w:pPr>
        <w:rPr>
          <w:rFonts w:cstheme="minorHAnsi"/>
          <w:szCs w:val="24"/>
        </w:rPr>
      </w:pPr>
      <w:r w:rsidRPr="00587B52">
        <w:rPr>
          <w:rFonts w:cstheme="minorHAnsi"/>
          <w:szCs w:val="24"/>
        </w:rPr>
        <w:t>Integralną częścią Studium Wykonalności jest załącznik w formie arkusza kalkulacyjnego (w formacie przygotowanym przez Instytucję Zarządzającą), służący przedstawieniu analizy finansowej. Arkusz zawiera formuły i powiązania ułatwiające przeprowadzenie obliczeń, z których należy korzystać.</w:t>
      </w:r>
      <w:r w:rsidR="0090241A" w:rsidRPr="00587B52">
        <w:rPr>
          <w:rFonts w:cstheme="minorHAnsi"/>
          <w:szCs w:val="24"/>
        </w:rPr>
        <w:br w:type="page"/>
      </w:r>
    </w:p>
    <w:sdt>
      <w:sdtPr>
        <w:rPr>
          <w:b/>
          <w:sz w:val="22"/>
        </w:rPr>
        <w:id w:val="2032533748"/>
        <w:docPartObj>
          <w:docPartGallery w:val="Table of Contents"/>
          <w:docPartUnique/>
        </w:docPartObj>
      </w:sdtPr>
      <w:sdtEndPr>
        <w:rPr>
          <w:rFonts w:cstheme="minorHAnsi"/>
          <w:b w:val="0"/>
          <w:bCs/>
          <w:sz w:val="24"/>
          <w:szCs w:val="24"/>
        </w:rPr>
      </w:sdtEndPr>
      <w:sdtContent>
        <w:p w14:paraId="2BBFE953" w14:textId="77777777" w:rsidR="0090241A" w:rsidRPr="005B450A" w:rsidRDefault="0090241A" w:rsidP="00143C20">
          <w:pPr>
            <w:rPr>
              <w:rFonts w:cstheme="minorHAnsi"/>
            </w:rPr>
          </w:pPr>
          <w:r w:rsidRPr="00143C20">
            <w:rPr>
              <w:rFonts w:cstheme="minorHAnsi"/>
              <w:b/>
              <w:sz w:val="28"/>
              <w:lang w:eastAsia="pl-PL"/>
            </w:rPr>
            <w:t>Spis treści</w:t>
          </w:r>
        </w:p>
        <w:p w14:paraId="6C1191C0" w14:textId="5AC2750C" w:rsidR="00B950EA" w:rsidRDefault="001F31A9">
          <w:pPr>
            <w:pStyle w:val="Spistreci1"/>
            <w:rPr>
              <w:rFonts w:eastAsiaTheme="minorEastAsia"/>
              <w:noProof/>
              <w:sz w:val="22"/>
              <w:lang w:eastAsia="pl-PL"/>
            </w:rPr>
          </w:pPr>
          <w:r>
            <w:rPr>
              <w:rFonts w:cstheme="minorHAnsi"/>
              <w:szCs w:val="24"/>
            </w:rPr>
            <w:fldChar w:fldCharType="begin"/>
          </w:r>
          <w:r>
            <w:rPr>
              <w:rFonts w:cstheme="minorHAnsi"/>
              <w:szCs w:val="24"/>
            </w:rPr>
            <w:instrText xml:space="preserve"> TOC \o "1-2" \h \z \u </w:instrText>
          </w:r>
          <w:r>
            <w:rPr>
              <w:rFonts w:cstheme="minorHAnsi"/>
              <w:szCs w:val="24"/>
            </w:rPr>
            <w:fldChar w:fldCharType="separate"/>
          </w:r>
          <w:hyperlink w:anchor="_Toc160614656" w:history="1">
            <w:r w:rsidR="00B950EA" w:rsidRPr="00D566C2">
              <w:rPr>
                <w:rStyle w:val="Hipercze"/>
                <w:noProof/>
              </w:rPr>
              <w:t>1.</w:t>
            </w:r>
            <w:r w:rsidR="00B950EA">
              <w:rPr>
                <w:rFonts w:eastAsiaTheme="minorEastAsia"/>
                <w:noProof/>
                <w:sz w:val="22"/>
                <w:lang w:eastAsia="pl-PL"/>
              </w:rPr>
              <w:tab/>
            </w:r>
            <w:r w:rsidR="00B950EA" w:rsidRPr="00D566C2">
              <w:rPr>
                <w:rStyle w:val="Hipercze"/>
                <w:noProof/>
              </w:rPr>
              <w:t>Identyfikacja projektu i opis celów projektu</w:t>
            </w:r>
            <w:r w:rsidR="00B950EA">
              <w:rPr>
                <w:noProof/>
                <w:webHidden/>
              </w:rPr>
              <w:tab/>
            </w:r>
            <w:r w:rsidR="00B950EA">
              <w:rPr>
                <w:noProof/>
                <w:webHidden/>
              </w:rPr>
              <w:fldChar w:fldCharType="begin"/>
            </w:r>
            <w:r w:rsidR="00B950EA">
              <w:rPr>
                <w:noProof/>
                <w:webHidden/>
              </w:rPr>
              <w:instrText xml:space="preserve"> PAGEREF _Toc160614656 \h </w:instrText>
            </w:r>
            <w:r w:rsidR="00B950EA">
              <w:rPr>
                <w:noProof/>
                <w:webHidden/>
              </w:rPr>
            </w:r>
            <w:r w:rsidR="00B950EA">
              <w:rPr>
                <w:noProof/>
                <w:webHidden/>
              </w:rPr>
              <w:fldChar w:fldCharType="separate"/>
            </w:r>
            <w:r w:rsidR="00B950EA">
              <w:rPr>
                <w:noProof/>
                <w:webHidden/>
              </w:rPr>
              <w:t>6</w:t>
            </w:r>
            <w:r w:rsidR="00B950EA">
              <w:rPr>
                <w:noProof/>
                <w:webHidden/>
              </w:rPr>
              <w:fldChar w:fldCharType="end"/>
            </w:r>
          </w:hyperlink>
        </w:p>
        <w:p w14:paraId="79116DC7" w14:textId="29B6367F" w:rsidR="00B950EA" w:rsidRDefault="00B950EA">
          <w:pPr>
            <w:pStyle w:val="Spistreci2"/>
            <w:rPr>
              <w:rFonts w:eastAsiaTheme="minorEastAsia"/>
              <w:noProof/>
              <w:sz w:val="22"/>
              <w:lang w:eastAsia="pl-PL"/>
            </w:rPr>
          </w:pPr>
          <w:hyperlink w:anchor="_Toc160614657" w:history="1">
            <w:r w:rsidRPr="00D566C2">
              <w:rPr>
                <w:rStyle w:val="Hipercze"/>
                <w:rFonts w:cstheme="minorHAnsi"/>
                <w:noProof/>
              </w:rPr>
              <w:t>1.1.</w:t>
            </w:r>
            <w:r>
              <w:rPr>
                <w:rFonts w:eastAsiaTheme="minorEastAsia"/>
                <w:noProof/>
                <w:sz w:val="22"/>
                <w:lang w:eastAsia="pl-PL"/>
              </w:rPr>
              <w:tab/>
            </w:r>
            <w:r w:rsidRPr="00D566C2">
              <w:rPr>
                <w:rStyle w:val="Hipercze"/>
                <w:rFonts w:cstheme="minorHAnsi"/>
                <w:noProof/>
              </w:rPr>
              <w:t>Cele projektu</w:t>
            </w:r>
            <w:r>
              <w:rPr>
                <w:noProof/>
                <w:webHidden/>
              </w:rPr>
              <w:tab/>
            </w:r>
            <w:r>
              <w:rPr>
                <w:noProof/>
                <w:webHidden/>
              </w:rPr>
              <w:fldChar w:fldCharType="begin"/>
            </w:r>
            <w:r>
              <w:rPr>
                <w:noProof/>
                <w:webHidden/>
              </w:rPr>
              <w:instrText xml:space="preserve"> PAGEREF _Toc160614657 \h </w:instrText>
            </w:r>
            <w:r>
              <w:rPr>
                <w:noProof/>
                <w:webHidden/>
              </w:rPr>
            </w:r>
            <w:r>
              <w:rPr>
                <w:noProof/>
                <w:webHidden/>
              </w:rPr>
              <w:fldChar w:fldCharType="separate"/>
            </w:r>
            <w:r>
              <w:rPr>
                <w:noProof/>
                <w:webHidden/>
              </w:rPr>
              <w:t>6</w:t>
            </w:r>
            <w:r>
              <w:rPr>
                <w:noProof/>
                <w:webHidden/>
              </w:rPr>
              <w:fldChar w:fldCharType="end"/>
            </w:r>
          </w:hyperlink>
        </w:p>
        <w:p w14:paraId="2CAD7563" w14:textId="7A9DF0E2" w:rsidR="00B950EA" w:rsidRDefault="00B950EA">
          <w:pPr>
            <w:pStyle w:val="Spistreci2"/>
            <w:rPr>
              <w:rFonts w:eastAsiaTheme="minorEastAsia"/>
              <w:noProof/>
              <w:sz w:val="22"/>
              <w:lang w:eastAsia="pl-PL"/>
            </w:rPr>
          </w:pPr>
          <w:hyperlink w:anchor="_Toc160614658" w:history="1">
            <w:r w:rsidRPr="00D566C2">
              <w:rPr>
                <w:rStyle w:val="Hipercze"/>
                <w:rFonts w:cstheme="minorHAnsi"/>
                <w:noProof/>
              </w:rPr>
              <w:t>1.2.</w:t>
            </w:r>
            <w:r>
              <w:rPr>
                <w:rFonts w:eastAsiaTheme="minorEastAsia"/>
                <w:noProof/>
                <w:sz w:val="22"/>
                <w:lang w:eastAsia="pl-PL"/>
              </w:rPr>
              <w:tab/>
            </w:r>
            <w:r w:rsidRPr="00D566C2">
              <w:rPr>
                <w:rStyle w:val="Hipercze"/>
                <w:rFonts w:cstheme="minorHAnsi"/>
                <w:noProof/>
              </w:rPr>
              <w:t>Stan istniejący</w:t>
            </w:r>
            <w:r>
              <w:rPr>
                <w:noProof/>
                <w:webHidden/>
              </w:rPr>
              <w:tab/>
            </w:r>
            <w:r>
              <w:rPr>
                <w:noProof/>
                <w:webHidden/>
              </w:rPr>
              <w:fldChar w:fldCharType="begin"/>
            </w:r>
            <w:r>
              <w:rPr>
                <w:noProof/>
                <w:webHidden/>
              </w:rPr>
              <w:instrText xml:space="preserve"> PAGEREF _Toc160614658 \h </w:instrText>
            </w:r>
            <w:r>
              <w:rPr>
                <w:noProof/>
                <w:webHidden/>
              </w:rPr>
            </w:r>
            <w:r>
              <w:rPr>
                <w:noProof/>
                <w:webHidden/>
              </w:rPr>
              <w:fldChar w:fldCharType="separate"/>
            </w:r>
            <w:r>
              <w:rPr>
                <w:noProof/>
                <w:webHidden/>
              </w:rPr>
              <w:t>6</w:t>
            </w:r>
            <w:r>
              <w:rPr>
                <w:noProof/>
                <w:webHidden/>
              </w:rPr>
              <w:fldChar w:fldCharType="end"/>
            </w:r>
          </w:hyperlink>
        </w:p>
        <w:p w14:paraId="157D27D1" w14:textId="044AFFD9" w:rsidR="00B950EA" w:rsidRDefault="00B950EA">
          <w:pPr>
            <w:pStyle w:val="Spistreci2"/>
            <w:rPr>
              <w:rFonts w:eastAsiaTheme="minorEastAsia"/>
              <w:noProof/>
              <w:sz w:val="22"/>
              <w:lang w:eastAsia="pl-PL"/>
            </w:rPr>
          </w:pPr>
          <w:hyperlink w:anchor="_Toc160614659" w:history="1">
            <w:r w:rsidRPr="00D566C2">
              <w:rPr>
                <w:rStyle w:val="Hipercze"/>
                <w:rFonts w:cstheme="minorHAnsi"/>
                <w:noProof/>
              </w:rPr>
              <w:t>1.3.</w:t>
            </w:r>
            <w:r>
              <w:rPr>
                <w:rFonts w:eastAsiaTheme="minorEastAsia"/>
                <w:noProof/>
                <w:sz w:val="22"/>
                <w:lang w:eastAsia="pl-PL"/>
              </w:rPr>
              <w:tab/>
            </w:r>
            <w:r w:rsidRPr="00D566C2">
              <w:rPr>
                <w:rStyle w:val="Hipercze"/>
                <w:rFonts w:cstheme="minorHAnsi"/>
                <w:noProof/>
              </w:rPr>
              <w:t>Identyfikacja projektu</w:t>
            </w:r>
            <w:r>
              <w:rPr>
                <w:noProof/>
                <w:webHidden/>
              </w:rPr>
              <w:tab/>
            </w:r>
            <w:r>
              <w:rPr>
                <w:noProof/>
                <w:webHidden/>
              </w:rPr>
              <w:fldChar w:fldCharType="begin"/>
            </w:r>
            <w:r>
              <w:rPr>
                <w:noProof/>
                <w:webHidden/>
              </w:rPr>
              <w:instrText xml:space="preserve"> PAGEREF _Toc160614659 \h </w:instrText>
            </w:r>
            <w:r>
              <w:rPr>
                <w:noProof/>
                <w:webHidden/>
              </w:rPr>
            </w:r>
            <w:r>
              <w:rPr>
                <w:noProof/>
                <w:webHidden/>
              </w:rPr>
              <w:fldChar w:fldCharType="separate"/>
            </w:r>
            <w:r>
              <w:rPr>
                <w:noProof/>
                <w:webHidden/>
              </w:rPr>
              <w:t>6</w:t>
            </w:r>
            <w:r>
              <w:rPr>
                <w:noProof/>
                <w:webHidden/>
              </w:rPr>
              <w:fldChar w:fldCharType="end"/>
            </w:r>
          </w:hyperlink>
        </w:p>
        <w:p w14:paraId="7D6D3006" w14:textId="01579C5A" w:rsidR="00B950EA" w:rsidRDefault="00B950EA">
          <w:pPr>
            <w:pStyle w:val="Spistreci2"/>
            <w:rPr>
              <w:rFonts w:eastAsiaTheme="minorEastAsia"/>
              <w:noProof/>
              <w:sz w:val="22"/>
              <w:lang w:eastAsia="pl-PL"/>
            </w:rPr>
          </w:pPr>
          <w:hyperlink w:anchor="_Toc160614660" w:history="1">
            <w:r w:rsidRPr="00D566C2">
              <w:rPr>
                <w:rStyle w:val="Hipercze"/>
                <w:rFonts w:cstheme="minorHAnsi"/>
                <w:noProof/>
              </w:rPr>
              <w:t>1.4.</w:t>
            </w:r>
            <w:r>
              <w:rPr>
                <w:rFonts w:eastAsiaTheme="minorEastAsia"/>
                <w:noProof/>
                <w:sz w:val="22"/>
                <w:lang w:eastAsia="pl-PL"/>
              </w:rPr>
              <w:tab/>
            </w:r>
            <w:r w:rsidRPr="00D566C2">
              <w:rPr>
                <w:rStyle w:val="Hipercze"/>
                <w:rFonts w:cstheme="minorHAnsi"/>
                <w:noProof/>
              </w:rPr>
              <w:t>Uzasadnienie potrzeby realizacji projektu</w:t>
            </w:r>
            <w:r>
              <w:rPr>
                <w:noProof/>
                <w:webHidden/>
              </w:rPr>
              <w:tab/>
            </w:r>
            <w:r>
              <w:rPr>
                <w:noProof/>
                <w:webHidden/>
              </w:rPr>
              <w:fldChar w:fldCharType="begin"/>
            </w:r>
            <w:r>
              <w:rPr>
                <w:noProof/>
                <w:webHidden/>
              </w:rPr>
              <w:instrText xml:space="preserve"> PAGEREF _Toc160614660 \h </w:instrText>
            </w:r>
            <w:r>
              <w:rPr>
                <w:noProof/>
                <w:webHidden/>
              </w:rPr>
            </w:r>
            <w:r>
              <w:rPr>
                <w:noProof/>
                <w:webHidden/>
              </w:rPr>
              <w:fldChar w:fldCharType="separate"/>
            </w:r>
            <w:r>
              <w:rPr>
                <w:noProof/>
                <w:webHidden/>
              </w:rPr>
              <w:t>6</w:t>
            </w:r>
            <w:r>
              <w:rPr>
                <w:noProof/>
                <w:webHidden/>
              </w:rPr>
              <w:fldChar w:fldCharType="end"/>
            </w:r>
          </w:hyperlink>
        </w:p>
        <w:p w14:paraId="60D851BC" w14:textId="1F76E520" w:rsidR="00B950EA" w:rsidRDefault="00B950EA">
          <w:pPr>
            <w:pStyle w:val="Spistreci2"/>
            <w:rPr>
              <w:rFonts w:eastAsiaTheme="minorEastAsia"/>
              <w:noProof/>
              <w:sz w:val="22"/>
              <w:lang w:eastAsia="pl-PL"/>
            </w:rPr>
          </w:pPr>
          <w:hyperlink w:anchor="_Toc160614661" w:history="1">
            <w:r w:rsidRPr="00D566C2">
              <w:rPr>
                <w:rStyle w:val="Hipercze"/>
                <w:rFonts w:cstheme="minorHAnsi"/>
                <w:noProof/>
              </w:rPr>
              <w:t>1.5.</w:t>
            </w:r>
            <w:r>
              <w:rPr>
                <w:rFonts w:eastAsiaTheme="minorEastAsia"/>
                <w:noProof/>
                <w:sz w:val="22"/>
                <w:lang w:eastAsia="pl-PL"/>
              </w:rPr>
              <w:tab/>
            </w:r>
            <w:r w:rsidRPr="00D566C2">
              <w:rPr>
                <w:rStyle w:val="Hipercze"/>
                <w:rFonts w:cstheme="minorHAnsi"/>
                <w:noProof/>
              </w:rPr>
              <w:t>Umowa o świadczenie usług publicznych (PSC)</w:t>
            </w:r>
            <w:r>
              <w:rPr>
                <w:noProof/>
                <w:webHidden/>
              </w:rPr>
              <w:tab/>
            </w:r>
            <w:r>
              <w:rPr>
                <w:noProof/>
                <w:webHidden/>
              </w:rPr>
              <w:fldChar w:fldCharType="begin"/>
            </w:r>
            <w:r>
              <w:rPr>
                <w:noProof/>
                <w:webHidden/>
              </w:rPr>
              <w:instrText xml:space="preserve"> PAGEREF _Toc160614661 \h </w:instrText>
            </w:r>
            <w:r>
              <w:rPr>
                <w:noProof/>
                <w:webHidden/>
              </w:rPr>
            </w:r>
            <w:r>
              <w:rPr>
                <w:noProof/>
                <w:webHidden/>
              </w:rPr>
              <w:fldChar w:fldCharType="separate"/>
            </w:r>
            <w:r>
              <w:rPr>
                <w:noProof/>
                <w:webHidden/>
              </w:rPr>
              <w:t>7</w:t>
            </w:r>
            <w:r>
              <w:rPr>
                <w:noProof/>
                <w:webHidden/>
              </w:rPr>
              <w:fldChar w:fldCharType="end"/>
            </w:r>
          </w:hyperlink>
        </w:p>
        <w:p w14:paraId="65C4875D" w14:textId="57F5E068" w:rsidR="00B950EA" w:rsidRDefault="00B950EA">
          <w:pPr>
            <w:pStyle w:val="Spistreci2"/>
            <w:rPr>
              <w:rFonts w:eastAsiaTheme="minorEastAsia"/>
              <w:noProof/>
              <w:sz w:val="22"/>
              <w:lang w:eastAsia="pl-PL"/>
            </w:rPr>
          </w:pPr>
          <w:hyperlink w:anchor="_Toc160614662" w:history="1">
            <w:r w:rsidRPr="00D566C2">
              <w:rPr>
                <w:rStyle w:val="Hipercze"/>
                <w:rFonts w:cstheme="minorHAnsi"/>
                <w:noProof/>
              </w:rPr>
              <w:t>1.6.</w:t>
            </w:r>
            <w:r>
              <w:rPr>
                <w:rFonts w:eastAsiaTheme="minorEastAsia"/>
                <w:noProof/>
                <w:sz w:val="22"/>
                <w:lang w:eastAsia="pl-PL"/>
              </w:rPr>
              <w:tab/>
            </w:r>
            <w:r w:rsidRPr="00D566C2">
              <w:rPr>
                <w:rStyle w:val="Hipercze"/>
                <w:noProof/>
              </w:rPr>
              <w:t>Specyfikacja nabywanego taboru, sprzętu, urządzeń</w:t>
            </w:r>
            <w:r>
              <w:rPr>
                <w:noProof/>
                <w:webHidden/>
              </w:rPr>
              <w:tab/>
            </w:r>
            <w:r>
              <w:rPr>
                <w:noProof/>
                <w:webHidden/>
              </w:rPr>
              <w:fldChar w:fldCharType="begin"/>
            </w:r>
            <w:r>
              <w:rPr>
                <w:noProof/>
                <w:webHidden/>
              </w:rPr>
              <w:instrText xml:space="preserve"> PAGEREF _Toc160614662 \h </w:instrText>
            </w:r>
            <w:r>
              <w:rPr>
                <w:noProof/>
                <w:webHidden/>
              </w:rPr>
            </w:r>
            <w:r>
              <w:rPr>
                <w:noProof/>
                <w:webHidden/>
              </w:rPr>
              <w:fldChar w:fldCharType="separate"/>
            </w:r>
            <w:r>
              <w:rPr>
                <w:noProof/>
                <w:webHidden/>
              </w:rPr>
              <w:t>8</w:t>
            </w:r>
            <w:r>
              <w:rPr>
                <w:noProof/>
                <w:webHidden/>
              </w:rPr>
              <w:fldChar w:fldCharType="end"/>
            </w:r>
          </w:hyperlink>
        </w:p>
        <w:p w14:paraId="3F89F478" w14:textId="4CEF6C83" w:rsidR="00B950EA" w:rsidRDefault="00B950EA">
          <w:pPr>
            <w:pStyle w:val="Spistreci2"/>
            <w:rPr>
              <w:rFonts w:eastAsiaTheme="minorEastAsia"/>
              <w:noProof/>
              <w:sz w:val="22"/>
              <w:lang w:eastAsia="pl-PL"/>
            </w:rPr>
          </w:pPr>
          <w:hyperlink w:anchor="_Toc160614663" w:history="1">
            <w:r w:rsidRPr="00D566C2">
              <w:rPr>
                <w:rStyle w:val="Hipercze"/>
                <w:rFonts w:cstheme="minorHAnsi"/>
                <w:noProof/>
              </w:rPr>
              <w:t>1.7.</w:t>
            </w:r>
            <w:r>
              <w:rPr>
                <w:rFonts w:eastAsiaTheme="minorEastAsia"/>
                <w:noProof/>
                <w:sz w:val="22"/>
                <w:lang w:eastAsia="pl-PL"/>
              </w:rPr>
              <w:tab/>
            </w:r>
            <w:r w:rsidRPr="00D566C2">
              <w:rPr>
                <w:rStyle w:val="Hipercze"/>
                <w:rFonts w:cstheme="minorHAnsi"/>
                <w:noProof/>
              </w:rPr>
              <w:t>Projekt hybrydowy</w:t>
            </w:r>
            <w:r>
              <w:rPr>
                <w:noProof/>
                <w:webHidden/>
              </w:rPr>
              <w:tab/>
            </w:r>
            <w:r>
              <w:rPr>
                <w:noProof/>
                <w:webHidden/>
              </w:rPr>
              <w:fldChar w:fldCharType="begin"/>
            </w:r>
            <w:r>
              <w:rPr>
                <w:noProof/>
                <w:webHidden/>
              </w:rPr>
              <w:instrText xml:space="preserve"> PAGEREF _Toc160614663 \h </w:instrText>
            </w:r>
            <w:r>
              <w:rPr>
                <w:noProof/>
                <w:webHidden/>
              </w:rPr>
            </w:r>
            <w:r>
              <w:rPr>
                <w:noProof/>
                <w:webHidden/>
              </w:rPr>
              <w:fldChar w:fldCharType="separate"/>
            </w:r>
            <w:r>
              <w:rPr>
                <w:noProof/>
                <w:webHidden/>
              </w:rPr>
              <w:t>8</w:t>
            </w:r>
            <w:r>
              <w:rPr>
                <w:noProof/>
                <w:webHidden/>
              </w:rPr>
              <w:fldChar w:fldCharType="end"/>
            </w:r>
          </w:hyperlink>
        </w:p>
        <w:p w14:paraId="2A7478D6" w14:textId="11F1D732" w:rsidR="00B950EA" w:rsidRDefault="00B950EA">
          <w:pPr>
            <w:pStyle w:val="Spistreci1"/>
            <w:rPr>
              <w:rFonts w:eastAsiaTheme="minorEastAsia"/>
              <w:noProof/>
              <w:sz w:val="22"/>
              <w:lang w:eastAsia="pl-PL"/>
            </w:rPr>
          </w:pPr>
          <w:hyperlink w:anchor="_Toc160614664" w:history="1">
            <w:r w:rsidRPr="00D566C2">
              <w:rPr>
                <w:rStyle w:val="Hipercze"/>
                <w:noProof/>
              </w:rPr>
              <w:t>2.</w:t>
            </w:r>
            <w:r>
              <w:rPr>
                <w:rFonts w:eastAsiaTheme="minorEastAsia"/>
                <w:noProof/>
                <w:sz w:val="22"/>
                <w:lang w:eastAsia="pl-PL"/>
              </w:rPr>
              <w:tab/>
            </w:r>
            <w:r w:rsidRPr="00D566C2">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_Toc160614664 \h </w:instrText>
            </w:r>
            <w:r>
              <w:rPr>
                <w:noProof/>
                <w:webHidden/>
              </w:rPr>
            </w:r>
            <w:r>
              <w:rPr>
                <w:noProof/>
                <w:webHidden/>
              </w:rPr>
              <w:fldChar w:fldCharType="separate"/>
            </w:r>
            <w:r>
              <w:rPr>
                <w:noProof/>
                <w:webHidden/>
              </w:rPr>
              <w:t>9</w:t>
            </w:r>
            <w:r>
              <w:rPr>
                <w:noProof/>
                <w:webHidden/>
              </w:rPr>
              <w:fldChar w:fldCharType="end"/>
            </w:r>
          </w:hyperlink>
        </w:p>
        <w:p w14:paraId="514C6A08" w14:textId="1405F990" w:rsidR="00B950EA" w:rsidRDefault="00B950EA">
          <w:pPr>
            <w:pStyle w:val="Spistreci1"/>
            <w:rPr>
              <w:rFonts w:eastAsiaTheme="minorEastAsia"/>
              <w:noProof/>
              <w:sz w:val="22"/>
              <w:lang w:eastAsia="pl-PL"/>
            </w:rPr>
          </w:pPr>
          <w:hyperlink w:anchor="_Toc160614665" w:history="1">
            <w:r w:rsidRPr="00D566C2">
              <w:rPr>
                <w:rStyle w:val="Hipercze"/>
                <w:noProof/>
              </w:rPr>
              <w:t>3.</w:t>
            </w:r>
            <w:r>
              <w:rPr>
                <w:rFonts w:eastAsiaTheme="minorEastAsia"/>
                <w:noProof/>
                <w:sz w:val="22"/>
                <w:lang w:eastAsia="pl-PL"/>
              </w:rPr>
              <w:tab/>
            </w:r>
            <w:r w:rsidRPr="00D566C2">
              <w:rPr>
                <w:rStyle w:val="Hipercze"/>
                <w:noProof/>
              </w:rPr>
              <w:t>Analiza występowania pomocy publicznej w projekcie</w:t>
            </w:r>
            <w:r>
              <w:rPr>
                <w:noProof/>
                <w:webHidden/>
              </w:rPr>
              <w:tab/>
            </w:r>
            <w:r>
              <w:rPr>
                <w:noProof/>
                <w:webHidden/>
              </w:rPr>
              <w:fldChar w:fldCharType="begin"/>
            </w:r>
            <w:r>
              <w:rPr>
                <w:noProof/>
                <w:webHidden/>
              </w:rPr>
              <w:instrText xml:space="preserve"> PAGEREF _Toc160614665 \h </w:instrText>
            </w:r>
            <w:r>
              <w:rPr>
                <w:noProof/>
                <w:webHidden/>
              </w:rPr>
            </w:r>
            <w:r>
              <w:rPr>
                <w:noProof/>
                <w:webHidden/>
              </w:rPr>
              <w:fldChar w:fldCharType="separate"/>
            </w:r>
            <w:r>
              <w:rPr>
                <w:noProof/>
                <w:webHidden/>
              </w:rPr>
              <w:t>9</w:t>
            </w:r>
            <w:r>
              <w:rPr>
                <w:noProof/>
                <w:webHidden/>
              </w:rPr>
              <w:fldChar w:fldCharType="end"/>
            </w:r>
          </w:hyperlink>
        </w:p>
        <w:p w14:paraId="7B8C88E6" w14:textId="0B4A60E3" w:rsidR="00B950EA" w:rsidRDefault="00B950EA">
          <w:pPr>
            <w:pStyle w:val="Spistreci1"/>
            <w:rPr>
              <w:rFonts w:eastAsiaTheme="minorEastAsia"/>
              <w:noProof/>
              <w:sz w:val="22"/>
              <w:lang w:eastAsia="pl-PL"/>
            </w:rPr>
          </w:pPr>
          <w:hyperlink w:anchor="_Toc160614666" w:history="1">
            <w:r w:rsidRPr="00D566C2">
              <w:rPr>
                <w:rStyle w:val="Hipercze"/>
                <w:noProof/>
              </w:rPr>
              <w:t>4.</w:t>
            </w:r>
            <w:r>
              <w:rPr>
                <w:rFonts w:eastAsiaTheme="minorEastAsia"/>
                <w:noProof/>
                <w:sz w:val="22"/>
                <w:lang w:eastAsia="pl-PL"/>
              </w:rPr>
              <w:tab/>
            </w:r>
            <w:r w:rsidRPr="00D566C2">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_Toc160614666 \h </w:instrText>
            </w:r>
            <w:r>
              <w:rPr>
                <w:noProof/>
                <w:webHidden/>
              </w:rPr>
            </w:r>
            <w:r>
              <w:rPr>
                <w:noProof/>
                <w:webHidden/>
              </w:rPr>
              <w:fldChar w:fldCharType="separate"/>
            </w:r>
            <w:r>
              <w:rPr>
                <w:noProof/>
                <w:webHidden/>
              </w:rPr>
              <w:t>11</w:t>
            </w:r>
            <w:r>
              <w:rPr>
                <w:noProof/>
                <w:webHidden/>
              </w:rPr>
              <w:fldChar w:fldCharType="end"/>
            </w:r>
          </w:hyperlink>
        </w:p>
        <w:p w14:paraId="596CD125" w14:textId="0458870A" w:rsidR="00B950EA" w:rsidRDefault="00B950EA">
          <w:pPr>
            <w:pStyle w:val="Spistreci2"/>
            <w:rPr>
              <w:rFonts w:eastAsiaTheme="minorEastAsia"/>
              <w:noProof/>
              <w:sz w:val="22"/>
              <w:lang w:eastAsia="pl-PL"/>
            </w:rPr>
          </w:pPr>
          <w:hyperlink w:anchor="_Toc160614667" w:history="1">
            <w:r w:rsidRPr="00D566C2">
              <w:rPr>
                <w:rStyle w:val="Hipercze"/>
                <w:rFonts w:cstheme="minorHAnsi"/>
                <w:noProof/>
              </w:rPr>
              <w:t>4.1.</w:t>
            </w:r>
            <w:r>
              <w:rPr>
                <w:rFonts w:eastAsiaTheme="minorEastAsia"/>
                <w:noProof/>
                <w:sz w:val="22"/>
                <w:lang w:eastAsia="pl-PL"/>
              </w:rPr>
              <w:tab/>
            </w:r>
            <w:r w:rsidRPr="00D566C2">
              <w:rPr>
                <w:rStyle w:val="Hipercze"/>
                <w:rFonts w:cstheme="minorHAnsi"/>
                <w:noProof/>
              </w:rPr>
              <w:t>Karta Praw Podstawowych Unii Europejskiej (KPP)</w:t>
            </w:r>
            <w:r>
              <w:rPr>
                <w:noProof/>
                <w:webHidden/>
              </w:rPr>
              <w:tab/>
            </w:r>
            <w:r>
              <w:rPr>
                <w:noProof/>
                <w:webHidden/>
              </w:rPr>
              <w:fldChar w:fldCharType="begin"/>
            </w:r>
            <w:r>
              <w:rPr>
                <w:noProof/>
                <w:webHidden/>
              </w:rPr>
              <w:instrText xml:space="preserve"> PAGEREF _Toc160614667 \h </w:instrText>
            </w:r>
            <w:r>
              <w:rPr>
                <w:noProof/>
                <w:webHidden/>
              </w:rPr>
            </w:r>
            <w:r>
              <w:rPr>
                <w:noProof/>
                <w:webHidden/>
              </w:rPr>
              <w:fldChar w:fldCharType="separate"/>
            </w:r>
            <w:r>
              <w:rPr>
                <w:noProof/>
                <w:webHidden/>
              </w:rPr>
              <w:t>11</w:t>
            </w:r>
            <w:r>
              <w:rPr>
                <w:noProof/>
                <w:webHidden/>
              </w:rPr>
              <w:fldChar w:fldCharType="end"/>
            </w:r>
          </w:hyperlink>
        </w:p>
        <w:p w14:paraId="3EA0605E" w14:textId="1D729195" w:rsidR="00B950EA" w:rsidRDefault="00B950EA">
          <w:pPr>
            <w:pStyle w:val="Spistreci2"/>
            <w:rPr>
              <w:rFonts w:eastAsiaTheme="minorEastAsia"/>
              <w:noProof/>
              <w:sz w:val="22"/>
              <w:lang w:eastAsia="pl-PL"/>
            </w:rPr>
          </w:pPr>
          <w:hyperlink w:anchor="_Toc160614668" w:history="1">
            <w:r w:rsidRPr="00D566C2">
              <w:rPr>
                <w:rStyle w:val="Hipercze"/>
                <w:rFonts w:cstheme="minorHAnsi"/>
                <w:noProof/>
              </w:rPr>
              <w:t>4.2.</w:t>
            </w:r>
            <w:r>
              <w:rPr>
                <w:rFonts w:eastAsiaTheme="minorEastAsia"/>
                <w:noProof/>
                <w:sz w:val="22"/>
                <w:lang w:eastAsia="pl-PL"/>
              </w:rPr>
              <w:tab/>
            </w:r>
            <w:r w:rsidRPr="00D566C2">
              <w:rPr>
                <w:rStyle w:val="Hipercze"/>
                <w:rFonts w:cstheme="minorHAnsi"/>
                <w:noProof/>
              </w:rPr>
              <w:t>Konwencja o Prawach Osób Niepełnosprawnych (KPON)</w:t>
            </w:r>
            <w:r>
              <w:rPr>
                <w:noProof/>
                <w:webHidden/>
              </w:rPr>
              <w:tab/>
            </w:r>
            <w:r>
              <w:rPr>
                <w:noProof/>
                <w:webHidden/>
              </w:rPr>
              <w:fldChar w:fldCharType="begin"/>
            </w:r>
            <w:r>
              <w:rPr>
                <w:noProof/>
                <w:webHidden/>
              </w:rPr>
              <w:instrText xml:space="preserve"> PAGEREF _Toc160614668 \h </w:instrText>
            </w:r>
            <w:r>
              <w:rPr>
                <w:noProof/>
                <w:webHidden/>
              </w:rPr>
            </w:r>
            <w:r>
              <w:rPr>
                <w:noProof/>
                <w:webHidden/>
              </w:rPr>
              <w:fldChar w:fldCharType="separate"/>
            </w:r>
            <w:r>
              <w:rPr>
                <w:noProof/>
                <w:webHidden/>
              </w:rPr>
              <w:t>13</w:t>
            </w:r>
            <w:r>
              <w:rPr>
                <w:noProof/>
                <w:webHidden/>
              </w:rPr>
              <w:fldChar w:fldCharType="end"/>
            </w:r>
          </w:hyperlink>
        </w:p>
        <w:p w14:paraId="299DCD84" w14:textId="123CFF51" w:rsidR="00B950EA" w:rsidRDefault="00B950EA">
          <w:pPr>
            <w:pStyle w:val="Spistreci2"/>
            <w:rPr>
              <w:rFonts w:eastAsiaTheme="minorEastAsia"/>
              <w:noProof/>
              <w:sz w:val="22"/>
              <w:lang w:eastAsia="pl-PL"/>
            </w:rPr>
          </w:pPr>
          <w:hyperlink w:anchor="_Toc160614669" w:history="1">
            <w:r w:rsidRPr="00D566C2">
              <w:rPr>
                <w:rStyle w:val="Hipercze"/>
                <w:rFonts w:cstheme="minorHAnsi"/>
                <w:noProof/>
              </w:rPr>
              <w:t>4.3.</w:t>
            </w:r>
            <w:r>
              <w:rPr>
                <w:rFonts w:eastAsiaTheme="minorEastAsia"/>
                <w:noProof/>
                <w:sz w:val="22"/>
                <w:lang w:eastAsia="pl-PL"/>
              </w:rPr>
              <w:tab/>
            </w:r>
            <w:r w:rsidRPr="00D566C2">
              <w:rPr>
                <w:rStyle w:val="Hipercze"/>
                <w:rFonts w:cstheme="minorHAnsi"/>
                <w:noProof/>
              </w:rPr>
              <w:t>Plan Zrównoważonej Mobilności Miejskiej (SUMP)</w:t>
            </w:r>
            <w:r>
              <w:rPr>
                <w:noProof/>
                <w:webHidden/>
              </w:rPr>
              <w:tab/>
            </w:r>
            <w:r>
              <w:rPr>
                <w:noProof/>
                <w:webHidden/>
              </w:rPr>
              <w:fldChar w:fldCharType="begin"/>
            </w:r>
            <w:r>
              <w:rPr>
                <w:noProof/>
                <w:webHidden/>
              </w:rPr>
              <w:instrText xml:space="preserve"> PAGEREF _Toc160614669 \h </w:instrText>
            </w:r>
            <w:r>
              <w:rPr>
                <w:noProof/>
                <w:webHidden/>
              </w:rPr>
            </w:r>
            <w:r>
              <w:rPr>
                <w:noProof/>
                <w:webHidden/>
              </w:rPr>
              <w:fldChar w:fldCharType="separate"/>
            </w:r>
            <w:r>
              <w:rPr>
                <w:noProof/>
                <w:webHidden/>
              </w:rPr>
              <w:t>13</w:t>
            </w:r>
            <w:r>
              <w:rPr>
                <w:noProof/>
                <w:webHidden/>
              </w:rPr>
              <w:fldChar w:fldCharType="end"/>
            </w:r>
          </w:hyperlink>
        </w:p>
        <w:p w14:paraId="25E212DA" w14:textId="48253C6D" w:rsidR="00B950EA" w:rsidRDefault="00B950EA">
          <w:pPr>
            <w:pStyle w:val="Spistreci1"/>
            <w:rPr>
              <w:rFonts w:eastAsiaTheme="minorEastAsia"/>
              <w:noProof/>
              <w:sz w:val="22"/>
              <w:lang w:eastAsia="pl-PL"/>
            </w:rPr>
          </w:pPr>
          <w:hyperlink w:anchor="_Toc160614670" w:history="1">
            <w:r w:rsidRPr="00D566C2">
              <w:rPr>
                <w:rStyle w:val="Hipercze"/>
                <w:noProof/>
              </w:rPr>
              <w:t>5.</w:t>
            </w:r>
            <w:r>
              <w:rPr>
                <w:rFonts w:eastAsiaTheme="minorEastAsia"/>
                <w:noProof/>
                <w:sz w:val="22"/>
                <w:lang w:eastAsia="pl-PL"/>
              </w:rPr>
              <w:tab/>
            </w:r>
            <w:r w:rsidRPr="00D566C2">
              <w:rPr>
                <w:rStyle w:val="Hipercze"/>
                <w:noProof/>
              </w:rPr>
              <w:t>Zgodność projektu z kryteriami oceny</w:t>
            </w:r>
            <w:r>
              <w:rPr>
                <w:noProof/>
                <w:webHidden/>
              </w:rPr>
              <w:tab/>
            </w:r>
            <w:r>
              <w:rPr>
                <w:noProof/>
                <w:webHidden/>
              </w:rPr>
              <w:fldChar w:fldCharType="begin"/>
            </w:r>
            <w:r>
              <w:rPr>
                <w:noProof/>
                <w:webHidden/>
              </w:rPr>
              <w:instrText xml:space="preserve"> PAGEREF _Toc160614670 \h </w:instrText>
            </w:r>
            <w:r>
              <w:rPr>
                <w:noProof/>
                <w:webHidden/>
              </w:rPr>
            </w:r>
            <w:r>
              <w:rPr>
                <w:noProof/>
                <w:webHidden/>
              </w:rPr>
              <w:fldChar w:fldCharType="separate"/>
            </w:r>
            <w:r>
              <w:rPr>
                <w:noProof/>
                <w:webHidden/>
              </w:rPr>
              <w:t>13</w:t>
            </w:r>
            <w:r>
              <w:rPr>
                <w:noProof/>
                <w:webHidden/>
              </w:rPr>
              <w:fldChar w:fldCharType="end"/>
            </w:r>
          </w:hyperlink>
        </w:p>
        <w:p w14:paraId="6CF9FD20" w14:textId="274863D5" w:rsidR="00B950EA" w:rsidRDefault="00B950EA">
          <w:pPr>
            <w:pStyle w:val="Spistreci2"/>
            <w:rPr>
              <w:rFonts w:eastAsiaTheme="minorEastAsia"/>
              <w:noProof/>
              <w:sz w:val="22"/>
              <w:lang w:eastAsia="pl-PL"/>
            </w:rPr>
          </w:pPr>
          <w:hyperlink w:anchor="_Toc160614671" w:history="1">
            <w:r w:rsidRPr="00D566C2">
              <w:rPr>
                <w:rStyle w:val="Hipercze"/>
                <w:rFonts w:cstheme="minorHAnsi"/>
                <w:noProof/>
              </w:rPr>
              <w:t>5.1.</w:t>
            </w:r>
            <w:r>
              <w:rPr>
                <w:rFonts w:eastAsiaTheme="minorEastAsia"/>
                <w:noProof/>
                <w:sz w:val="22"/>
                <w:lang w:eastAsia="pl-PL"/>
              </w:rPr>
              <w:tab/>
            </w:r>
            <w:r w:rsidRPr="00D566C2">
              <w:rPr>
                <w:rStyle w:val="Hipercze"/>
                <w:rFonts w:cstheme="minorHAnsi"/>
                <w:noProof/>
              </w:rPr>
              <w:t>Otoczenie prawne</w:t>
            </w:r>
            <w:r>
              <w:rPr>
                <w:noProof/>
                <w:webHidden/>
              </w:rPr>
              <w:tab/>
            </w:r>
            <w:r>
              <w:rPr>
                <w:noProof/>
                <w:webHidden/>
              </w:rPr>
              <w:fldChar w:fldCharType="begin"/>
            </w:r>
            <w:r>
              <w:rPr>
                <w:noProof/>
                <w:webHidden/>
              </w:rPr>
              <w:instrText xml:space="preserve"> PAGEREF _Toc160614671 \h </w:instrText>
            </w:r>
            <w:r>
              <w:rPr>
                <w:noProof/>
                <w:webHidden/>
              </w:rPr>
            </w:r>
            <w:r>
              <w:rPr>
                <w:noProof/>
                <w:webHidden/>
              </w:rPr>
              <w:fldChar w:fldCharType="separate"/>
            </w:r>
            <w:r>
              <w:rPr>
                <w:noProof/>
                <w:webHidden/>
              </w:rPr>
              <w:t>13</w:t>
            </w:r>
            <w:r>
              <w:rPr>
                <w:noProof/>
                <w:webHidden/>
              </w:rPr>
              <w:fldChar w:fldCharType="end"/>
            </w:r>
          </w:hyperlink>
        </w:p>
        <w:p w14:paraId="4D709CDA" w14:textId="05AA568E" w:rsidR="00B950EA" w:rsidRDefault="00B950EA">
          <w:pPr>
            <w:pStyle w:val="Spistreci2"/>
            <w:rPr>
              <w:rFonts w:eastAsiaTheme="minorEastAsia"/>
              <w:noProof/>
              <w:sz w:val="22"/>
              <w:lang w:eastAsia="pl-PL"/>
            </w:rPr>
          </w:pPr>
          <w:hyperlink w:anchor="_Toc160614672" w:history="1">
            <w:r w:rsidRPr="00D566C2">
              <w:rPr>
                <w:rStyle w:val="Hipercze"/>
                <w:rFonts w:cstheme="minorHAnsi"/>
                <w:noProof/>
              </w:rPr>
              <w:t>5.2.</w:t>
            </w:r>
            <w:r>
              <w:rPr>
                <w:rFonts w:eastAsiaTheme="minorEastAsia"/>
                <w:noProof/>
                <w:sz w:val="22"/>
                <w:lang w:eastAsia="pl-PL"/>
              </w:rPr>
              <w:tab/>
            </w:r>
            <w:r w:rsidRPr="00D566C2">
              <w:rPr>
                <w:rStyle w:val="Hipercze"/>
                <w:rFonts w:cstheme="minorHAnsi"/>
                <w:noProof/>
              </w:rPr>
              <w:t>Projekt skierowany na poprawę środowiska naturalnego</w:t>
            </w:r>
            <w:r>
              <w:rPr>
                <w:noProof/>
                <w:webHidden/>
              </w:rPr>
              <w:tab/>
            </w:r>
            <w:r>
              <w:rPr>
                <w:noProof/>
                <w:webHidden/>
              </w:rPr>
              <w:fldChar w:fldCharType="begin"/>
            </w:r>
            <w:r>
              <w:rPr>
                <w:noProof/>
                <w:webHidden/>
              </w:rPr>
              <w:instrText xml:space="preserve"> PAGEREF _Toc160614672 \h </w:instrText>
            </w:r>
            <w:r>
              <w:rPr>
                <w:noProof/>
                <w:webHidden/>
              </w:rPr>
            </w:r>
            <w:r>
              <w:rPr>
                <w:noProof/>
                <w:webHidden/>
              </w:rPr>
              <w:fldChar w:fldCharType="separate"/>
            </w:r>
            <w:r>
              <w:rPr>
                <w:noProof/>
                <w:webHidden/>
              </w:rPr>
              <w:t>14</w:t>
            </w:r>
            <w:r>
              <w:rPr>
                <w:noProof/>
                <w:webHidden/>
              </w:rPr>
              <w:fldChar w:fldCharType="end"/>
            </w:r>
          </w:hyperlink>
        </w:p>
        <w:p w14:paraId="743E2425" w14:textId="70D318A1" w:rsidR="00B950EA" w:rsidRDefault="00B950EA">
          <w:pPr>
            <w:pStyle w:val="Spistreci2"/>
            <w:rPr>
              <w:rFonts w:eastAsiaTheme="minorEastAsia"/>
              <w:noProof/>
              <w:sz w:val="22"/>
              <w:lang w:eastAsia="pl-PL"/>
            </w:rPr>
          </w:pPr>
          <w:hyperlink w:anchor="_Toc160614673" w:history="1">
            <w:r w:rsidRPr="00D566C2">
              <w:rPr>
                <w:rStyle w:val="Hipercze"/>
                <w:rFonts w:cstheme="minorHAnsi"/>
                <w:noProof/>
              </w:rPr>
              <w:t>5.3.</w:t>
            </w:r>
            <w:r>
              <w:rPr>
                <w:rFonts w:eastAsiaTheme="minorEastAsia"/>
                <w:noProof/>
                <w:sz w:val="22"/>
                <w:lang w:eastAsia="pl-PL"/>
              </w:rPr>
              <w:tab/>
            </w:r>
            <w:r w:rsidRPr="00D566C2">
              <w:rPr>
                <w:rStyle w:val="Hipercze"/>
                <w:rFonts w:cstheme="minorHAnsi"/>
                <w:noProof/>
              </w:rPr>
              <w:t>Zakup taboru zeroemisyjnego</w:t>
            </w:r>
            <w:r>
              <w:rPr>
                <w:noProof/>
                <w:webHidden/>
              </w:rPr>
              <w:tab/>
            </w:r>
            <w:r>
              <w:rPr>
                <w:noProof/>
                <w:webHidden/>
              </w:rPr>
              <w:fldChar w:fldCharType="begin"/>
            </w:r>
            <w:r>
              <w:rPr>
                <w:noProof/>
                <w:webHidden/>
              </w:rPr>
              <w:instrText xml:space="preserve"> PAGEREF _Toc160614673 \h </w:instrText>
            </w:r>
            <w:r>
              <w:rPr>
                <w:noProof/>
                <w:webHidden/>
              </w:rPr>
            </w:r>
            <w:r>
              <w:rPr>
                <w:noProof/>
                <w:webHidden/>
              </w:rPr>
              <w:fldChar w:fldCharType="separate"/>
            </w:r>
            <w:r>
              <w:rPr>
                <w:noProof/>
                <w:webHidden/>
              </w:rPr>
              <w:t>14</w:t>
            </w:r>
            <w:r>
              <w:rPr>
                <w:noProof/>
                <w:webHidden/>
              </w:rPr>
              <w:fldChar w:fldCharType="end"/>
            </w:r>
          </w:hyperlink>
        </w:p>
        <w:p w14:paraId="0EFD8E30" w14:textId="7527F2B5" w:rsidR="00B950EA" w:rsidRDefault="00B950EA">
          <w:pPr>
            <w:pStyle w:val="Spistreci2"/>
            <w:rPr>
              <w:rFonts w:eastAsiaTheme="minorEastAsia"/>
              <w:noProof/>
              <w:sz w:val="22"/>
              <w:lang w:eastAsia="pl-PL"/>
            </w:rPr>
          </w:pPr>
          <w:hyperlink w:anchor="_Toc160614674" w:history="1">
            <w:r w:rsidRPr="00D566C2">
              <w:rPr>
                <w:rStyle w:val="Hipercze"/>
                <w:rFonts w:cstheme="minorHAnsi"/>
                <w:noProof/>
              </w:rPr>
              <w:t>5.4.</w:t>
            </w:r>
            <w:r>
              <w:rPr>
                <w:rFonts w:eastAsiaTheme="minorEastAsia"/>
                <w:noProof/>
                <w:sz w:val="22"/>
                <w:lang w:eastAsia="pl-PL"/>
              </w:rPr>
              <w:tab/>
            </w:r>
            <w:r w:rsidRPr="00D566C2">
              <w:rPr>
                <w:rStyle w:val="Hipercze"/>
                <w:rFonts w:cstheme="minorHAnsi"/>
                <w:noProof/>
              </w:rPr>
              <w:t>Usprawnienia infrastruktury transportu publicznego</w:t>
            </w:r>
            <w:r>
              <w:rPr>
                <w:noProof/>
                <w:webHidden/>
              </w:rPr>
              <w:tab/>
            </w:r>
            <w:r>
              <w:rPr>
                <w:noProof/>
                <w:webHidden/>
              </w:rPr>
              <w:fldChar w:fldCharType="begin"/>
            </w:r>
            <w:r>
              <w:rPr>
                <w:noProof/>
                <w:webHidden/>
              </w:rPr>
              <w:instrText xml:space="preserve"> PAGEREF _Toc160614674 \h </w:instrText>
            </w:r>
            <w:r>
              <w:rPr>
                <w:noProof/>
                <w:webHidden/>
              </w:rPr>
            </w:r>
            <w:r>
              <w:rPr>
                <w:noProof/>
                <w:webHidden/>
              </w:rPr>
              <w:fldChar w:fldCharType="separate"/>
            </w:r>
            <w:r>
              <w:rPr>
                <w:noProof/>
                <w:webHidden/>
              </w:rPr>
              <w:t>14</w:t>
            </w:r>
            <w:r>
              <w:rPr>
                <w:noProof/>
                <w:webHidden/>
              </w:rPr>
              <w:fldChar w:fldCharType="end"/>
            </w:r>
          </w:hyperlink>
        </w:p>
        <w:p w14:paraId="30448CE6" w14:textId="73DA39BD" w:rsidR="00B950EA" w:rsidRDefault="00B950EA">
          <w:pPr>
            <w:pStyle w:val="Spistreci2"/>
            <w:rPr>
              <w:rFonts w:eastAsiaTheme="minorEastAsia"/>
              <w:noProof/>
              <w:sz w:val="22"/>
              <w:lang w:eastAsia="pl-PL"/>
            </w:rPr>
          </w:pPr>
          <w:hyperlink w:anchor="_Toc160614675" w:history="1">
            <w:r w:rsidRPr="00D566C2">
              <w:rPr>
                <w:rStyle w:val="Hipercze"/>
                <w:noProof/>
              </w:rPr>
              <w:t>5.5.</w:t>
            </w:r>
            <w:r>
              <w:rPr>
                <w:rFonts w:eastAsiaTheme="minorEastAsia"/>
                <w:noProof/>
                <w:sz w:val="22"/>
                <w:lang w:eastAsia="pl-PL"/>
              </w:rPr>
              <w:tab/>
            </w:r>
            <w:r w:rsidRPr="00D566C2">
              <w:rPr>
                <w:rStyle w:val="Hipercze"/>
                <w:noProof/>
              </w:rPr>
              <w:t>Integracja różnych środków transportu</w:t>
            </w:r>
            <w:r>
              <w:rPr>
                <w:noProof/>
                <w:webHidden/>
              </w:rPr>
              <w:tab/>
            </w:r>
            <w:r>
              <w:rPr>
                <w:noProof/>
                <w:webHidden/>
              </w:rPr>
              <w:fldChar w:fldCharType="begin"/>
            </w:r>
            <w:r>
              <w:rPr>
                <w:noProof/>
                <w:webHidden/>
              </w:rPr>
              <w:instrText xml:space="preserve"> PAGEREF _Toc160614675 \h </w:instrText>
            </w:r>
            <w:r>
              <w:rPr>
                <w:noProof/>
                <w:webHidden/>
              </w:rPr>
            </w:r>
            <w:r>
              <w:rPr>
                <w:noProof/>
                <w:webHidden/>
              </w:rPr>
              <w:fldChar w:fldCharType="separate"/>
            </w:r>
            <w:r>
              <w:rPr>
                <w:noProof/>
                <w:webHidden/>
              </w:rPr>
              <w:t>15</w:t>
            </w:r>
            <w:r>
              <w:rPr>
                <w:noProof/>
                <w:webHidden/>
              </w:rPr>
              <w:fldChar w:fldCharType="end"/>
            </w:r>
          </w:hyperlink>
        </w:p>
        <w:p w14:paraId="50DE15A4" w14:textId="77EB6DFC" w:rsidR="00B950EA" w:rsidRDefault="00B950EA">
          <w:pPr>
            <w:pStyle w:val="Spistreci2"/>
            <w:rPr>
              <w:rFonts w:eastAsiaTheme="minorEastAsia"/>
              <w:noProof/>
              <w:sz w:val="22"/>
              <w:lang w:eastAsia="pl-PL"/>
            </w:rPr>
          </w:pPr>
          <w:hyperlink w:anchor="_Toc160614676" w:history="1">
            <w:r w:rsidRPr="00D566C2">
              <w:rPr>
                <w:rStyle w:val="Hipercze"/>
                <w:rFonts w:cstheme="minorHAnsi"/>
                <w:noProof/>
              </w:rPr>
              <w:t>5.6.</w:t>
            </w:r>
            <w:r>
              <w:rPr>
                <w:rFonts w:eastAsiaTheme="minorEastAsia"/>
                <w:noProof/>
                <w:sz w:val="22"/>
                <w:lang w:eastAsia="pl-PL"/>
              </w:rPr>
              <w:tab/>
            </w:r>
            <w:r w:rsidRPr="00D566C2">
              <w:rPr>
                <w:rStyle w:val="Hipercze"/>
                <w:rFonts w:cstheme="minorHAnsi"/>
                <w:noProof/>
              </w:rPr>
              <w:t>Kompleksowość projektu</w:t>
            </w:r>
            <w:r>
              <w:rPr>
                <w:noProof/>
                <w:webHidden/>
              </w:rPr>
              <w:tab/>
            </w:r>
            <w:r>
              <w:rPr>
                <w:noProof/>
                <w:webHidden/>
              </w:rPr>
              <w:fldChar w:fldCharType="begin"/>
            </w:r>
            <w:r>
              <w:rPr>
                <w:noProof/>
                <w:webHidden/>
              </w:rPr>
              <w:instrText xml:space="preserve"> PAGEREF _Toc160614676 \h </w:instrText>
            </w:r>
            <w:r>
              <w:rPr>
                <w:noProof/>
                <w:webHidden/>
              </w:rPr>
            </w:r>
            <w:r>
              <w:rPr>
                <w:noProof/>
                <w:webHidden/>
              </w:rPr>
              <w:fldChar w:fldCharType="separate"/>
            </w:r>
            <w:r>
              <w:rPr>
                <w:noProof/>
                <w:webHidden/>
              </w:rPr>
              <w:t>16</w:t>
            </w:r>
            <w:r>
              <w:rPr>
                <w:noProof/>
                <w:webHidden/>
              </w:rPr>
              <w:fldChar w:fldCharType="end"/>
            </w:r>
          </w:hyperlink>
        </w:p>
        <w:p w14:paraId="72F1165B" w14:textId="75FB9A67" w:rsidR="00B950EA" w:rsidRDefault="00B950EA">
          <w:pPr>
            <w:pStyle w:val="Spistreci2"/>
            <w:rPr>
              <w:rFonts w:eastAsiaTheme="minorEastAsia"/>
              <w:noProof/>
              <w:sz w:val="22"/>
              <w:lang w:eastAsia="pl-PL"/>
            </w:rPr>
          </w:pPr>
          <w:hyperlink w:anchor="_Toc160614677" w:history="1">
            <w:r w:rsidRPr="00D566C2">
              <w:rPr>
                <w:rStyle w:val="Hipercze"/>
                <w:rFonts w:cstheme="minorHAnsi"/>
                <w:noProof/>
              </w:rPr>
              <w:t>5.7.</w:t>
            </w:r>
            <w:r>
              <w:rPr>
                <w:rFonts w:eastAsiaTheme="minorEastAsia"/>
                <w:noProof/>
                <w:sz w:val="22"/>
                <w:lang w:eastAsia="pl-PL"/>
              </w:rPr>
              <w:tab/>
            </w:r>
            <w:r w:rsidRPr="00D566C2">
              <w:rPr>
                <w:rStyle w:val="Hipercze"/>
                <w:rFonts w:cstheme="minorHAnsi"/>
                <w:noProof/>
              </w:rPr>
              <w:t>Działania na rzecz zrównoważonej mobilności</w:t>
            </w:r>
            <w:r>
              <w:rPr>
                <w:noProof/>
                <w:webHidden/>
              </w:rPr>
              <w:tab/>
            </w:r>
            <w:r>
              <w:rPr>
                <w:noProof/>
                <w:webHidden/>
              </w:rPr>
              <w:fldChar w:fldCharType="begin"/>
            </w:r>
            <w:r>
              <w:rPr>
                <w:noProof/>
                <w:webHidden/>
              </w:rPr>
              <w:instrText xml:space="preserve"> PAGEREF _Toc160614677 \h </w:instrText>
            </w:r>
            <w:r>
              <w:rPr>
                <w:noProof/>
                <w:webHidden/>
              </w:rPr>
            </w:r>
            <w:r>
              <w:rPr>
                <w:noProof/>
                <w:webHidden/>
              </w:rPr>
              <w:fldChar w:fldCharType="separate"/>
            </w:r>
            <w:r>
              <w:rPr>
                <w:noProof/>
                <w:webHidden/>
              </w:rPr>
              <w:t>16</w:t>
            </w:r>
            <w:r>
              <w:rPr>
                <w:noProof/>
                <w:webHidden/>
              </w:rPr>
              <w:fldChar w:fldCharType="end"/>
            </w:r>
          </w:hyperlink>
        </w:p>
        <w:p w14:paraId="25F3A2D6" w14:textId="464D0DA4" w:rsidR="00B950EA" w:rsidRDefault="00B950EA">
          <w:pPr>
            <w:pStyle w:val="Spistreci2"/>
            <w:rPr>
              <w:rFonts w:eastAsiaTheme="minorEastAsia"/>
              <w:noProof/>
              <w:sz w:val="22"/>
              <w:lang w:eastAsia="pl-PL"/>
            </w:rPr>
          </w:pPr>
          <w:hyperlink w:anchor="_Toc160614678" w:history="1">
            <w:r w:rsidRPr="00D566C2">
              <w:rPr>
                <w:rStyle w:val="Hipercze"/>
                <w:rFonts w:cstheme="minorHAnsi"/>
                <w:noProof/>
              </w:rPr>
              <w:t>5.8.</w:t>
            </w:r>
            <w:r>
              <w:rPr>
                <w:rFonts w:eastAsiaTheme="minorEastAsia"/>
                <w:noProof/>
                <w:sz w:val="22"/>
                <w:lang w:eastAsia="pl-PL"/>
              </w:rPr>
              <w:tab/>
            </w:r>
            <w:r w:rsidRPr="00D566C2">
              <w:rPr>
                <w:rStyle w:val="Hipercze"/>
                <w:rFonts w:cstheme="minorHAnsi"/>
                <w:noProof/>
              </w:rPr>
              <w:t>Innowacyjne rozwiązania w ramach projektu</w:t>
            </w:r>
            <w:r>
              <w:rPr>
                <w:noProof/>
                <w:webHidden/>
              </w:rPr>
              <w:tab/>
            </w:r>
            <w:r>
              <w:rPr>
                <w:noProof/>
                <w:webHidden/>
              </w:rPr>
              <w:fldChar w:fldCharType="begin"/>
            </w:r>
            <w:r>
              <w:rPr>
                <w:noProof/>
                <w:webHidden/>
              </w:rPr>
              <w:instrText xml:space="preserve"> PAGEREF _Toc160614678 \h </w:instrText>
            </w:r>
            <w:r>
              <w:rPr>
                <w:noProof/>
                <w:webHidden/>
              </w:rPr>
            </w:r>
            <w:r>
              <w:rPr>
                <w:noProof/>
                <w:webHidden/>
              </w:rPr>
              <w:fldChar w:fldCharType="separate"/>
            </w:r>
            <w:r>
              <w:rPr>
                <w:noProof/>
                <w:webHidden/>
              </w:rPr>
              <w:t>17</w:t>
            </w:r>
            <w:r>
              <w:rPr>
                <w:noProof/>
                <w:webHidden/>
              </w:rPr>
              <w:fldChar w:fldCharType="end"/>
            </w:r>
          </w:hyperlink>
        </w:p>
        <w:p w14:paraId="0EBAB64D" w14:textId="435756D9" w:rsidR="00B950EA" w:rsidRDefault="00B950EA">
          <w:pPr>
            <w:pStyle w:val="Spistreci2"/>
            <w:rPr>
              <w:rFonts w:eastAsiaTheme="minorEastAsia"/>
              <w:noProof/>
              <w:sz w:val="22"/>
              <w:lang w:eastAsia="pl-PL"/>
            </w:rPr>
          </w:pPr>
          <w:hyperlink w:anchor="_Toc160614679" w:history="1">
            <w:r w:rsidRPr="00D566C2">
              <w:rPr>
                <w:rStyle w:val="Hipercze"/>
                <w:noProof/>
              </w:rPr>
              <w:t>5.9.</w:t>
            </w:r>
            <w:r>
              <w:rPr>
                <w:rFonts w:eastAsiaTheme="minorEastAsia"/>
                <w:noProof/>
                <w:sz w:val="22"/>
                <w:lang w:eastAsia="pl-PL"/>
              </w:rPr>
              <w:tab/>
            </w:r>
            <w:r w:rsidRPr="00D566C2">
              <w:rPr>
                <w:rStyle w:val="Hipercze"/>
                <w:noProof/>
              </w:rPr>
              <w:t>Komplementarność z innymi projektami</w:t>
            </w:r>
            <w:r>
              <w:rPr>
                <w:noProof/>
                <w:webHidden/>
              </w:rPr>
              <w:tab/>
            </w:r>
            <w:r>
              <w:rPr>
                <w:noProof/>
                <w:webHidden/>
              </w:rPr>
              <w:fldChar w:fldCharType="begin"/>
            </w:r>
            <w:r>
              <w:rPr>
                <w:noProof/>
                <w:webHidden/>
              </w:rPr>
              <w:instrText xml:space="preserve"> PAGEREF _Toc160614679 \h </w:instrText>
            </w:r>
            <w:r>
              <w:rPr>
                <w:noProof/>
                <w:webHidden/>
              </w:rPr>
            </w:r>
            <w:r>
              <w:rPr>
                <w:noProof/>
                <w:webHidden/>
              </w:rPr>
              <w:fldChar w:fldCharType="separate"/>
            </w:r>
            <w:r>
              <w:rPr>
                <w:noProof/>
                <w:webHidden/>
              </w:rPr>
              <w:t>17</w:t>
            </w:r>
            <w:r>
              <w:rPr>
                <w:noProof/>
                <w:webHidden/>
              </w:rPr>
              <w:fldChar w:fldCharType="end"/>
            </w:r>
          </w:hyperlink>
        </w:p>
        <w:p w14:paraId="2BF0512F" w14:textId="10C1A434" w:rsidR="00B950EA" w:rsidRDefault="00B950EA">
          <w:pPr>
            <w:pStyle w:val="Spistreci1"/>
            <w:rPr>
              <w:rFonts w:eastAsiaTheme="minorEastAsia"/>
              <w:noProof/>
              <w:sz w:val="22"/>
              <w:lang w:eastAsia="pl-PL"/>
            </w:rPr>
          </w:pPr>
          <w:hyperlink w:anchor="_Toc160614680" w:history="1">
            <w:r w:rsidRPr="00D566C2">
              <w:rPr>
                <w:rStyle w:val="Hipercze"/>
                <w:noProof/>
              </w:rPr>
              <w:t>6.</w:t>
            </w:r>
            <w:r>
              <w:rPr>
                <w:rFonts w:eastAsiaTheme="minorEastAsia"/>
                <w:noProof/>
                <w:sz w:val="22"/>
                <w:lang w:eastAsia="pl-PL"/>
              </w:rPr>
              <w:tab/>
            </w:r>
            <w:r w:rsidRPr="00D566C2">
              <w:rPr>
                <w:rStyle w:val="Hipercze"/>
                <w:noProof/>
              </w:rPr>
              <w:t>Analiza wariantów i popytu dla projektów inwestycyjnych z sektora transportu</w:t>
            </w:r>
            <w:r>
              <w:rPr>
                <w:noProof/>
                <w:webHidden/>
              </w:rPr>
              <w:tab/>
            </w:r>
            <w:r>
              <w:rPr>
                <w:noProof/>
                <w:webHidden/>
              </w:rPr>
              <w:fldChar w:fldCharType="begin"/>
            </w:r>
            <w:r>
              <w:rPr>
                <w:noProof/>
                <w:webHidden/>
              </w:rPr>
              <w:instrText xml:space="preserve"> PAGEREF _Toc160614680 \h </w:instrText>
            </w:r>
            <w:r>
              <w:rPr>
                <w:noProof/>
                <w:webHidden/>
              </w:rPr>
            </w:r>
            <w:r>
              <w:rPr>
                <w:noProof/>
                <w:webHidden/>
              </w:rPr>
              <w:fldChar w:fldCharType="separate"/>
            </w:r>
            <w:r>
              <w:rPr>
                <w:noProof/>
                <w:webHidden/>
              </w:rPr>
              <w:t>18</w:t>
            </w:r>
            <w:r>
              <w:rPr>
                <w:noProof/>
                <w:webHidden/>
              </w:rPr>
              <w:fldChar w:fldCharType="end"/>
            </w:r>
          </w:hyperlink>
        </w:p>
        <w:p w14:paraId="3D674E2B" w14:textId="10F5CB9C" w:rsidR="00B950EA" w:rsidRDefault="00B950EA">
          <w:pPr>
            <w:pStyle w:val="Spistreci1"/>
            <w:rPr>
              <w:rFonts w:eastAsiaTheme="minorEastAsia"/>
              <w:noProof/>
              <w:sz w:val="22"/>
              <w:lang w:eastAsia="pl-PL"/>
            </w:rPr>
          </w:pPr>
          <w:hyperlink w:anchor="_Toc160614681" w:history="1">
            <w:r w:rsidRPr="00D566C2">
              <w:rPr>
                <w:rStyle w:val="Hipercze"/>
                <w:noProof/>
              </w:rPr>
              <w:t>7.</w:t>
            </w:r>
            <w:r>
              <w:rPr>
                <w:rFonts w:eastAsiaTheme="minorEastAsia"/>
                <w:noProof/>
                <w:sz w:val="22"/>
                <w:lang w:eastAsia="pl-PL"/>
              </w:rPr>
              <w:tab/>
            </w:r>
            <w:r w:rsidRPr="00D566C2">
              <w:rPr>
                <w:rStyle w:val="Hipercze"/>
                <w:noProof/>
              </w:rPr>
              <w:t>Analiza finansowa</w:t>
            </w:r>
            <w:r>
              <w:rPr>
                <w:noProof/>
                <w:webHidden/>
              </w:rPr>
              <w:tab/>
            </w:r>
            <w:r>
              <w:rPr>
                <w:noProof/>
                <w:webHidden/>
              </w:rPr>
              <w:fldChar w:fldCharType="begin"/>
            </w:r>
            <w:r>
              <w:rPr>
                <w:noProof/>
                <w:webHidden/>
              </w:rPr>
              <w:instrText xml:space="preserve"> PAGEREF _Toc160614681 \h </w:instrText>
            </w:r>
            <w:r>
              <w:rPr>
                <w:noProof/>
                <w:webHidden/>
              </w:rPr>
            </w:r>
            <w:r>
              <w:rPr>
                <w:noProof/>
                <w:webHidden/>
              </w:rPr>
              <w:fldChar w:fldCharType="separate"/>
            </w:r>
            <w:r>
              <w:rPr>
                <w:noProof/>
                <w:webHidden/>
              </w:rPr>
              <w:t>18</w:t>
            </w:r>
            <w:r>
              <w:rPr>
                <w:noProof/>
                <w:webHidden/>
              </w:rPr>
              <w:fldChar w:fldCharType="end"/>
            </w:r>
          </w:hyperlink>
        </w:p>
        <w:p w14:paraId="3F2E9625" w14:textId="4CCD348B" w:rsidR="00B950EA" w:rsidRDefault="00B950EA">
          <w:pPr>
            <w:pStyle w:val="Spistreci2"/>
            <w:rPr>
              <w:rFonts w:eastAsiaTheme="minorEastAsia"/>
              <w:noProof/>
              <w:sz w:val="22"/>
              <w:lang w:eastAsia="pl-PL"/>
            </w:rPr>
          </w:pPr>
          <w:hyperlink w:anchor="_Toc160614682" w:history="1">
            <w:r w:rsidRPr="00D566C2">
              <w:rPr>
                <w:rStyle w:val="Hipercze"/>
                <w:rFonts w:cstheme="minorHAnsi"/>
                <w:noProof/>
              </w:rPr>
              <w:t>7.1.</w:t>
            </w:r>
            <w:r>
              <w:rPr>
                <w:rFonts w:eastAsiaTheme="minorEastAsia"/>
                <w:noProof/>
                <w:sz w:val="22"/>
                <w:lang w:eastAsia="pl-PL"/>
              </w:rPr>
              <w:tab/>
            </w:r>
            <w:r w:rsidRPr="00D566C2">
              <w:rPr>
                <w:rStyle w:val="Hipercze"/>
                <w:rFonts w:cstheme="minorHAnsi"/>
                <w:noProof/>
              </w:rPr>
              <w:t>Założenia</w:t>
            </w:r>
            <w:r>
              <w:rPr>
                <w:noProof/>
                <w:webHidden/>
              </w:rPr>
              <w:tab/>
            </w:r>
            <w:r>
              <w:rPr>
                <w:noProof/>
                <w:webHidden/>
              </w:rPr>
              <w:fldChar w:fldCharType="begin"/>
            </w:r>
            <w:r>
              <w:rPr>
                <w:noProof/>
                <w:webHidden/>
              </w:rPr>
              <w:instrText xml:space="preserve"> PAGEREF _Toc160614682 \h </w:instrText>
            </w:r>
            <w:r>
              <w:rPr>
                <w:noProof/>
                <w:webHidden/>
              </w:rPr>
            </w:r>
            <w:r>
              <w:rPr>
                <w:noProof/>
                <w:webHidden/>
              </w:rPr>
              <w:fldChar w:fldCharType="separate"/>
            </w:r>
            <w:r>
              <w:rPr>
                <w:noProof/>
                <w:webHidden/>
              </w:rPr>
              <w:t>20</w:t>
            </w:r>
            <w:r>
              <w:rPr>
                <w:noProof/>
                <w:webHidden/>
              </w:rPr>
              <w:fldChar w:fldCharType="end"/>
            </w:r>
          </w:hyperlink>
        </w:p>
        <w:p w14:paraId="7942F110" w14:textId="5BF48144" w:rsidR="00B950EA" w:rsidRDefault="00B950EA">
          <w:pPr>
            <w:pStyle w:val="Spistreci2"/>
            <w:rPr>
              <w:rFonts w:eastAsiaTheme="minorEastAsia"/>
              <w:noProof/>
              <w:sz w:val="22"/>
              <w:lang w:eastAsia="pl-PL"/>
            </w:rPr>
          </w:pPr>
          <w:hyperlink w:anchor="_Toc160614683" w:history="1">
            <w:r w:rsidRPr="00D566C2">
              <w:rPr>
                <w:rStyle w:val="Hipercze"/>
                <w:rFonts w:cstheme="minorHAnsi"/>
                <w:noProof/>
              </w:rPr>
              <w:t>7.2.</w:t>
            </w:r>
            <w:r>
              <w:rPr>
                <w:rFonts w:eastAsiaTheme="minorEastAsia"/>
                <w:noProof/>
                <w:sz w:val="22"/>
                <w:lang w:eastAsia="pl-PL"/>
              </w:rPr>
              <w:tab/>
            </w:r>
            <w:r w:rsidRPr="00D566C2">
              <w:rPr>
                <w:rStyle w:val="Hipercze"/>
                <w:rFonts w:cstheme="minorHAnsi"/>
                <w:noProof/>
              </w:rPr>
              <w:t>Nakłady inwestycyjne projektu i wydatki kwalifikowalne</w:t>
            </w:r>
            <w:r>
              <w:rPr>
                <w:noProof/>
                <w:webHidden/>
              </w:rPr>
              <w:tab/>
            </w:r>
            <w:r>
              <w:rPr>
                <w:noProof/>
                <w:webHidden/>
              </w:rPr>
              <w:fldChar w:fldCharType="begin"/>
            </w:r>
            <w:r>
              <w:rPr>
                <w:noProof/>
                <w:webHidden/>
              </w:rPr>
              <w:instrText xml:space="preserve"> PAGEREF _Toc160614683 \h </w:instrText>
            </w:r>
            <w:r>
              <w:rPr>
                <w:noProof/>
                <w:webHidden/>
              </w:rPr>
            </w:r>
            <w:r>
              <w:rPr>
                <w:noProof/>
                <w:webHidden/>
              </w:rPr>
              <w:fldChar w:fldCharType="separate"/>
            </w:r>
            <w:r>
              <w:rPr>
                <w:noProof/>
                <w:webHidden/>
              </w:rPr>
              <w:t>21</w:t>
            </w:r>
            <w:r>
              <w:rPr>
                <w:noProof/>
                <w:webHidden/>
              </w:rPr>
              <w:fldChar w:fldCharType="end"/>
            </w:r>
          </w:hyperlink>
        </w:p>
        <w:p w14:paraId="1826FB09" w14:textId="66DB7286" w:rsidR="00B950EA" w:rsidRDefault="00B950EA">
          <w:pPr>
            <w:pStyle w:val="Spistreci2"/>
            <w:rPr>
              <w:rFonts w:eastAsiaTheme="minorEastAsia"/>
              <w:noProof/>
              <w:sz w:val="22"/>
              <w:lang w:eastAsia="pl-PL"/>
            </w:rPr>
          </w:pPr>
          <w:hyperlink w:anchor="_Toc160614684" w:history="1">
            <w:r w:rsidRPr="00D566C2">
              <w:rPr>
                <w:rStyle w:val="Hipercze"/>
                <w:rFonts w:cstheme="minorHAnsi"/>
                <w:noProof/>
              </w:rPr>
              <w:t>7.3.</w:t>
            </w:r>
            <w:r>
              <w:rPr>
                <w:rFonts w:eastAsiaTheme="minorEastAsia"/>
                <w:noProof/>
                <w:sz w:val="22"/>
                <w:lang w:eastAsia="pl-PL"/>
              </w:rPr>
              <w:tab/>
            </w:r>
            <w:r w:rsidRPr="00D566C2">
              <w:rPr>
                <w:rStyle w:val="Hipercze"/>
                <w:rFonts w:cstheme="minorHAnsi"/>
                <w:noProof/>
              </w:rPr>
              <w:t>Przychody operacyjne projektu</w:t>
            </w:r>
            <w:r>
              <w:rPr>
                <w:noProof/>
                <w:webHidden/>
              </w:rPr>
              <w:tab/>
            </w:r>
            <w:r>
              <w:rPr>
                <w:noProof/>
                <w:webHidden/>
              </w:rPr>
              <w:fldChar w:fldCharType="begin"/>
            </w:r>
            <w:r>
              <w:rPr>
                <w:noProof/>
                <w:webHidden/>
              </w:rPr>
              <w:instrText xml:space="preserve"> PAGEREF _Toc160614684 \h </w:instrText>
            </w:r>
            <w:r>
              <w:rPr>
                <w:noProof/>
                <w:webHidden/>
              </w:rPr>
            </w:r>
            <w:r>
              <w:rPr>
                <w:noProof/>
                <w:webHidden/>
              </w:rPr>
              <w:fldChar w:fldCharType="separate"/>
            </w:r>
            <w:r>
              <w:rPr>
                <w:noProof/>
                <w:webHidden/>
              </w:rPr>
              <w:t>21</w:t>
            </w:r>
            <w:r>
              <w:rPr>
                <w:noProof/>
                <w:webHidden/>
              </w:rPr>
              <w:fldChar w:fldCharType="end"/>
            </w:r>
          </w:hyperlink>
        </w:p>
        <w:p w14:paraId="2A794470" w14:textId="440D2FB2" w:rsidR="00B950EA" w:rsidRDefault="00B950EA">
          <w:pPr>
            <w:pStyle w:val="Spistreci2"/>
            <w:rPr>
              <w:rFonts w:eastAsiaTheme="minorEastAsia"/>
              <w:noProof/>
              <w:sz w:val="22"/>
              <w:lang w:eastAsia="pl-PL"/>
            </w:rPr>
          </w:pPr>
          <w:hyperlink w:anchor="_Toc160614685" w:history="1">
            <w:r w:rsidRPr="00D566C2">
              <w:rPr>
                <w:rStyle w:val="Hipercze"/>
                <w:rFonts w:cstheme="minorHAnsi"/>
                <w:noProof/>
              </w:rPr>
              <w:t>7.4.</w:t>
            </w:r>
            <w:r>
              <w:rPr>
                <w:rFonts w:eastAsiaTheme="minorEastAsia"/>
                <w:noProof/>
                <w:sz w:val="22"/>
                <w:lang w:eastAsia="pl-PL"/>
              </w:rPr>
              <w:tab/>
            </w:r>
            <w:r w:rsidRPr="00D566C2">
              <w:rPr>
                <w:rStyle w:val="Hipercze"/>
                <w:rFonts w:cstheme="minorHAnsi"/>
                <w:noProof/>
              </w:rPr>
              <w:t>Koszty operacyjne projektu</w:t>
            </w:r>
            <w:r>
              <w:rPr>
                <w:noProof/>
                <w:webHidden/>
              </w:rPr>
              <w:tab/>
            </w:r>
            <w:r>
              <w:rPr>
                <w:noProof/>
                <w:webHidden/>
              </w:rPr>
              <w:fldChar w:fldCharType="begin"/>
            </w:r>
            <w:r>
              <w:rPr>
                <w:noProof/>
                <w:webHidden/>
              </w:rPr>
              <w:instrText xml:space="preserve"> PAGEREF _Toc160614685 \h </w:instrText>
            </w:r>
            <w:r>
              <w:rPr>
                <w:noProof/>
                <w:webHidden/>
              </w:rPr>
            </w:r>
            <w:r>
              <w:rPr>
                <w:noProof/>
                <w:webHidden/>
              </w:rPr>
              <w:fldChar w:fldCharType="separate"/>
            </w:r>
            <w:r>
              <w:rPr>
                <w:noProof/>
                <w:webHidden/>
              </w:rPr>
              <w:t>22</w:t>
            </w:r>
            <w:r>
              <w:rPr>
                <w:noProof/>
                <w:webHidden/>
              </w:rPr>
              <w:fldChar w:fldCharType="end"/>
            </w:r>
          </w:hyperlink>
        </w:p>
        <w:p w14:paraId="0943510F" w14:textId="632B6320" w:rsidR="00B950EA" w:rsidRDefault="00B950EA">
          <w:pPr>
            <w:pStyle w:val="Spistreci2"/>
            <w:rPr>
              <w:rFonts w:eastAsiaTheme="minorEastAsia"/>
              <w:noProof/>
              <w:sz w:val="22"/>
              <w:lang w:eastAsia="pl-PL"/>
            </w:rPr>
          </w:pPr>
          <w:hyperlink w:anchor="_Toc160614686" w:history="1">
            <w:r w:rsidRPr="00D566C2">
              <w:rPr>
                <w:rStyle w:val="Hipercze"/>
                <w:rFonts w:cstheme="minorHAnsi"/>
                <w:noProof/>
              </w:rPr>
              <w:t>7.5.</w:t>
            </w:r>
            <w:r>
              <w:rPr>
                <w:rFonts w:eastAsiaTheme="minorEastAsia"/>
                <w:noProof/>
                <w:sz w:val="22"/>
                <w:lang w:eastAsia="pl-PL"/>
              </w:rPr>
              <w:tab/>
            </w:r>
            <w:r w:rsidRPr="00D566C2">
              <w:rPr>
                <w:rStyle w:val="Hipercze"/>
                <w:rFonts w:cstheme="minorHAnsi"/>
                <w:noProof/>
              </w:rPr>
              <w:t>Wskaźniki efektywności finansowej</w:t>
            </w:r>
            <w:r>
              <w:rPr>
                <w:noProof/>
                <w:webHidden/>
              </w:rPr>
              <w:tab/>
            </w:r>
            <w:r>
              <w:rPr>
                <w:noProof/>
                <w:webHidden/>
              </w:rPr>
              <w:fldChar w:fldCharType="begin"/>
            </w:r>
            <w:r>
              <w:rPr>
                <w:noProof/>
                <w:webHidden/>
              </w:rPr>
              <w:instrText xml:space="preserve"> PAGEREF _Toc160614686 \h </w:instrText>
            </w:r>
            <w:r>
              <w:rPr>
                <w:noProof/>
                <w:webHidden/>
              </w:rPr>
            </w:r>
            <w:r>
              <w:rPr>
                <w:noProof/>
                <w:webHidden/>
              </w:rPr>
              <w:fldChar w:fldCharType="separate"/>
            </w:r>
            <w:r>
              <w:rPr>
                <w:noProof/>
                <w:webHidden/>
              </w:rPr>
              <w:t>22</w:t>
            </w:r>
            <w:r>
              <w:rPr>
                <w:noProof/>
                <w:webHidden/>
              </w:rPr>
              <w:fldChar w:fldCharType="end"/>
            </w:r>
          </w:hyperlink>
        </w:p>
        <w:p w14:paraId="76897427" w14:textId="460C2E28" w:rsidR="00B950EA" w:rsidRDefault="00B950EA">
          <w:pPr>
            <w:pStyle w:val="Spistreci2"/>
            <w:rPr>
              <w:rFonts w:eastAsiaTheme="minorEastAsia"/>
              <w:noProof/>
              <w:sz w:val="22"/>
              <w:lang w:eastAsia="pl-PL"/>
            </w:rPr>
          </w:pPr>
          <w:hyperlink w:anchor="_Toc160614687" w:history="1">
            <w:r w:rsidRPr="00D566C2">
              <w:rPr>
                <w:rStyle w:val="Hipercze"/>
                <w:rFonts w:cstheme="minorHAnsi"/>
                <w:noProof/>
              </w:rPr>
              <w:t>7.6.</w:t>
            </w:r>
            <w:r>
              <w:rPr>
                <w:rFonts w:eastAsiaTheme="minorEastAsia"/>
                <w:noProof/>
                <w:sz w:val="22"/>
                <w:lang w:eastAsia="pl-PL"/>
              </w:rPr>
              <w:tab/>
            </w:r>
            <w:r w:rsidRPr="00D566C2">
              <w:rPr>
                <w:rStyle w:val="Hipercze"/>
                <w:rFonts w:cstheme="minorHAnsi"/>
                <w:noProof/>
              </w:rPr>
              <w:t>Trwałość finansowa</w:t>
            </w:r>
            <w:r>
              <w:rPr>
                <w:noProof/>
                <w:webHidden/>
              </w:rPr>
              <w:tab/>
            </w:r>
            <w:r>
              <w:rPr>
                <w:noProof/>
                <w:webHidden/>
              </w:rPr>
              <w:fldChar w:fldCharType="begin"/>
            </w:r>
            <w:r>
              <w:rPr>
                <w:noProof/>
                <w:webHidden/>
              </w:rPr>
              <w:instrText xml:space="preserve"> PAGEREF _Toc160614687 \h </w:instrText>
            </w:r>
            <w:r>
              <w:rPr>
                <w:noProof/>
                <w:webHidden/>
              </w:rPr>
            </w:r>
            <w:r>
              <w:rPr>
                <w:noProof/>
                <w:webHidden/>
              </w:rPr>
              <w:fldChar w:fldCharType="separate"/>
            </w:r>
            <w:r>
              <w:rPr>
                <w:noProof/>
                <w:webHidden/>
              </w:rPr>
              <w:t>23</w:t>
            </w:r>
            <w:r>
              <w:rPr>
                <w:noProof/>
                <w:webHidden/>
              </w:rPr>
              <w:fldChar w:fldCharType="end"/>
            </w:r>
          </w:hyperlink>
        </w:p>
        <w:p w14:paraId="1239F5DB" w14:textId="15A57DF7" w:rsidR="00B950EA" w:rsidRDefault="00B950EA">
          <w:pPr>
            <w:pStyle w:val="Spistreci1"/>
            <w:rPr>
              <w:rFonts w:eastAsiaTheme="minorEastAsia"/>
              <w:noProof/>
              <w:sz w:val="22"/>
              <w:lang w:eastAsia="pl-PL"/>
            </w:rPr>
          </w:pPr>
          <w:hyperlink w:anchor="_Toc160614688" w:history="1">
            <w:r w:rsidRPr="00D566C2">
              <w:rPr>
                <w:rStyle w:val="Hipercze"/>
                <w:noProof/>
              </w:rPr>
              <w:t>8.</w:t>
            </w:r>
            <w:r>
              <w:rPr>
                <w:rFonts w:eastAsiaTheme="minorEastAsia"/>
                <w:noProof/>
                <w:sz w:val="22"/>
                <w:lang w:eastAsia="pl-PL"/>
              </w:rPr>
              <w:tab/>
            </w:r>
            <w:r w:rsidRPr="00D566C2">
              <w:rPr>
                <w:rStyle w:val="Hipercze"/>
                <w:noProof/>
              </w:rPr>
              <w:t>Rekompensata</w:t>
            </w:r>
            <w:r>
              <w:rPr>
                <w:noProof/>
                <w:webHidden/>
              </w:rPr>
              <w:tab/>
            </w:r>
            <w:r>
              <w:rPr>
                <w:noProof/>
                <w:webHidden/>
              </w:rPr>
              <w:fldChar w:fldCharType="begin"/>
            </w:r>
            <w:r>
              <w:rPr>
                <w:noProof/>
                <w:webHidden/>
              </w:rPr>
              <w:instrText xml:space="preserve"> PAGEREF _Toc160614688 \h </w:instrText>
            </w:r>
            <w:r>
              <w:rPr>
                <w:noProof/>
                <w:webHidden/>
              </w:rPr>
            </w:r>
            <w:r>
              <w:rPr>
                <w:noProof/>
                <w:webHidden/>
              </w:rPr>
              <w:fldChar w:fldCharType="separate"/>
            </w:r>
            <w:r>
              <w:rPr>
                <w:noProof/>
                <w:webHidden/>
              </w:rPr>
              <w:t>24</w:t>
            </w:r>
            <w:r>
              <w:rPr>
                <w:noProof/>
                <w:webHidden/>
              </w:rPr>
              <w:fldChar w:fldCharType="end"/>
            </w:r>
          </w:hyperlink>
        </w:p>
        <w:p w14:paraId="5499856F" w14:textId="2C13813E" w:rsidR="00B950EA" w:rsidRDefault="00B950EA">
          <w:pPr>
            <w:pStyle w:val="Spistreci1"/>
            <w:rPr>
              <w:rFonts w:eastAsiaTheme="minorEastAsia"/>
              <w:noProof/>
              <w:sz w:val="22"/>
              <w:lang w:eastAsia="pl-PL"/>
            </w:rPr>
          </w:pPr>
          <w:hyperlink w:anchor="_Toc160614689" w:history="1">
            <w:r w:rsidRPr="00D566C2">
              <w:rPr>
                <w:rStyle w:val="Hipercze"/>
                <w:noProof/>
              </w:rPr>
              <w:t>9.</w:t>
            </w:r>
            <w:r>
              <w:rPr>
                <w:rFonts w:eastAsiaTheme="minorEastAsia"/>
                <w:noProof/>
                <w:sz w:val="22"/>
                <w:lang w:eastAsia="pl-PL"/>
              </w:rPr>
              <w:tab/>
            </w:r>
            <w:r w:rsidRPr="00D566C2">
              <w:rPr>
                <w:rStyle w:val="Hipercze"/>
                <w:noProof/>
              </w:rPr>
              <w:t>Analiza ekonomiczna</w:t>
            </w:r>
            <w:r>
              <w:rPr>
                <w:noProof/>
                <w:webHidden/>
              </w:rPr>
              <w:tab/>
            </w:r>
            <w:r>
              <w:rPr>
                <w:noProof/>
                <w:webHidden/>
              </w:rPr>
              <w:fldChar w:fldCharType="begin"/>
            </w:r>
            <w:r>
              <w:rPr>
                <w:noProof/>
                <w:webHidden/>
              </w:rPr>
              <w:instrText xml:space="preserve"> PAGEREF _Toc160614689 \h </w:instrText>
            </w:r>
            <w:r>
              <w:rPr>
                <w:noProof/>
                <w:webHidden/>
              </w:rPr>
            </w:r>
            <w:r>
              <w:rPr>
                <w:noProof/>
                <w:webHidden/>
              </w:rPr>
              <w:fldChar w:fldCharType="separate"/>
            </w:r>
            <w:r>
              <w:rPr>
                <w:noProof/>
                <w:webHidden/>
              </w:rPr>
              <w:t>24</w:t>
            </w:r>
            <w:r>
              <w:rPr>
                <w:noProof/>
                <w:webHidden/>
              </w:rPr>
              <w:fldChar w:fldCharType="end"/>
            </w:r>
          </w:hyperlink>
        </w:p>
        <w:p w14:paraId="20A0D9FA" w14:textId="5D3EB85C" w:rsidR="00B950EA" w:rsidRDefault="00B950EA">
          <w:pPr>
            <w:pStyle w:val="Spistreci1"/>
            <w:rPr>
              <w:rFonts w:eastAsiaTheme="minorEastAsia"/>
              <w:noProof/>
              <w:sz w:val="22"/>
              <w:lang w:eastAsia="pl-PL"/>
            </w:rPr>
          </w:pPr>
          <w:hyperlink w:anchor="_Toc160614690" w:history="1">
            <w:r w:rsidRPr="00D566C2">
              <w:rPr>
                <w:rStyle w:val="Hipercze"/>
                <w:noProof/>
              </w:rPr>
              <w:t>10.</w:t>
            </w:r>
            <w:r>
              <w:rPr>
                <w:rFonts w:eastAsiaTheme="minorEastAsia"/>
                <w:noProof/>
                <w:sz w:val="22"/>
                <w:lang w:eastAsia="pl-PL"/>
              </w:rPr>
              <w:tab/>
            </w:r>
            <w:r w:rsidRPr="00D566C2">
              <w:rPr>
                <w:rStyle w:val="Hipercze"/>
                <w:noProof/>
              </w:rPr>
              <w:t>Analiza wrażliwości i ryzyka</w:t>
            </w:r>
            <w:r>
              <w:rPr>
                <w:noProof/>
                <w:webHidden/>
              </w:rPr>
              <w:tab/>
            </w:r>
            <w:r>
              <w:rPr>
                <w:noProof/>
                <w:webHidden/>
              </w:rPr>
              <w:fldChar w:fldCharType="begin"/>
            </w:r>
            <w:r>
              <w:rPr>
                <w:noProof/>
                <w:webHidden/>
              </w:rPr>
              <w:instrText xml:space="preserve"> PAGEREF _Toc160614690 \h </w:instrText>
            </w:r>
            <w:r>
              <w:rPr>
                <w:noProof/>
                <w:webHidden/>
              </w:rPr>
            </w:r>
            <w:r>
              <w:rPr>
                <w:noProof/>
                <w:webHidden/>
              </w:rPr>
              <w:fldChar w:fldCharType="separate"/>
            </w:r>
            <w:r>
              <w:rPr>
                <w:noProof/>
                <w:webHidden/>
              </w:rPr>
              <w:t>26</w:t>
            </w:r>
            <w:r>
              <w:rPr>
                <w:noProof/>
                <w:webHidden/>
              </w:rPr>
              <w:fldChar w:fldCharType="end"/>
            </w:r>
          </w:hyperlink>
        </w:p>
        <w:p w14:paraId="1B5C7E1E" w14:textId="1D80AA4A" w:rsidR="0090241A" w:rsidRPr="00587B52" w:rsidRDefault="001F31A9" w:rsidP="006424BB">
          <w:pPr>
            <w:rPr>
              <w:rFonts w:cstheme="minorHAnsi"/>
              <w:szCs w:val="24"/>
            </w:rPr>
          </w:pPr>
          <w:r>
            <w:rPr>
              <w:rFonts w:cstheme="minorHAnsi"/>
              <w:szCs w:val="24"/>
            </w:rPr>
            <w:fldChar w:fldCharType="end"/>
          </w:r>
        </w:p>
      </w:sdtContent>
    </w:sdt>
    <w:p w14:paraId="68D0C20C" w14:textId="298BD89E" w:rsidR="00250224" w:rsidRDefault="00250224" w:rsidP="00250224">
      <w:pPr>
        <w:tabs>
          <w:tab w:val="left" w:pos="1185"/>
        </w:tabs>
      </w:pPr>
      <w:r>
        <w:tab/>
      </w:r>
    </w:p>
    <w:p w14:paraId="5763977E" w14:textId="2A58A654" w:rsidR="0000005F" w:rsidRPr="00250224" w:rsidRDefault="00250224" w:rsidP="00250224">
      <w:pPr>
        <w:tabs>
          <w:tab w:val="left" w:pos="1185"/>
        </w:tabs>
        <w:sectPr w:rsidR="0000005F" w:rsidRPr="00250224" w:rsidSect="005C7564">
          <w:footerReference w:type="default" r:id="rId8"/>
          <w:headerReference w:type="first" r:id="rId9"/>
          <w:pgSz w:w="11906" w:h="16838"/>
          <w:pgMar w:top="1134" w:right="1134" w:bottom="1134" w:left="1134" w:header="425" w:footer="709" w:gutter="0"/>
          <w:cols w:space="708"/>
          <w:titlePg/>
          <w:docGrid w:linePitch="360"/>
        </w:sectPr>
      </w:pPr>
      <w:r>
        <w:tab/>
      </w:r>
    </w:p>
    <w:p w14:paraId="2FE97808" w14:textId="32133D98" w:rsidR="006507B9" w:rsidRPr="00587B52" w:rsidRDefault="005157BB" w:rsidP="008924A9">
      <w:pPr>
        <w:pStyle w:val="Nagwek1"/>
      </w:pPr>
      <w:bookmarkStart w:id="0" w:name="_Toc160614656"/>
      <w:r w:rsidRPr="00587B52">
        <w:lastRenderedPageBreak/>
        <w:t>Identyfikacja projektu i opis celów projektu</w:t>
      </w:r>
      <w:bookmarkEnd w:id="0"/>
    </w:p>
    <w:p w14:paraId="3B5E3373" w14:textId="6407B0B9" w:rsidR="00E32A88" w:rsidRPr="00587B52" w:rsidRDefault="00E32A88" w:rsidP="004C2B17">
      <w:pPr>
        <w:pStyle w:val="Nagwek2"/>
        <w:numPr>
          <w:ilvl w:val="1"/>
          <w:numId w:val="3"/>
        </w:numPr>
        <w:spacing w:before="0"/>
        <w:jc w:val="left"/>
        <w:rPr>
          <w:rFonts w:cstheme="minorHAnsi"/>
          <w:szCs w:val="24"/>
        </w:rPr>
      </w:pPr>
      <w:bookmarkStart w:id="1" w:name="_Toc160614657"/>
      <w:r w:rsidRPr="00587B52">
        <w:rPr>
          <w:rFonts w:cstheme="minorHAnsi"/>
          <w:szCs w:val="24"/>
        </w:rPr>
        <w:t>Cele projektu</w:t>
      </w:r>
      <w:bookmarkEnd w:id="1"/>
    </w:p>
    <w:p w14:paraId="507EA1C1" w14:textId="4810A72E" w:rsidR="00E32A88" w:rsidRPr="00587B52" w:rsidRDefault="00E32A88" w:rsidP="006424BB">
      <w:pPr>
        <w:rPr>
          <w:rFonts w:cstheme="minorHAnsi"/>
          <w:szCs w:val="24"/>
        </w:rPr>
      </w:pPr>
      <w:r w:rsidRPr="00587B52">
        <w:rPr>
          <w:rFonts w:cstheme="minorHAnsi"/>
          <w:szCs w:val="24"/>
        </w:rPr>
        <w:t>Należy przedstawić od jednego do kilku realnych i konkretnych celów. Cele projektu powinny zostać określone w oparciu o analizę potrzeb danego środowiska społeczno-gospodarczego, z</w:t>
      </w:r>
      <w:r w:rsidR="00FD2FC0">
        <w:rPr>
          <w:rFonts w:cstheme="minorHAnsi"/>
          <w:szCs w:val="24"/>
        </w:rPr>
        <w:t> </w:t>
      </w:r>
      <w:r w:rsidRPr="00587B52">
        <w:rPr>
          <w:rFonts w:cstheme="minorHAnsi"/>
          <w:szCs w:val="24"/>
        </w:rPr>
        <w:t>uwzględnieniem zjawisk najbardziej adekwatnych do skali oddziaływania projektu.</w:t>
      </w:r>
    </w:p>
    <w:p w14:paraId="25104CEB" w14:textId="77777777" w:rsidR="00E32A88" w:rsidRPr="00587B52" w:rsidRDefault="00E32A88" w:rsidP="006424BB">
      <w:pPr>
        <w:rPr>
          <w:rFonts w:cstheme="minorHAnsi"/>
          <w:szCs w:val="24"/>
        </w:rPr>
      </w:pPr>
      <w:r w:rsidRPr="00587B52">
        <w:rPr>
          <w:rFonts w:cstheme="minorHAnsi"/>
          <w:szCs w:val="24"/>
        </w:rPr>
        <w:t>Cele projektu powinny:</w:t>
      </w:r>
    </w:p>
    <w:p w14:paraId="7D63AB1C" w14:textId="5E90692C" w:rsidR="00E32A88" w:rsidRPr="00587B52" w:rsidRDefault="00E32A88" w:rsidP="004C2B17">
      <w:pPr>
        <w:pStyle w:val="Akapitzlist"/>
        <w:numPr>
          <w:ilvl w:val="0"/>
          <w:numId w:val="4"/>
        </w:numPr>
        <w:rPr>
          <w:rFonts w:cstheme="minorHAnsi"/>
          <w:szCs w:val="24"/>
        </w:rPr>
      </w:pPr>
      <w:r w:rsidRPr="00587B52">
        <w:rPr>
          <w:rFonts w:cstheme="minorHAnsi"/>
          <w:szCs w:val="24"/>
        </w:rPr>
        <w:t>jasno wskazywać, jakie korzyści społeczno-gospodarcze można osiągnąć dzięki wdrożeniu projektu,</w:t>
      </w:r>
    </w:p>
    <w:p w14:paraId="73A845E8" w14:textId="7FCDC763" w:rsidR="00E32A88" w:rsidRPr="00587B52" w:rsidRDefault="00E32A88" w:rsidP="004C2B17">
      <w:pPr>
        <w:pStyle w:val="Akapitzlist"/>
        <w:numPr>
          <w:ilvl w:val="0"/>
          <w:numId w:val="4"/>
        </w:numPr>
        <w:rPr>
          <w:rFonts w:cstheme="minorHAnsi"/>
          <w:szCs w:val="24"/>
        </w:rPr>
      </w:pPr>
      <w:r w:rsidRPr="00587B52">
        <w:rPr>
          <w:rFonts w:cstheme="minorHAnsi"/>
          <w:szCs w:val="24"/>
        </w:rPr>
        <w:t>być logicznie powiązane ze sobą (w przypadku gdy w ramach projektu realizowanych jest jednocześnie kilka celów),</w:t>
      </w:r>
    </w:p>
    <w:p w14:paraId="6BC30B5F" w14:textId="540986BF" w:rsidR="00E32A88" w:rsidRPr="00587B52" w:rsidRDefault="00F30C3F" w:rsidP="004C2B17">
      <w:pPr>
        <w:pStyle w:val="Akapitzlist"/>
        <w:numPr>
          <w:ilvl w:val="0"/>
          <w:numId w:val="4"/>
        </w:numPr>
        <w:rPr>
          <w:rFonts w:cstheme="minorHAnsi"/>
          <w:szCs w:val="24"/>
        </w:rPr>
      </w:pPr>
      <w:r>
        <w:rPr>
          <w:rFonts w:cstheme="minorHAnsi"/>
          <w:szCs w:val="24"/>
        </w:rPr>
        <w:t xml:space="preserve">być, </w:t>
      </w:r>
      <w:r w:rsidR="00E32A88" w:rsidRPr="00587B52">
        <w:rPr>
          <w:rFonts w:cstheme="minorHAnsi"/>
          <w:szCs w:val="24"/>
        </w:rPr>
        <w:t>na tyle, na ile to możliwe</w:t>
      </w:r>
      <w:r>
        <w:rPr>
          <w:rFonts w:cstheme="minorHAnsi"/>
          <w:szCs w:val="24"/>
        </w:rPr>
        <w:t>,</w:t>
      </w:r>
      <w:r w:rsidR="00E32A88" w:rsidRPr="00587B52">
        <w:rPr>
          <w:rFonts w:cstheme="minorHAnsi"/>
          <w:szCs w:val="24"/>
        </w:rPr>
        <w:t xml:space="preserve"> skwantyfikowa</w:t>
      </w:r>
      <w:r>
        <w:rPr>
          <w:rFonts w:cstheme="minorHAnsi"/>
          <w:szCs w:val="24"/>
        </w:rPr>
        <w:t>ne</w:t>
      </w:r>
      <w:r w:rsidR="00E32A88" w:rsidRPr="00587B52">
        <w:rPr>
          <w:rFonts w:cstheme="minorHAnsi"/>
          <w:szCs w:val="24"/>
        </w:rPr>
        <w:t>, poprzez określenie wartości bazowych i</w:t>
      </w:r>
      <w:r w:rsidR="00FD2FC0">
        <w:rPr>
          <w:rFonts w:cstheme="minorHAnsi"/>
          <w:szCs w:val="24"/>
        </w:rPr>
        <w:t> </w:t>
      </w:r>
      <w:r w:rsidR="00E32A88" w:rsidRPr="00587B52">
        <w:rPr>
          <w:rFonts w:cstheme="minorHAnsi"/>
          <w:szCs w:val="24"/>
        </w:rPr>
        <w:t xml:space="preserve">docelowych oraz </w:t>
      </w:r>
      <w:r>
        <w:rPr>
          <w:rFonts w:cstheme="minorHAnsi"/>
          <w:szCs w:val="24"/>
        </w:rPr>
        <w:t xml:space="preserve">podanie </w:t>
      </w:r>
      <w:r w:rsidR="00E32A88" w:rsidRPr="00587B52">
        <w:rPr>
          <w:rFonts w:cstheme="minorHAnsi"/>
          <w:szCs w:val="24"/>
        </w:rPr>
        <w:t>metod</w:t>
      </w:r>
      <w:r>
        <w:rPr>
          <w:rFonts w:cstheme="minorHAnsi"/>
          <w:szCs w:val="24"/>
        </w:rPr>
        <w:t>y</w:t>
      </w:r>
      <w:r w:rsidR="00E32A88" w:rsidRPr="00587B52">
        <w:rPr>
          <w:rFonts w:cstheme="minorHAnsi"/>
          <w:szCs w:val="24"/>
        </w:rPr>
        <w:t xml:space="preserve"> pomiaru poziomu ich osiągnięcia,</w:t>
      </w:r>
    </w:p>
    <w:p w14:paraId="41F042BA" w14:textId="651F9DF1" w:rsidR="002C4A40" w:rsidRDefault="00E32A88" w:rsidP="002C4A40">
      <w:pPr>
        <w:pStyle w:val="Akapitzlist"/>
        <w:numPr>
          <w:ilvl w:val="0"/>
          <w:numId w:val="4"/>
        </w:numPr>
        <w:rPr>
          <w:rFonts w:cstheme="minorHAnsi"/>
          <w:szCs w:val="24"/>
        </w:rPr>
      </w:pPr>
      <w:r w:rsidRPr="00587B52">
        <w:rPr>
          <w:rFonts w:cstheme="minorHAnsi"/>
          <w:szCs w:val="24"/>
        </w:rPr>
        <w:t xml:space="preserve">być logicznie powiązane z celami realizacji danego priorytetu i działania </w:t>
      </w:r>
      <w:r w:rsidR="004E630B">
        <w:rPr>
          <w:rFonts w:cstheme="minorHAnsi"/>
          <w:szCs w:val="24"/>
        </w:rPr>
        <w:t>Programu Fundusze Europejskie dla Wielkopolski 2021-2027</w:t>
      </w:r>
      <w:r w:rsidRPr="00587B52">
        <w:rPr>
          <w:rFonts w:cstheme="minorHAnsi"/>
          <w:szCs w:val="24"/>
        </w:rPr>
        <w:t>, w ramach którego złożony został wniosek o dofinansowanie.</w:t>
      </w:r>
    </w:p>
    <w:p w14:paraId="18A31B88" w14:textId="09068941" w:rsidR="00E307AB" w:rsidRDefault="0045606F" w:rsidP="004C2B17">
      <w:pPr>
        <w:pStyle w:val="Nagwek2"/>
        <w:numPr>
          <w:ilvl w:val="1"/>
          <w:numId w:val="3"/>
        </w:numPr>
        <w:spacing w:before="0"/>
        <w:jc w:val="left"/>
        <w:rPr>
          <w:rFonts w:cstheme="minorHAnsi"/>
          <w:szCs w:val="24"/>
        </w:rPr>
      </w:pPr>
      <w:bookmarkStart w:id="2" w:name="_Toc160614658"/>
      <w:r>
        <w:rPr>
          <w:rFonts w:cstheme="minorHAnsi"/>
          <w:szCs w:val="24"/>
        </w:rPr>
        <w:t>Stan i</w:t>
      </w:r>
      <w:r w:rsidR="002C4A40">
        <w:rPr>
          <w:rFonts w:cstheme="minorHAnsi"/>
          <w:szCs w:val="24"/>
        </w:rPr>
        <w:t>stniejący</w:t>
      </w:r>
      <w:bookmarkEnd w:id="2"/>
    </w:p>
    <w:p w14:paraId="7A211393" w14:textId="2C0799EB" w:rsidR="002C4A40" w:rsidRPr="002C4A40" w:rsidRDefault="002C4A40" w:rsidP="002C4A40">
      <w:r>
        <w:t xml:space="preserve">Należy przedstawić aktualne potrzeby związane z użytkowaniem systemu i infrastruktury transportowej </w:t>
      </w:r>
      <w:r w:rsidR="00F141F7">
        <w:t>w mieście/aglomeracji na głównych osiach dojazdowych do miasta i/lub aglomeracj</w:t>
      </w:r>
      <w:r w:rsidR="00FD2FC0">
        <w:t>i o znaczeniu regionalnym (na przykład</w:t>
      </w:r>
      <w:r w:rsidR="00F141F7">
        <w:t xml:space="preserve"> dostępność transportową regionu, zatory,</w:t>
      </w:r>
      <w:r w:rsidR="001A571B">
        <w:t xml:space="preserve"> stan posiadanego taboru</w:t>
      </w:r>
      <w:r w:rsidR="00F141F7">
        <w:t xml:space="preserve"> i</w:t>
      </w:r>
      <w:r w:rsidR="00560352">
        <w:t xml:space="preserve"> </w:t>
      </w:r>
      <w:r w:rsidR="00F141F7">
        <w:t>t</w:t>
      </w:r>
      <w:r w:rsidR="00560352">
        <w:t xml:space="preserve">ym </w:t>
      </w:r>
      <w:r w:rsidR="00F141F7">
        <w:t>p</w:t>
      </w:r>
      <w:r w:rsidR="00560352">
        <w:t>odobne</w:t>
      </w:r>
      <w:r w:rsidR="00F141F7">
        <w:t>). Analiza powinna pozwolić na identyfikację potrzeb transportowych jakie ma zaspokoić realizacja projektu oraz wskazać istniejące problemy związane z użytkowaniem aktualnie funkcjonującego systemu transportowego.</w:t>
      </w:r>
    </w:p>
    <w:p w14:paraId="6BB28F48" w14:textId="77777777" w:rsidR="002C4A40" w:rsidRDefault="002C4A40" w:rsidP="002C4A40">
      <w:pPr>
        <w:pStyle w:val="Nagwek2"/>
        <w:numPr>
          <w:ilvl w:val="1"/>
          <w:numId w:val="3"/>
        </w:numPr>
        <w:spacing w:before="0"/>
        <w:jc w:val="left"/>
        <w:rPr>
          <w:rFonts w:cstheme="minorHAnsi"/>
          <w:szCs w:val="24"/>
        </w:rPr>
      </w:pPr>
      <w:bookmarkStart w:id="3" w:name="_Toc160614659"/>
      <w:r w:rsidRPr="00587B52">
        <w:rPr>
          <w:rFonts w:cstheme="minorHAnsi"/>
          <w:szCs w:val="24"/>
        </w:rPr>
        <w:t>Identyfikacja projektu</w:t>
      </w:r>
      <w:bookmarkEnd w:id="3"/>
      <w:r w:rsidRPr="00587B52">
        <w:rPr>
          <w:rFonts w:cstheme="minorHAnsi"/>
          <w:szCs w:val="24"/>
        </w:rPr>
        <w:t xml:space="preserve"> </w:t>
      </w:r>
    </w:p>
    <w:p w14:paraId="5425EE15" w14:textId="77777777" w:rsidR="00E307AB" w:rsidRPr="00587B52" w:rsidRDefault="00E307AB" w:rsidP="006424BB">
      <w:pPr>
        <w:rPr>
          <w:rFonts w:cstheme="minorHAnsi"/>
          <w:szCs w:val="24"/>
        </w:rPr>
      </w:pPr>
      <w:r w:rsidRPr="00587B52">
        <w:rPr>
          <w:rFonts w:cstheme="minorHAnsi"/>
          <w:szCs w:val="24"/>
        </w:rPr>
        <w:t>Identyfikacja projektu musi zawierać zwięzłą i jednoznaczną informację na temat całościowej koncepcji i logicznych ram projektu. Należy zatem uwzględnić w niej następujące kwestie:</w:t>
      </w:r>
    </w:p>
    <w:p w14:paraId="4E2B7BC3" w14:textId="144F3BF6" w:rsidR="00E307AB" w:rsidRPr="00587B52" w:rsidRDefault="00E307AB" w:rsidP="004C2B17">
      <w:pPr>
        <w:pStyle w:val="Akapitzlist"/>
        <w:numPr>
          <w:ilvl w:val="0"/>
          <w:numId w:val="15"/>
        </w:numPr>
        <w:rPr>
          <w:rFonts w:cstheme="minorHAnsi"/>
          <w:szCs w:val="24"/>
        </w:rPr>
      </w:pPr>
      <w:r w:rsidRPr="00587B52">
        <w:rPr>
          <w:rFonts w:cstheme="minorHAnsi"/>
          <w:szCs w:val="24"/>
        </w:rPr>
        <w:t>zarys i ogólny charakter projektu (t</w:t>
      </w:r>
      <w:r w:rsidR="00BF53C5">
        <w:rPr>
          <w:rFonts w:cstheme="minorHAnsi"/>
          <w:szCs w:val="24"/>
        </w:rPr>
        <w:t>o jest</w:t>
      </w:r>
      <w:r w:rsidRPr="00587B52">
        <w:rPr>
          <w:rFonts w:cstheme="minorHAnsi"/>
          <w:szCs w:val="24"/>
        </w:rPr>
        <w:t xml:space="preserve"> prezentację projektu jako przedmiotu przedsięwzięcia wraz z opisem, podaniem całkowit</w:t>
      </w:r>
      <w:r w:rsidR="00F30C3F">
        <w:rPr>
          <w:rFonts w:cstheme="minorHAnsi"/>
          <w:szCs w:val="24"/>
        </w:rPr>
        <w:t>ego</w:t>
      </w:r>
      <w:r w:rsidRPr="00587B52">
        <w:rPr>
          <w:rFonts w:cstheme="minorHAnsi"/>
          <w:szCs w:val="24"/>
        </w:rPr>
        <w:t xml:space="preserve"> koszt</w:t>
      </w:r>
      <w:r w:rsidR="00F30C3F">
        <w:rPr>
          <w:rFonts w:cstheme="minorHAnsi"/>
          <w:szCs w:val="24"/>
        </w:rPr>
        <w:t>u</w:t>
      </w:r>
      <w:r w:rsidRPr="00587B52">
        <w:rPr>
          <w:rFonts w:cstheme="minorHAnsi"/>
          <w:szCs w:val="24"/>
        </w:rPr>
        <w:t xml:space="preserve"> inwestycji, w tym </w:t>
      </w:r>
      <w:r w:rsidR="00F30C3F" w:rsidRPr="00587B52">
        <w:rPr>
          <w:rFonts w:cstheme="minorHAnsi"/>
          <w:szCs w:val="24"/>
        </w:rPr>
        <w:t>całkowit</w:t>
      </w:r>
      <w:r w:rsidR="00F30C3F">
        <w:rPr>
          <w:rFonts w:cstheme="minorHAnsi"/>
          <w:szCs w:val="24"/>
        </w:rPr>
        <w:t>ego</w:t>
      </w:r>
      <w:r w:rsidR="00F30C3F" w:rsidRPr="00587B52">
        <w:rPr>
          <w:rFonts w:cstheme="minorHAnsi"/>
          <w:szCs w:val="24"/>
        </w:rPr>
        <w:t xml:space="preserve"> </w:t>
      </w:r>
      <w:r w:rsidRPr="00587B52">
        <w:rPr>
          <w:rFonts w:cstheme="minorHAnsi"/>
          <w:szCs w:val="24"/>
        </w:rPr>
        <w:t>koszt</w:t>
      </w:r>
      <w:r w:rsidR="00F30C3F">
        <w:rPr>
          <w:rFonts w:cstheme="minorHAnsi"/>
          <w:szCs w:val="24"/>
        </w:rPr>
        <w:t>u</w:t>
      </w:r>
      <w:r w:rsidRPr="00587B52">
        <w:rPr>
          <w:rFonts w:cstheme="minorHAnsi"/>
          <w:szCs w:val="24"/>
        </w:rPr>
        <w:t xml:space="preserve"> kwalifikowaln</w:t>
      </w:r>
      <w:r w:rsidR="00F30C3F">
        <w:rPr>
          <w:rFonts w:cstheme="minorHAnsi"/>
          <w:szCs w:val="24"/>
        </w:rPr>
        <w:t>ego</w:t>
      </w:r>
      <w:r w:rsidRPr="00587B52">
        <w:rPr>
          <w:rFonts w:cstheme="minorHAnsi"/>
          <w:szCs w:val="24"/>
        </w:rPr>
        <w:t>, lokalizacj</w:t>
      </w:r>
      <w:r w:rsidR="00F30C3F">
        <w:rPr>
          <w:rFonts w:cstheme="minorHAnsi"/>
          <w:szCs w:val="24"/>
        </w:rPr>
        <w:t>i</w:t>
      </w:r>
      <w:r w:rsidRPr="00587B52">
        <w:rPr>
          <w:rFonts w:cstheme="minorHAnsi"/>
          <w:szCs w:val="24"/>
        </w:rPr>
        <w:t xml:space="preserve"> i</w:t>
      </w:r>
      <w:r w:rsidR="00BF53C5">
        <w:rPr>
          <w:rFonts w:cstheme="minorHAnsi"/>
          <w:szCs w:val="24"/>
        </w:rPr>
        <w:t xml:space="preserve"> </w:t>
      </w:r>
      <w:r w:rsidRPr="00587B52">
        <w:rPr>
          <w:rFonts w:cstheme="minorHAnsi"/>
          <w:szCs w:val="24"/>
        </w:rPr>
        <w:t>t</w:t>
      </w:r>
      <w:r w:rsidR="00BF53C5">
        <w:rPr>
          <w:rFonts w:cstheme="minorHAnsi"/>
          <w:szCs w:val="24"/>
        </w:rPr>
        <w:t xml:space="preserve">ak </w:t>
      </w:r>
      <w:r w:rsidRPr="00587B52">
        <w:rPr>
          <w:rFonts w:cstheme="minorHAnsi"/>
          <w:szCs w:val="24"/>
        </w:rPr>
        <w:t>d</w:t>
      </w:r>
      <w:r w:rsidR="00BF53C5">
        <w:rPr>
          <w:rFonts w:cstheme="minorHAnsi"/>
          <w:szCs w:val="24"/>
        </w:rPr>
        <w:t>alej</w:t>
      </w:r>
      <w:r w:rsidRPr="00587B52">
        <w:rPr>
          <w:rFonts w:cstheme="minorHAnsi"/>
          <w:szCs w:val="24"/>
        </w:rPr>
        <w:t>),</w:t>
      </w:r>
    </w:p>
    <w:p w14:paraId="5449CD93" w14:textId="03AA5FA4" w:rsidR="00F30C3F" w:rsidRDefault="00E307AB" w:rsidP="004C2B17">
      <w:pPr>
        <w:pStyle w:val="Akapitzlist"/>
        <w:numPr>
          <w:ilvl w:val="0"/>
          <w:numId w:val="15"/>
        </w:numPr>
        <w:rPr>
          <w:rFonts w:cstheme="minorHAnsi"/>
          <w:szCs w:val="24"/>
        </w:rPr>
      </w:pPr>
      <w:r w:rsidRPr="00587B52">
        <w:rPr>
          <w:rFonts w:cstheme="minorHAnsi"/>
          <w:szCs w:val="24"/>
        </w:rPr>
        <w:t>analizę projektu w kontekście całego układu infrastruktury, t</w:t>
      </w:r>
      <w:r w:rsidR="00BF53C5">
        <w:rPr>
          <w:rFonts w:cstheme="minorHAnsi"/>
          <w:szCs w:val="24"/>
        </w:rPr>
        <w:t>o jest</w:t>
      </w:r>
      <w:r w:rsidRPr="00587B52">
        <w:rPr>
          <w:rFonts w:cstheme="minorHAnsi"/>
          <w:szCs w:val="24"/>
        </w:rPr>
        <w:t xml:space="preserve"> funkcjonalne i rzeczowe powiązania między danym projektem a istniejącą infrastrukturą</w:t>
      </w:r>
      <w:r w:rsidR="00C3077D">
        <w:rPr>
          <w:rFonts w:cstheme="minorHAnsi"/>
          <w:szCs w:val="24"/>
        </w:rPr>
        <w:t>.</w:t>
      </w:r>
    </w:p>
    <w:p w14:paraId="4D722E1D" w14:textId="77501EE8" w:rsidR="00E307AB" w:rsidRPr="00587B52" w:rsidRDefault="00E307AB" w:rsidP="006424BB">
      <w:pPr>
        <w:rPr>
          <w:rFonts w:cstheme="minorHAnsi"/>
          <w:szCs w:val="24"/>
        </w:rPr>
      </w:pPr>
      <w:r w:rsidRPr="00587B52">
        <w:rPr>
          <w:rFonts w:cstheme="minorHAnsi"/>
          <w:szCs w:val="24"/>
        </w:rPr>
        <w:t>Projekt musi stanowić samodzielną (pod kątem operacyjności) jednostkę analizy. Oznacza to, że obejmuje on zadania inwestycyjne, które sprawiają, że efektem realizacji projektu jest stworzenie w pełni funkcjonalnej i operacyjnej infrastruktury.</w:t>
      </w:r>
    </w:p>
    <w:p w14:paraId="5B1437C8" w14:textId="1B5B7AB0" w:rsidR="00C16CA4" w:rsidRPr="00C16CA4" w:rsidRDefault="00E307AB" w:rsidP="004C2B17">
      <w:pPr>
        <w:pStyle w:val="Nagwek2"/>
        <w:numPr>
          <w:ilvl w:val="1"/>
          <w:numId w:val="3"/>
        </w:numPr>
        <w:spacing w:before="0"/>
        <w:jc w:val="left"/>
        <w:rPr>
          <w:rFonts w:cstheme="minorHAnsi"/>
          <w:szCs w:val="24"/>
        </w:rPr>
      </w:pPr>
      <w:bookmarkStart w:id="4" w:name="_Toc160614660"/>
      <w:r w:rsidRPr="00587B52">
        <w:rPr>
          <w:rFonts w:cstheme="minorHAnsi"/>
          <w:szCs w:val="24"/>
        </w:rPr>
        <w:t>Uzasadnienie potrzeby realizacji projektu</w:t>
      </w:r>
      <w:bookmarkEnd w:id="4"/>
    </w:p>
    <w:p w14:paraId="417D19BA" w14:textId="7BA5046B" w:rsidR="001A40BE" w:rsidRPr="00587B52" w:rsidRDefault="00202F5B" w:rsidP="006424BB">
      <w:pPr>
        <w:rPr>
          <w:rFonts w:cstheme="minorHAnsi"/>
          <w:szCs w:val="24"/>
        </w:rPr>
      </w:pPr>
      <w:r w:rsidRPr="00587B52">
        <w:rPr>
          <w:rFonts w:cstheme="minorHAnsi"/>
          <w:szCs w:val="24"/>
        </w:rPr>
        <w:t>N</w:t>
      </w:r>
      <w:r w:rsidR="0071731F">
        <w:rPr>
          <w:rFonts w:cstheme="minorHAnsi"/>
          <w:szCs w:val="24"/>
        </w:rPr>
        <w:t>ależy wskazać</w:t>
      </w:r>
      <w:r w:rsidR="002E3E79">
        <w:rPr>
          <w:rFonts w:cstheme="minorHAnsi"/>
          <w:szCs w:val="24"/>
        </w:rPr>
        <w:t>:</w:t>
      </w:r>
      <w:r w:rsidR="00DC0B31" w:rsidRPr="00587B52">
        <w:rPr>
          <w:rFonts w:cstheme="minorHAnsi"/>
          <w:szCs w:val="24"/>
        </w:rPr>
        <w:t xml:space="preserve"> </w:t>
      </w:r>
      <w:r w:rsidR="0071731F">
        <w:rPr>
          <w:rFonts w:cstheme="minorHAnsi"/>
          <w:szCs w:val="24"/>
        </w:rPr>
        <w:t xml:space="preserve">czy </w:t>
      </w:r>
      <w:r w:rsidR="00DC0B31" w:rsidRPr="00587B52">
        <w:rPr>
          <w:rFonts w:cstheme="minorHAnsi"/>
          <w:szCs w:val="24"/>
        </w:rPr>
        <w:t xml:space="preserve">projekt stanowi odpowiedź na </w:t>
      </w:r>
      <w:r w:rsidR="001A40BE" w:rsidRPr="00587B52">
        <w:rPr>
          <w:rFonts w:eastAsia="ArialNarrow" w:cstheme="minorHAnsi"/>
          <w:szCs w:val="24"/>
          <w:lang w:eastAsia="pl-PL"/>
        </w:rPr>
        <w:t>zidentyfikowane problemy/potrzeby Wnioskodawcy</w:t>
      </w:r>
      <w:r w:rsidR="002E3E79">
        <w:rPr>
          <w:rFonts w:eastAsia="ArialNarrow" w:cstheme="minorHAnsi"/>
          <w:szCs w:val="24"/>
          <w:lang w:eastAsia="pl-PL"/>
        </w:rPr>
        <w:t>;</w:t>
      </w:r>
      <w:r w:rsidR="0071731F">
        <w:rPr>
          <w:rFonts w:eastAsia="ArialNarrow" w:cstheme="minorHAnsi"/>
          <w:szCs w:val="24"/>
          <w:lang w:eastAsia="pl-PL"/>
        </w:rPr>
        <w:t xml:space="preserve"> </w:t>
      </w:r>
      <w:r w:rsidR="001A40BE" w:rsidRPr="00587B52">
        <w:rPr>
          <w:rFonts w:eastAsia="ArialNarrow" w:cstheme="minorHAnsi"/>
          <w:szCs w:val="24"/>
          <w:lang w:eastAsia="pl-PL"/>
        </w:rPr>
        <w:t>planowane działania są adekwatne do potrzeb Wnioskodawcy</w:t>
      </w:r>
      <w:r w:rsidR="002E3E79">
        <w:rPr>
          <w:rFonts w:eastAsia="ArialNarrow" w:cstheme="minorHAnsi"/>
          <w:szCs w:val="24"/>
          <w:lang w:eastAsia="pl-PL"/>
        </w:rPr>
        <w:t>;</w:t>
      </w:r>
      <w:r w:rsidR="0071731F">
        <w:rPr>
          <w:rFonts w:eastAsia="ArialNarrow" w:cstheme="minorHAnsi"/>
          <w:szCs w:val="24"/>
          <w:lang w:eastAsia="pl-PL"/>
        </w:rPr>
        <w:t xml:space="preserve"> </w:t>
      </w:r>
      <w:r w:rsidR="001A40BE" w:rsidRPr="00587B52">
        <w:rPr>
          <w:rFonts w:eastAsia="ArialNarrow" w:cstheme="minorHAnsi"/>
          <w:szCs w:val="24"/>
          <w:lang w:eastAsia="pl-PL"/>
        </w:rPr>
        <w:t xml:space="preserve">planowane </w:t>
      </w:r>
      <w:r w:rsidR="001A40BE" w:rsidRPr="00587B52">
        <w:rPr>
          <w:rFonts w:eastAsia="ArialNarrow" w:cstheme="minorHAnsi"/>
          <w:szCs w:val="24"/>
          <w:lang w:eastAsia="pl-PL"/>
        </w:rPr>
        <w:lastRenderedPageBreak/>
        <w:t>działania umożliwią realizację projektu</w:t>
      </w:r>
      <w:r w:rsidR="002E3E79">
        <w:rPr>
          <w:rFonts w:eastAsia="ArialNarrow" w:cstheme="minorHAnsi"/>
          <w:szCs w:val="24"/>
          <w:lang w:eastAsia="pl-PL"/>
        </w:rPr>
        <w:t>;</w:t>
      </w:r>
      <w:r w:rsidR="0071731F">
        <w:rPr>
          <w:rFonts w:eastAsia="ArialNarrow" w:cstheme="minorHAnsi"/>
          <w:szCs w:val="24"/>
          <w:lang w:eastAsia="pl-PL"/>
        </w:rPr>
        <w:t xml:space="preserve"> </w:t>
      </w:r>
      <w:r w:rsidR="001A40BE" w:rsidRPr="00587B52">
        <w:rPr>
          <w:rFonts w:eastAsia="ArialNarrow" w:cstheme="minorHAnsi"/>
          <w:szCs w:val="24"/>
          <w:lang w:eastAsia="pl-PL"/>
        </w:rPr>
        <w:t>potrzeby Wnioskodawcy wynikają ze szczegółowej analizy</w:t>
      </w:r>
      <w:r w:rsidR="0071731F">
        <w:rPr>
          <w:rFonts w:eastAsia="ArialNarrow" w:cstheme="minorHAnsi"/>
          <w:szCs w:val="24"/>
          <w:lang w:eastAsia="pl-PL"/>
        </w:rPr>
        <w:t xml:space="preserve">; </w:t>
      </w:r>
      <w:r w:rsidR="0021334E">
        <w:rPr>
          <w:rFonts w:eastAsia="ArialNarrow" w:cstheme="minorHAnsi"/>
          <w:szCs w:val="24"/>
          <w:lang w:eastAsia="pl-PL"/>
        </w:rPr>
        <w:t xml:space="preserve"> inwestycja została</w:t>
      </w:r>
      <w:r w:rsidR="00C3077D">
        <w:rPr>
          <w:rFonts w:eastAsia="ArialNarrow" w:cstheme="minorHAnsi"/>
          <w:szCs w:val="24"/>
          <w:lang w:eastAsia="pl-PL"/>
        </w:rPr>
        <w:t xml:space="preserve"> poprzedzona odpowiedni</w:t>
      </w:r>
      <w:r w:rsidR="0071731F">
        <w:rPr>
          <w:rFonts w:eastAsia="ArialNarrow" w:cstheme="minorHAnsi"/>
          <w:szCs w:val="24"/>
          <w:lang w:eastAsia="pl-PL"/>
        </w:rPr>
        <w:t xml:space="preserve">ą analizą popytu i potrzeb; </w:t>
      </w:r>
      <w:r w:rsidR="00C3077D">
        <w:rPr>
          <w:rFonts w:eastAsia="ArialNarrow" w:cstheme="minorHAnsi"/>
          <w:szCs w:val="24"/>
          <w:lang w:eastAsia="pl-PL"/>
        </w:rPr>
        <w:t xml:space="preserve">Wnioskodawca wykazał zapotrzebowanie rynku na produkty/usługi powstałe w </w:t>
      </w:r>
      <w:r w:rsidR="0071731F">
        <w:rPr>
          <w:rFonts w:eastAsia="ArialNarrow" w:cstheme="minorHAnsi"/>
          <w:szCs w:val="24"/>
          <w:lang w:eastAsia="pl-PL"/>
        </w:rPr>
        <w:t xml:space="preserve">wyniku realizacji projektu; </w:t>
      </w:r>
      <w:r w:rsidR="00C3077D">
        <w:rPr>
          <w:rFonts w:eastAsia="ArialNarrow" w:cstheme="minorHAnsi"/>
          <w:szCs w:val="24"/>
          <w:lang w:eastAsia="pl-PL"/>
        </w:rPr>
        <w:t>projekt rozwiązuje w pełni zidentyfikowane problemy</w:t>
      </w:r>
      <w:r w:rsidR="001A40BE" w:rsidRPr="00587B52">
        <w:rPr>
          <w:rFonts w:eastAsia="ArialNarrow" w:cstheme="minorHAnsi"/>
          <w:szCs w:val="24"/>
          <w:lang w:eastAsia="pl-PL"/>
        </w:rPr>
        <w:t>.</w:t>
      </w:r>
    </w:p>
    <w:p w14:paraId="69FF2FDB" w14:textId="4123FF8C" w:rsidR="00C63641" w:rsidRDefault="00C63641" w:rsidP="006424BB">
      <w:pPr>
        <w:rPr>
          <w:rFonts w:cstheme="minorHAnsi"/>
          <w:szCs w:val="24"/>
        </w:rPr>
      </w:pPr>
      <w:r w:rsidRPr="00587B52">
        <w:rPr>
          <w:rFonts w:cstheme="minorHAnsi"/>
          <w:szCs w:val="24"/>
        </w:rPr>
        <w:t>Należy krótko scharakteryzować obszar, na którym będzie realizowany projekt, w tym pr</w:t>
      </w:r>
      <w:r w:rsidR="00472F02" w:rsidRPr="00587B52">
        <w:rPr>
          <w:rFonts w:cstheme="minorHAnsi"/>
          <w:szCs w:val="24"/>
        </w:rPr>
        <w:t>zede wszystkim</w:t>
      </w:r>
      <w:r w:rsidRPr="00587B52">
        <w:rPr>
          <w:rFonts w:cstheme="minorHAnsi"/>
          <w:szCs w:val="24"/>
        </w:rPr>
        <w:t xml:space="preserve"> </w:t>
      </w:r>
      <w:r w:rsidR="002E3E79">
        <w:rPr>
          <w:rFonts w:cstheme="minorHAnsi"/>
          <w:szCs w:val="24"/>
        </w:rPr>
        <w:t xml:space="preserve">określić </w:t>
      </w:r>
      <w:r w:rsidRPr="00587B52">
        <w:rPr>
          <w:rFonts w:cstheme="minorHAnsi"/>
          <w:szCs w:val="24"/>
        </w:rPr>
        <w:t>oddziaływanie planowanej inwestycji na społeczność lokalną/regionalną, otoczenie gospodarcze.</w:t>
      </w:r>
    </w:p>
    <w:p w14:paraId="0047EFE8" w14:textId="16610382" w:rsidR="00E53D3B" w:rsidRDefault="00E236CB" w:rsidP="004C2B17">
      <w:pPr>
        <w:pStyle w:val="Nagwek2"/>
        <w:numPr>
          <w:ilvl w:val="1"/>
          <w:numId w:val="3"/>
        </w:numPr>
        <w:spacing w:before="0"/>
        <w:jc w:val="left"/>
        <w:rPr>
          <w:rFonts w:cstheme="minorHAnsi"/>
          <w:szCs w:val="24"/>
        </w:rPr>
      </w:pPr>
      <w:bookmarkStart w:id="5" w:name="_Toc160614661"/>
      <w:r w:rsidRPr="00344CBC">
        <w:rPr>
          <w:rFonts w:cstheme="minorHAnsi"/>
          <w:szCs w:val="24"/>
        </w:rPr>
        <w:t>Umowa o świadczenie usług publicznych (PSC)</w:t>
      </w:r>
      <w:bookmarkEnd w:id="5"/>
      <w:r w:rsidRPr="00344CBC">
        <w:rPr>
          <w:rFonts w:cstheme="minorHAnsi"/>
          <w:szCs w:val="24"/>
        </w:rPr>
        <w:t xml:space="preserve"> </w:t>
      </w:r>
    </w:p>
    <w:p w14:paraId="202E064D" w14:textId="6F19962C" w:rsidR="00E53D3B" w:rsidRPr="004C4915" w:rsidRDefault="00E53D3B" w:rsidP="00E53D3B">
      <w:pPr>
        <w:rPr>
          <w:rFonts w:cstheme="minorHAnsi"/>
          <w:szCs w:val="24"/>
        </w:rPr>
      </w:pPr>
      <w:r w:rsidRPr="004C4915">
        <w:rPr>
          <w:rFonts w:cstheme="minorHAnsi"/>
          <w:szCs w:val="24"/>
        </w:rPr>
        <w:t>W przypadku realizacji projektów</w:t>
      </w:r>
      <w:r w:rsidR="0071731F">
        <w:rPr>
          <w:rFonts w:cstheme="minorHAnsi"/>
          <w:szCs w:val="24"/>
        </w:rPr>
        <w:t>,</w:t>
      </w:r>
      <w:r w:rsidRPr="004C4915">
        <w:rPr>
          <w:rFonts w:cstheme="minorHAnsi"/>
          <w:szCs w:val="24"/>
        </w:rPr>
        <w:t xml:space="preserve"> w których dofinansowanie (lub jego część) będzie stanowiło element rekompensaty przyznawanej na świadczenie usług w ogólnym interesie gospodarczym w</w:t>
      </w:r>
      <w:r w:rsidR="00FD2FC0">
        <w:rPr>
          <w:rFonts w:cstheme="minorHAnsi"/>
          <w:szCs w:val="24"/>
        </w:rPr>
        <w:t> </w:t>
      </w:r>
      <w:r w:rsidRPr="004C4915">
        <w:rPr>
          <w:rFonts w:cstheme="minorHAnsi"/>
          <w:szCs w:val="24"/>
        </w:rPr>
        <w:t>zakresie transportu zbiorowego szczególną uwagę należy poświęcić uregulowaniom</w:t>
      </w:r>
      <w:r>
        <w:rPr>
          <w:rFonts w:cstheme="minorHAnsi"/>
          <w:szCs w:val="24"/>
        </w:rPr>
        <w:t xml:space="preserve"> prawnym występującym pomiędzy o</w:t>
      </w:r>
      <w:r w:rsidRPr="004C4915">
        <w:rPr>
          <w:rFonts w:cstheme="minorHAnsi"/>
          <w:szCs w:val="24"/>
        </w:rPr>
        <w:t>rgan</w:t>
      </w:r>
      <w:r w:rsidR="00FD2FC0">
        <w:rPr>
          <w:rFonts w:cstheme="minorHAnsi"/>
          <w:szCs w:val="24"/>
        </w:rPr>
        <w:t>izatorem transportu publicznego</w:t>
      </w:r>
      <w:r w:rsidRPr="004C4915">
        <w:rPr>
          <w:rFonts w:cstheme="minorHAnsi"/>
          <w:szCs w:val="24"/>
        </w:rPr>
        <w:t xml:space="preserve"> a operatorem świadczącym te usługi. </w:t>
      </w:r>
    </w:p>
    <w:p w14:paraId="20B482AE" w14:textId="77777777" w:rsidR="00E53D3B" w:rsidRPr="004C4915" w:rsidRDefault="00E53D3B" w:rsidP="00E53D3B">
      <w:pPr>
        <w:rPr>
          <w:rFonts w:cstheme="minorHAnsi"/>
          <w:szCs w:val="24"/>
        </w:rPr>
      </w:pPr>
      <w:r w:rsidRPr="004C4915">
        <w:rPr>
          <w:rFonts w:cstheme="minorHAnsi"/>
          <w:szCs w:val="24"/>
        </w:rPr>
        <w:t>W tym punkcie Wnioskodawca powinien wykazać m</w:t>
      </w:r>
      <w:r>
        <w:rPr>
          <w:rFonts w:cstheme="minorHAnsi"/>
          <w:szCs w:val="24"/>
        </w:rPr>
        <w:t>iędzy innymi</w:t>
      </w:r>
      <w:r w:rsidRPr="004C4915">
        <w:rPr>
          <w:rFonts w:cstheme="minorHAnsi"/>
          <w:szCs w:val="24"/>
        </w:rPr>
        <w:t xml:space="preserve"> że:</w:t>
      </w:r>
    </w:p>
    <w:p w14:paraId="4806045C" w14:textId="1C3B5179" w:rsidR="00E53D3B" w:rsidRPr="00BD4848" w:rsidRDefault="00E53D3B" w:rsidP="00E601FD">
      <w:pPr>
        <w:pStyle w:val="Akapitzlist"/>
        <w:numPr>
          <w:ilvl w:val="0"/>
          <w:numId w:val="18"/>
        </w:numPr>
        <w:rPr>
          <w:rFonts w:cstheme="minorHAnsi"/>
          <w:szCs w:val="24"/>
        </w:rPr>
      </w:pPr>
      <w:r w:rsidRPr="00BD4848">
        <w:rPr>
          <w:rFonts w:cstheme="minorHAnsi"/>
          <w:szCs w:val="24"/>
        </w:rPr>
        <w:t>zawarł umowę o świadczenie usług publicznych, zg</w:t>
      </w:r>
      <w:r w:rsidR="00F27752">
        <w:rPr>
          <w:rFonts w:cstheme="minorHAnsi"/>
          <w:szCs w:val="24"/>
        </w:rPr>
        <w:t>odną z przepisami wskazanymi w</w:t>
      </w:r>
      <w:r w:rsidR="00B950EA">
        <w:rPr>
          <w:rFonts w:cstheme="minorHAnsi"/>
          <w:szCs w:val="24"/>
        </w:rPr>
        <w:t xml:space="preserve"> </w:t>
      </w:r>
      <w:r w:rsidRPr="00BD4848">
        <w:rPr>
          <w:rFonts w:cstheme="minorHAnsi"/>
          <w:szCs w:val="24"/>
        </w:rPr>
        <w:t>artyku</w:t>
      </w:r>
      <w:r w:rsidR="00FD2FC0">
        <w:rPr>
          <w:rFonts w:cstheme="minorHAnsi"/>
          <w:szCs w:val="24"/>
        </w:rPr>
        <w:t>łach</w:t>
      </w:r>
      <w:r w:rsidR="00F27752">
        <w:rPr>
          <w:rFonts w:cstheme="minorHAnsi"/>
          <w:szCs w:val="24"/>
        </w:rPr>
        <w:t xml:space="preserve"> 3 i 4 </w:t>
      </w:r>
      <w:r w:rsidR="00FD2FC0">
        <w:rPr>
          <w:rFonts w:cstheme="minorHAnsi"/>
          <w:szCs w:val="24"/>
        </w:rPr>
        <w:t>rozporządzenia</w:t>
      </w:r>
      <w:r w:rsidRPr="004F781C">
        <w:rPr>
          <w:rFonts w:cstheme="minorHAnsi"/>
          <w:szCs w:val="24"/>
        </w:rPr>
        <w:t xml:space="preserve"> 1370/2007 Parlamentu Europejskiego i Rad</w:t>
      </w:r>
      <w:r w:rsidR="00FD2FC0">
        <w:rPr>
          <w:rFonts w:cstheme="minorHAnsi"/>
          <w:szCs w:val="24"/>
        </w:rPr>
        <w:t>y z dnia 23 października 2007 roku</w:t>
      </w:r>
      <w:r w:rsidRPr="00081A02">
        <w:rPr>
          <w:rFonts w:cstheme="minorHAnsi"/>
          <w:szCs w:val="24"/>
        </w:rPr>
        <w:t xml:space="preserve"> dotyczące</w:t>
      </w:r>
      <w:r>
        <w:rPr>
          <w:rFonts w:cstheme="minorHAnsi"/>
          <w:szCs w:val="24"/>
        </w:rPr>
        <w:t>go</w:t>
      </w:r>
      <w:r w:rsidRPr="00BD4848">
        <w:rPr>
          <w:rFonts w:cstheme="minorHAnsi"/>
          <w:szCs w:val="24"/>
        </w:rPr>
        <w:t xml:space="preserve"> usług publicznych w zakresie kolejowego i drogowego transportu pasażerskiego oraz uchylające</w:t>
      </w:r>
      <w:r>
        <w:rPr>
          <w:rFonts w:cstheme="minorHAnsi"/>
          <w:szCs w:val="24"/>
        </w:rPr>
        <w:t>go</w:t>
      </w:r>
      <w:r w:rsidR="00FD2FC0">
        <w:rPr>
          <w:rFonts w:cstheme="minorHAnsi"/>
          <w:szCs w:val="24"/>
        </w:rPr>
        <w:t xml:space="preserve"> rozporządzenia Rady (EWG) 1191/69 i (EWG) </w:t>
      </w:r>
      <w:r w:rsidRPr="00BD4848">
        <w:rPr>
          <w:rFonts w:cstheme="minorHAnsi"/>
          <w:szCs w:val="24"/>
        </w:rPr>
        <w:t>1107/70</w:t>
      </w:r>
      <w:r w:rsidR="00FD2FC0">
        <w:rPr>
          <w:rFonts w:cstheme="minorHAnsi"/>
          <w:szCs w:val="24"/>
        </w:rPr>
        <w:t xml:space="preserve"> (dalej rozporządzenie </w:t>
      </w:r>
      <w:r>
        <w:rPr>
          <w:rFonts w:cstheme="minorHAnsi"/>
          <w:szCs w:val="24"/>
        </w:rPr>
        <w:t>1370/2007)</w:t>
      </w:r>
      <w:r w:rsidRPr="00BD4848">
        <w:rPr>
          <w:rFonts w:cstheme="minorHAnsi"/>
          <w:szCs w:val="24"/>
        </w:rPr>
        <w:t>, bądź zamierza dokonać wyboru operatora w</w:t>
      </w:r>
      <w:r w:rsidR="00FD2FC0">
        <w:rPr>
          <w:rFonts w:cstheme="minorHAnsi"/>
          <w:szCs w:val="24"/>
        </w:rPr>
        <w:t> </w:t>
      </w:r>
      <w:r w:rsidRPr="00BD4848">
        <w:rPr>
          <w:rFonts w:cstheme="minorHAnsi"/>
          <w:szCs w:val="24"/>
        </w:rPr>
        <w:t>sposób określony</w:t>
      </w:r>
      <w:r w:rsidR="00FD2FC0">
        <w:rPr>
          <w:rFonts w:cstheme="minorHAnsi"/>
          <w:szCs w:val="24"/>
        </w:rPr>
        <w:t xml:space="preserve"> w artykule 5 rozporządzenia </w:t>
      </w:r>
      <w:r w:rsidRPr="00BD4848">
        <w:rPr>
          <w:rFonts w:cstheme="minorHAnsi"/>
          <w:szCs w:val="24"/>
        </w:rPr>
        <w:t>1370/2007;</w:t>
      </w:r>
    </w:p>
    <w:p w14:paraId="29E20B46" w14:textId="539EBC45" w:rsidR="00E53D3B" w:rsidRPr="001A1BCB" w:rsidRDefault="00E53D3B" w:rsidP="00E601FD">
      <w:pPr>
        <w:pStyle w:val="Akapitzlist"/>
        <w:numPr>
          <w:ilvl w:val="0"/>
          <w:numId w:val="18"/>
        </w:numPr>
        <w:rPr>
          <w:rFonts w:cstheme="minorHAnsi"/>
          <w:szCs w:val="24"/>
        </w:rPr>
      </w:pPr>
      <w:r w:rsidRPr="00281726">
        <w:rPr>
          <w:rFonts w:cstheme="minorHAnsi"/>
          <w:szCs w:val="24"/>
        </w:rPr>
        <w:t>umowa zawarta między organizatorem i operatorem transportu publicznego spełnia wymogi określone w przepisach prawa, a sposób obliczania rekompensaty jest zgodny z</w:t>
      </w:r>
      <w:r w:rsidR="00B950EA">
        <w:rPr>
          <w:rFonts w:cstheme="minorHAnsi"/>
          <w:szCs w:val="24"/>
        </w:rPr>
        <w:t xml:space="preserve"> </w:t>
      </w:r>
      <w:r w:rsidRPr="00281726">
        <w:rPr>
          <w:rFonts w:cstheme="minorHAnsi"/>
          <w:szCs w:val="24"/>
        </w:rPr>
        <w:t>przywo</w:t>
      </w:r>
      <w:r w:rsidR="00FD2FC0">
        <w:rPr>
          <w:rFonts w:cstheme="minorHAnsi"/>
          <w:szCs w:val="24"/>
        </w:rPr>
        <w:t>łanym powyżej rozporządzeniem</w:t>
      </w:r>
      <w:r w:rsidRPr="00281726">
        <w:rPr>
          <w:rFonts w:cstheme="minorHAnsi"/>
          <w:szCs w:val="24"/>
        </w:rPr>
        <w:t xml:space="preserve"> 1370/2007. Przyjęty sposób obliczania rekompensaty zapewnia, że w wyniku przyznania pomocy unijnej nie wystąpi na</w:t>
      </w:r>
      <w:r>
        <w:rPr>
          <w:rFonts w:cstheme="minorHAnsi"/>
          <w:szCs w:val="24"/>
        </w:rPr>
        <w:t>dmierne wynagrodzenie operatora;</w:t>
      </w:r>
      <w:r w:rsidRPr="00281726">
        <w:rPr>
          <w:rFonts w:cstheme="minorHAnsi"/>
          <w:szCs w:val="24"/>
        </w:rPr>
        <w:t xml:space="preserve"> </w:t>
      </w:r>
    </w:p>
    <w:p w14:paraId="5FD74BB4" w14:textId="01FAAC46" w:rsidR="00E53D3B" w:rsidRPr="001A1BCB" w:rsidRDefault="00E53D3B" w:rsidP="00B950EA">
      <w:pPr>
        <w:pStyle w:val="Akapitzlist"/>
        <w:numPr>
          <w:ilvl w:val="0"/>
          <w:numId w:val="18"/>
        </w:numPr>
        <w:ind w:left="714" w:hanging="357"/>
        <w:rPr>
          <w:rFonts w:cstheme="minorHAnsi"/>
          <w:szCs w:val="24"/>
        </w:rPr>
      </w:pPr>
      <w:r w:rsidRPr="00281726">
        <w:rPr>
          <w:rFonts w:cstheme="minorHAnsi"/>
          <w:szCs w:val="24"/>
        </w:rPr>
        <w:t>umowa o świadczenie usług publicznych zawiera ustalenia przewidujące regularne kontrole w trakcie okresu jej obowiązywania w celu wykrywania na wczesnym etapie sytuacji mogących prowadzić do przyznania nadmiernej rekompensaty oraz zapobiegania im, w</w:t>
      </w:r>
      <w:r w:rsidR="00B950EA">
        <w:rPr>
          <w:rFonts w:cstheme="minorHAnsi"/>
          <w:szCs w:val="24"/>
        </w:rPr>
        <w:t xml:space="preserve"> </w:t>
      </w:r>
      <w:r w:rsidRPr="00281726">
        <w:rPr>
          <w:rFonts w:cstheme="minorHAnsi"/>
          <w:szCs w:val="24"/>
        </w:rPr>
        <w:t xml:space="preserve">szczególności w przypadku umów długoterminowych. Organizator jest zobowiązany </w:t>
      </w:r>
      <w:r w:rsidRPr="007448B3">
        <w:rPr>
          <w:rFonts w:cstheme="minorHAnsi"/>
          <w:szCs w:val="24"/>
        </w:rPr>
        <w:t xml:space="preserve">do sprawdzenia </w:t>
      </w:r>
      <w:r w:rsidRPr="00281726">
        <w:rPr>
          <w:rFonts w:cstheme="minorHAnsi"/>
          <w:szCs w:val="24"/>
        </w:rPr>
        <w:t xml:space="preserve">przestrzegania warunków umowy o świadczenie usług publicznych w trakcie </w:t>
      </w:r>
      <w:r>
        <w:rPr>
          <w:rFonts w:cstheme="minorHAnsi"/>
          <w:szCs w:val="24"/>
        </w:rPr>
        <w:t>całego okresu jej obowiązywania;</w:t>
      </w:r>
    </w:p>
    <w:p w14:paraId="618018F9" w14:textId="77777777" w:rsidR="00E53D3B" w:rsidRPr="00281726" w:rsidRDefault="00E53D3B" w:rsidP="00E601FD">
      <w:pPr>
        <w:pStyle w:val="Akapitzlist"/>
        <w:numPr>
          <w:ilvl w:val="0"/>
          <w:numId w:val="18"/>
        </w:numPr>
        <w:rPr>
          <w:rFonts w:cstheme="minorHAnsi"/>
          <w:szCs w:val="24"/>
        </w:rPr>
      </w:pPr>
      <w:r w:rsidRPr="00281726">
        <w:rPr>
          <w:rFonts w:cstheme="minorHAnsi"/>
          <w:szCs w:val="24"/>
        </w:rPr>
        <w:t xml:space="preserve">umowa definiuje role i obowiązki stron, które mają kluczowe znaczenie dla określenia właściwych przepływów pieniężnych </w:t>
      </w:r>
      <w:r w:rsidRPr="00FD2FC0">
        <w:rPr>
          <w:rFonts w:cstheme="minorHAnsi"/>
          <w:szCs w:val="24"/>
        </w:rPr>
        <w:t>pomiędzy władzami odpowiedzialnymi</w:t>
      </w:r>
      <w:r w:rsidRPr="00281726">
        <w:rPr>
          <w:rFonts w:cstheme="minorHAnsi"/>
          <w:szCs w:val="24"/>
        </w:rPr>
        <w:t xml:space="preserve"> za transport, operatorem transportu i ewentualnie innymi podmiotami zaangażowanymi w świadczenie usług.</w:t>
      </w:r>
    </w:p>
    <w:p w14:paraId="0A4AE778" w14:textId="0177B9A0" w:rsidR="00E53D3B" w:rsidRDefault="00E53D3B" w:rsidP="00E53D3B">
      <w:pPr>
        <w:rPr>
          <w:rFonts w:cstheme="minorHAnsi"/>
          <w:szCs w:val="24"/>
        </w:rPr>
      </w:pPr>
      <w:r w:rsidRPr="004C4915">
        <w:rPr>
          <w:rFonts w:cstheme="minorHAnsi"/>
          <w:szCs w:val="24"/>
        </w:rPr>
        <w:t>Ponadto Wnioskodawca powinien wykazać, że zakupione aktywa projektu będą przeznaczone do usług, które są objęte umową o świadczenie usług publicznych, a przewidywana wielkość projektu, wymagany rodzaj aktywów projektu i ich funkcjonalność są odpowiednie z punktu widzenia zakresu świadczonych usług publicznych.</w:t>
      </w:r>
    </w:p>
    <w:p w14:paraId="426CDC8C" w14:textId="13FE26AE" w:rsidR="00C16CA4" w:rsidRPr="00344CBC" w:rsidRDefault="00E53D3B" w:rsidP="004C2B17">
      <w:pPr>
        <w:pStyle w:val="Nagwek2"/>
        <w:numPr>
          <w:ilvl w:val="1"/>
          <w:numId w:val="3"/>
        </w:numPr>
        <w:spacing w:before="0"/>
        <w:jc w:val="left"/>
        <w:rPr>
          <w:rFonts w:cstheme="minorHAnsi"/>
          <w:szCs w:val="24"/>
        </w:rPr>
      </w:pPr>
      <w:bookmarkStart w:id="6" w:name="_Toc160614662"/>
      <w:r>
        <w:lastRenderedPageBreak/>
        <w:t>Specyfikacja nabywanego taboru, sprzętu, urządzeń</w:t>
      </w:r>
      <w:bookmarkEnd w:id="6"/>
    </w:p>
    <w:p w14:paraId="0CEC3D38" w14:textId="6D221F53" w:rsidR="00F141F7" w:rsidRDefault="00F141F7" w:rsidP="00143C20">
      <w:pPr>
        <w:rPr>
          <w:rFonts w:cstheme="minorHAnsi"/>
          <w:szCs w:val="24"/>
        </w:rPr>
      </w:pPr>
      <w:r>
        <w:rPr>
          <w:rFonts w:cstheme="minorHAnsi"/>
          <w:szCs w:val="24"/>
        </w:rPr>
        <w:t>W przypadku gdy elementem projektu jest zakup taboru lub innych urządzeń, sprzętu, op</w:t>
      </w:r>
      <w:r w:rsidR="00E53D3B">
        <w:rPr>
          <w:rFonts w:cstheme="minorHAnsi"/>
          <w:szCs w:val="24"/>
        </w:rPr>
        <w:t>r</w:t>
      </w:r>
      <w:r>
        <w:rPr>
          <w:rFonts w:cstheme="minorHAnsi"/>
          <w:szCs w:val="24"/>
        </w:rPr>
        <w:t xml:space="preserve">ogramowania w niniejszym punkcie należy wskazać ich parametry techniczne. Należy zachować zgodność ze specyfikacją techniczną przedmiotu zakupu. </w:t>
      </w:r>
    </w:p>
    <w:tbl>
      <w:tblPr>
        <w:tblW w:w="9548" w:type="dxa"/>
        <w:tblInd w:w="70" w:type="dxa"/>
        <w:tblCellMar>
          <w:left w:w="0" w:type="dxa"/>
          <w:right w:w="0" w:type="dxa"/>
        </w:tblCellMar>
        <w:tblLook w:val="04A0" w:firstRow="1" w:lastRow="0" w:firstColumn="1" w:lastColumn="0" w:noHBand="0" w:noVBand="1"/>
      </w:tblPr>
      <w:tblGrid>
        <w:gridCol w:w="487"/>
        <w:gridCol w:w="3795"/>
        <w:gridCol w:w="869"/>
        <w:gridCol w:w="1271"/>
        <w:gridCol w:w="3126"/>
      </w:tblGrid>
      <w:tr w:rsidR="0068162B" w14:paraId="295536A6" w14:textId="77777777" w:rsidTr="0068162B">
        <w:trPr>
          <w:cantSplit/>
          <w:trHeight w:val="237"/>
        </w:trPr>
        <w:tc>
          <w:tcPr>
            <w:tcW w:w="487" w:type="dxa"/>
            <w:tcBorders>
              <w:top w:val="single" w:sz="8" w:space="0" w:color="auto"/>
              <w:left w:val="single" w:sz="8" w:space="0" w:color="auto"/>
              <w:bottom w:val="single" w:sz="8" w:space="0" w:color="auto"/>
              <w:right w:val="single" w:sz="8" w:space="0" w:color="auto"/>
            </w:tcBorders>
            <w:vAlign w:val="center"/>
            <w:hideMark/>
          </w:tcPr>
          <w:p w14:paraId="36CC2324" w14:textId="77777777" w:rsidR="0068162B" w:rsidRDefault="0068162B">
            <w:pPr>
              <w:jc w:val="center"/>
              <w:rPr>
                <w:rFonts w:cstheme="minorHAnsi"/>
                <w:b/>
                <w:bCs/>
                <w:szCs w:val="24"/>
              </w:rPr>
            </w:pPr>
            <w:r>
              <w:rPr>
                <w:rFonts w:cstheme="minorHAnsi"/>
                <w:b/>
                <w:bCs/>
                <w:szCs w:val="24"/>
              </w:rPr>
              <w:t>Lp.</w:t>
            </w:r>
          </w:p>
        </w:tc>
        <w:tc>
          <w:tcPr>
            <w:tcW w:w="37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6CE9C7" w14:textId="77777777" w:rsidR="0068162B" w:rsidRDefault="0068162B">
            <w:pPr>
              <w:jc w:val="center"/>
              <w:rPr>
                <w:rFonts w:cstheme="minorHAnsi"/>
                <w:b/>
                <w:bCs/>
                <w:szCs w:val="24"/>
              </w:rPr>
            </w:pPr>
            <w:r>
              <w:rPr>
                <w:rFonts w:cstheme="minorHAnsi"/>
                <w:b/>
                <w:bCs/>
                <w:szCs w:val="24"/>
              </w:rPr>
              <w:t>Nazwa urządzenia, sprzętu, oprogramowania</w:t>
            </w:r>
          </w:p>
        </w:tc>
        <w:tc>
          <w:tcPr>
            <w:tcW w:w="8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D515EFE" w14:textId="77777777" w:rsidR="0068162B" w:rsidRDefault="0068162B">
            <w:pPr>
              <w:jc w:val="center"/>
              <w:rPr>
                <w:rFonts w:cstheme="minorHAnsi"/>
                <w:b/>
                <w:bCs/>
                <w:szCs w:val="24"/>
              </w:rPr>
            </w:pPr>
            <w:r>
              <w:rPr>
                <w:rFonts w:cstheme="minorHAnsi"/>
                <w:b/>
                <w:bCs/>
                <w:szCs w:val="24"/>
              </w:rPr>
              <w:t>Ilość (sztuki)</w:t>
            </w:r>
          </w:p>
        </w:tc>
        <w:tc>
          <w:tcPr>
            <w:tcW w:w="12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B61F19" w14:textId="77777777" w:rsidR="0068162B" w:rsidRDefault="0068162B">
            <w:pPr>
              <w:jc w:val="center"/>
              <w:rPr>
                <w:rFonts w:cstheme="minorHAnsi"/>
                <w:b/>
                <w:bCs/>
                <w:szCs w:val="24"/>
              </w:rPr>
            </w:pPr>
            <w:r>
              <w:rPr>
                <w:rFonts w:cstheme="minorHAnsi"/>
                <w:b/>
                <w:bCs/>
                <w:szCs w:val="24"/>
              </w:rPr>
              <w:t>Wartość brutto (PLN)</w:t>
            </w:r>
          </w:p>
        </w:tc>
        <w:tc>
          <w:tcPr>
            <w:tcW w:w="3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D3E06B" w14:textId="77777777" w:rsidR="0068162B" w:rsidRDefault="0068162B">
            <w:pPr>
              <w:jc w:val="center"/>
              <w:rPr>
                <w:rFonts w:cstheme="minorHAnsi"/>
                <w:b/>
                <w:bCs/>
                <w:szCs w:val="24"/>
              </w:rPr>
            </w:pPr>
            <w:r>
              <w:rPr>
                <w:rFonts w:cstheme="minorHAnsi"/>
                <w:b/>
                <w:bCs/>
                <w:szCs w:val="24"/>
              </w:rPr>
              <w:t>Parametry techniczne</w:t>
            </w:r>
          </w:p>
        </w:tc>
      </w:tr>
      <w:tr w:rsidR="0068162B" w14:paraId="43DB9327"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451E469C" w14:textId="77777777" w:rsidR="0068162B" w:rsidRDefault="0068162B">
            <w:pPr>
              <w:jc w:val="center"/>
              <w:rPr>
                <w:rFonts w:cstheme="minorHAnsi"/>
                <w:szCs w:val="24"/>
              </w:rPr>
            </w:pPr>
            <w:r>
              <w:rPr>
                <w:rFonts w:cstheme="minorHAnsi"/>
                <w:szCs w:val="24"/>
              </w:rPr>
              <w:t>1.</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87B360" w14:textId="77777777" w:rsidR="0068162B"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31F94883" w14:textId="77777777" w:rsidR="0068162B"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435F8CE0" w14:textId="77777777" w:rsidR="0068162B"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43AC4B8F" w14:textId="77777777" w:rsidR="0068162B" w:rsidRDefault="0068162B">
            <w:pPr>
              <w:rPr>
                <w:rFonts w:cstheme="minorHAnsi"/>
                <w:szCs w:val="24"/>
              </w:rPr>
            </w:pPr>
          </w:p>
        </w:tc>
      </w:tr>
      <w:tr w:rsidR="0068162B" w14:paraId="7D192B74"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59A90FB7" w14:textId="77777777" w:rsidR="0068162B" w:rsidRDefault="0068162B">
            <w:pPr>
              <w:jc w:val="center"/>
              <w:rPr>
                <w:rFonts w:cstheme="minorHAnsi"/>
                <w:szCs w:val="24"/>
              </w:rPr>
            </w:pPr>
            <w:r>
              <w:rPr>
                <w:rFonts w:cstheme="minorHAnsi"/>
                <w:szCs w:val="24"/>
              </w:rPr>
              <w:t>2.</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CC36F" w14:textId="77777777" w:rsidR="0068162B"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5B725F00" w14:textId="77777777" w:rsidR="0068162B"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4DB36F7F" w14:textId="77777777" w:rsidR="0068162B"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77C93592" w14:textId="77777777" w:rsidR="0068162B" w:rsidRDefault="0068162B">
            <w:pPr>
              <w:rPr>
                <w:rFonts w:cstheme="minorHAnsi"/>
                <w:szCs w:val="24"/>
              </w:rPr>
            </w:pPr>
          </w:p>
        </w:tc>
      </w:tr>
      <w:tr w:rsidR="0068162B" w14:paraId="3BB8505A"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49A50670" w14:textId="77777777" w:rsidR="0068162B" w:rsidRDefault="0068162B">
            <w:pPr>
              <w:jc w:val="center"/>
              <w:rPr>
                <w:rFonts w:cstheme="minorHAnsi"/>
                <w:szCs w:val="24"/>
              </w:rPr>
            </w:pPr>
            <w:r>
              <w:rPr>
                <w:rFonts w:cstheme="minorHAnsi"/>
                <w:szCs w:val="24"/>
              </w:rPr>
              <w:t>3.</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F4D5EC" w14:textId="77777777" w:rsidR="0068162B"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7DBF9366" w14:textId="77777777" w:rsidR="0068162B"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3986BA00" w14:textId="77777777" w:rsidR="0068162B"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009A54EA" w14:textId="77777777" w:rsidR="0068162B" w:rsidRDefault="0068162B">
            <w:pPr>
              <w:rPr>
                <w:rFonts w:cstheme="minorHAnsi"/>
                <w:szCs w:val="24"/>
              </w:rPr>
            </w:pPr>
          </w:p>
        </w:tc>
      </w:tr>
      <w:tr w:rsidR="0068162B" w14:paraId="2938DC54"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28EF6124" w14:textId="77777777" w:rsidR="0068162B" w:rsidRDefault="0068162B">
            <w:pPr>
              <w:jc w:val="center"/>
              <w:rPr>
                <w:rFonts w:cstheme="minorHAnsi"/>
                <w:szCs w:val="24"/>
              </w:rPr>
            </w:pPr>
            <w:r>
              <w:rPr>
                <w:rFonts w:cstheme="minorHAnsi"/>
                <w:szCs w:val="24"/>
              </w:rPr>
              <w:t>n</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6E7C39" w14:textId="77777777" w:rsidR="0068162B"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63A03786" w14:textId="77777777" w:rsidR="0068162B"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147EFEF4" w14:textId="77777777" w:rsidR="0068162B"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67079701" w14:textId="77777777" w:rsidR="0068162B" w:rsidRDefault="0068162B">
            <w:pPr>
              <w:rPr>
                <w:rFonts w:cstheme="minorHAnsi"/>
                <w:szCs w:val="24"/>
              </w:rPr>
            </w:pPr>
          </w:p>
        </w:tc>
      </w:tr>
      <w:tr w:rsidR="0068162B" w14:paraId="6BDDCEAF" w14:textId="77777777" w:rsidTr="0068162B">
        <w:trPr>
          <w:gridBefore w:val="1"/>
          <w:gridAfter w:val="1"/>
          <w:wBefore w:w="487" w:type="dxa"/>
          <w:wAfter w:w="3126" w:type="dxa"/>
          <w:cantSplit/>
          <w:trHeight w:val="236"/>
        </w:trPr>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6949A0" w14:textId="77777777" w:rsidR="0068162B" w:rsidRDefault="0068162B">
            <w:pPr>
              <w:rPr>
                <w:rFonts w:cstheme="minorHAnsi"/>
                <w:b/>
                <w:bCs/>
                <w:szCs w:val="24"/>
              </w:rPr>
            </w:pPr>
            <w:r>
              <w:rPr>
                <w:rFonts w:cstheme="minorHAnsi"/>
                <w:b/>
                <w:bCs/>
                <w:szCs w:val="24"/>
              </w:rPr>
              <w:t>Razem</w:t>
            </w: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333A4110" w14:textId="77777777" w:rsidR="0068162B" w:rsidRDefault="0068162B">
            <w:pPr>
              <w:jc w:val="center"/>
              <w:rPr>
                <w:rFonts w:cstheme="minorHAnsi"/>
                <w:b/>
                <w:bCs/>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5CDED6A8" w14:textId="77777777" w:rsidR="0068162B" w:rsidRDefault="0068162B">
            <w:pPr>
              <w:ind w:right="75"/>
              <w:jc w:val="right"/>
              <w:rPr>
                <w:rFonts w:cstheme="minorHAnsi"/>
                <w:b/>
                <w:bCs/>
                <w:szCs w:val="24"/>
              </w:rPr>
            </w:pPr>
          </w:p>
        </w:tc>
      </w:tr>
    </w:tbl>
    <w:p w14:paraId="27BB14A6" w14:textId="5F2EEDE3" w:rsidR="0068162B" w:rsidRPr="00F141F7" w:rsidRDefault="0068162B" w:rsidP="00143C20">
      <w:pPr>
        <w:rPr>
          <w:rFonts w:cstheme="minorHAnsi"/>
          <w:szCs w:val="24"/>
        </w:rPr>
      </w:pPr>
    </w:p>
    <w:p w14:paraId="7ABE39DE" w14:textId="0E74E6A4" w:rsidR="00321BC5" w:rsidRPr="00321BC5" w:rsidRDefault="00053654" w:rsidP="00F141F7">
      <w:pPr>
        <w:pStyle w:val="Nagwek2"/>
        <w:numPr>
          <w:ilvl w:val="1"/>
          <w:numId w:val="3"/>
        </w:numPr>
        <w:spacing w:before="0"/>
        <w:jc w:val="left"/>
        <w:rPr>
          <w:rFonts w:cstheme="minorHAnsi"/>
          <w:szCs w:val="24"/>
        </w:rPr>
      </w:pPr>
      <w:bookmarkStart w:id="7" w:name="_Toc160614663"/>
      <w:r>
        <w:rPr>
          <w:rFonts w:cstheme="minorHAnsi"/>
          <w:szCs w:val="24"/>
        </w:rPr>
        <w:t>Projekt hybrydowy</w:t>
      </w:r>
      <w:bookmarkEnd w:id="7"/>
    </w:p>
    <w:p w14:paraId="7F9DB52F" w14:textId="718A70D0" w:rsidR="00321BC5" w:rsidRDefault="001D0A55" w:rsidP="00BD4848">
      <w:pPr>
        <w:spacing w:line="271" w:lineRule="auto"/>
      </w:pPr>
      <w:r>
        <w:t>W punkcie n</w:t>
      </w:r>
      <w:r w:rsidR="00321BC5">
        <w:t>ależy przedstawić informacje</w:t>
      </w:r>
      <w:r w:rsidR="0071731F">
        <w:t>,</w:t>
      </w:r>
      <w:r w:rsidR="00321BC5">
        <w:t xml:space="preserve"> czy projekt jest/będzie realizowany w formule projektu hybrydowego PPP lub w innym modelu z wykorz</w:t>
      </w:r>
      <w:r w:rsidR="00E002B3">
        <w:t>ystaniem kapitału prywatnego na przykład</w:t>
      </w:r>
      <w:r w:rsidR="00321BC5">
        <w:t xml:space="preserve"> formuła ESCO. Projekt hybrydowy polega na wspólnej realizacji projektu przez partnerstwo publ</w:t>
      </w:r>
      <w:r w:rsidR="00E002B3">
        <w:t>iczno-prywatne w rozumieniu artykuł</w:t>
      </w:r>
      <w:r w:rsidR="0071731F">
        <w:t>u</w:t>
      </w:r>
      <w:r w:rsidR="00321BC5">
        <w:t xml:space="preserve"> 2 p</w:t>
      </w:r>
      <w:r w:rsidR="00E002B3">
        <w:t>un</w:t>
      </w:r>
      <w:r w:rsidR="00321BC5">
        <w:t>kt</w:t>
      </w:r>
      <w:r w:rsidR="0071731F">
        <w:t>u</w:t>
      </w:r>
      <w:r w:rsidR="00321BC5">
        <w:t xml:space="preserve"> </w:t>
      </w:r>
      <w:r w:rsidR="00321BC5" w:rsidRPr="00C45046">
        <w:t xml:space="preserve">15 </w:t>
      </w:r>
      <w:r w:rsidR="00BD4848" w:rsidRPr="00143C20">
        <w:t>rozporządzenia Parlamentu Europejskiego i Rady (UE) 2021/1060 z dnia 24 czerwca 2021 r</w:t>
      </w:r>
      <w:r w:rsidR="00FD2FC0">
        <w:t>oku</w:t>
      </w:r>
      <w:r w:rsidR="00BD4848" w:rsidRPr="00143C20">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21BC5">
        <w:t xml:space="preserve">. Do wyboru partnera prywatnego w celu realizacji projektu hybrydowego stosuje się odpowiednie przepisy prawa. </w:t>
      </w:r>
    </w:p>
    <w:p w14:paraId="603CD2A5" w14:textId="77777777" w:rsidR="00321BC5" w:rsidRDefault="00321BC5" w:rsidP="004A6749">
      <w:pPr>
        <w:spacing w:line="271" w:lineRule="auto"/>
      </w:pPr>
      <w:r>
        <w:t xml:space="preserve">Projekty realizowane z wykorzystaniem kapitału prywatnego zapewniają </w:t>
      </w:r>
      <w:r w:rsidRPr="00FD2FC0">
        <w:t xml:space="preserve">wysokiej jakości usługi publiczne świadczone długoterminowo – sposób realizacji zadań oparty jest na wieloletniej umowie, określającej podział zadań i </w:t>
      </w:r>
      <w:proofErr w:type="spellStart"/>
      <w:r w:rsidRPr="00FD2FC0">
        <w:t>ryzyk</w:t>
      </w:r>
      <w:proofErr w:type="spellEnd"/>
      <w:r w:rsidRPr="00FD2FC0">
        <w:t xml:space="preserve"> pomiędzy podmiotem publicznym a</w:t>
      </w:r>
      <w:r>
        <w:t xml:space="preserve"> partnerem prywatnym. </w:t>
      </w:r>
    </w:p>
    <w:p w14:paraId="3DDF704E" w14:textId="63C229D8" w:rsidR="00080F3E" w:rsidRDefault="004A6749" w:rsidP="004A6749">
      <w:pPr>
        <w:rPr>
          <w:sz w:val="22"/>
        </w:rPr>
      </w:pPr>
      <w:r>
        <w:t>Ocena efektywności realizacji projektu w formule PPP, w tym jako projektu hybrydowego oraz analiza finansowa w przypadku projektów hybrydowych musi zostać przeprowadzona zgodnie z Rozdziałem 10 Wytycznych</w:t>
      </w:r>
      <w:r w:rsidR="00F27752">
        <w:t xml:space="preserve"> </w:t>
      </w:r>
      <w:r>
        <w:t>dotyczącymi zagadnień związanych z przygotowaniem projektów inwestycyjnych, w tym hybrydowych na lata</w:t>
      </w:r>
      <w:r w:rsidR="00080F3E">
        <w:t xml:space="preserve"> 2021-2027</w:t>
      </w:r>
      <w:r>
        <w:t xml:space="preserve"> oraz uwzględniać informacje zawarte w opracowanym przez Departament Partnerstwa Publiczno-Prywatnego w M</w:t>
      </w:r>
      <w:r w:rsidR="00D733B0">
        <w:t>inisterstw</w:t>
      </w:r>
      <w:r w:rsidR="00C97E68">
        <w:t>ie</w:t>
      </w:r>
      <w:r w:rsidR="00D733B0">
        <w:t xml:space="preserve"> </w:t>
      </w:r>
      <w:r>
        <w:t>F</w:t>
      </w:r>
      <w:r w:rsidR="00D733B0">
        <w:t xml:space="preserve">unduszy </w:t>
      </w:r>
      <w:r>
        <w:t>i</w:t>
      </w:r>
      <w:r w:rsidR="00D733B0">
        <w:t xml:space="preserve"> </w:t>
      </w:r>
      <w:r>
        <w:t>P</w:t>
      </w:r>
      <w:r w:rsidR="00D733B0">
        <w:t xml:space="preserve">olityki </w:t>
      </w:r>
      <w:r>
        <w:t>R</w:t>
      </w:r>
      <w:r w:rsidR="00D733B0">
        <w:t>egionalnej</w:t>
      </w:r>
      <w:r>
        <w:t xml:space="preserve"> dokumencie dostępnym pod adresem: </w:t>
      </w:r>
      <w:hyperlink r:id="rId10" w:history="1">
        <w:r>
          <w:rPr>
            <w:rStyle w:val="Hipercze"/>
          </w:rPr>
          <w:t>https://www.ppp.gov.pl/file.php?i=przegladarka-plikow/Nowa-ustawa-PZP-a-przygotowanie-PPP.pdf</w:t>
        </w:r>
      </w:hyperlink>
    </w:p>
    <w:p w14:paraId="4C31D66B" w14:textId="5AF299E2" w:rsidR="00E307AB" w:rsidRPr="00587B52" w:rsidRDefault="00857087" w:rsidP="008924A9">
      <w:pPr>
        <w:pStyle w:val="Nagwek1"/>
      </w:pPr>
      <w:bookmarkStart w:id="8" w:name="_Toc160614664"/>
      <w:r w:rsidRPr="00587B52">
        <w:t>Analiza zdolności finansowo-organizacyjnej Wnioskodawcy</w:t>
      </w:r>
      <w:bookmarkEnd w:id="8"/>
      <w:r w:rsidRPr="00587B52">
        <w:t xml:space="preserve"> </w:t>
      </w:r>
    </w:p>
    <w:p w14:paraId="28B0FDCC" w14:textId="4DF4BF0E" w:rsidR="00E307AB" w:rsidRPr="00587B52" w:rsidRDefault="00E307AB" w:rsidP="006424BB">
      <w:pPr>
        <w:rPr>
          <w:rFonts w:cstheme="minorHAnsi"/>
          <w:szCs w:val="24"/>
        </w:rPr>
      </w:pPr>
      <w:r w:rsidRPr="00587B52">
        <w:rPr>
          <w:rFonts w:cstheme="minorHAnsi"/>
          <w:szCs w:val="24"/>
        </w:rPr>
        <w:t>Należy wykazać, że Wnioskodawca jest odpowiednio przygotowany do utrzymania efektów realizacji projektu pod względem organizacyjnym, technicznym i finansowym, w tym:</w:t>
      </w:r>
    </w:p>
    <w:p w14:paraId="290540A5" w14:textId="77777777" w:rsidR="00E307AB" w:rsidRPr="00587B52" w:rsidRDefault="00E307AB" w:rsidP="004C2B17">
      <w:pPr>
        <w:pStyle w:val="Akapitzlist"/>
        <w:numPr>
          <w:ilvl w:val="0"/>
          <w:numId w:val="6"/>
        </w:numPr>
        <w:rPr>
          <w:rFonts w:cstheme="minorHAnsi"/>
          <w:szCs w:val="24"/>
        </w:rPr>
      </w:pPr>
      <w:r w:rsidRPr="00587B52">
        <w:rPr>
          <w:rFonts w:cstheme="minorHAnsi"/>
          <w:szCs w:val="24"/>
        </w:rPr>
        <w:t>wskazać zagwarantowane źródła i mechanizmy finansowania zadań,</w:t>
      </w:r>
    </w:p>
    <w:p w14:paraId="616B42D2" w14:textId="5CF88157" w:rsidR="00D54463" w:rsidRPr="00587B52" w:rsidRDefault="00E307AB" w:rsidP="004C2B17">
      <w:pPr>
        <w:pStyle w:val="Akapitzlist"/>
        <w:numPr>
          <w:ilvl w:val="0"/>
          <w:numId w:val="6"/>
        </w:numPr>
        <w:rPr>
          <w:rFonts w:cstheme="minorHAnsi"/>
          <w:szCs w:val="24"/>
        </w:rPr>
      </w:pPr>
      <w:r w:rsidRPr="00587B52">
        <w:rPr>
          <w:rFonts w:cstheme="minorHAnsi"/>
          <w:szCs w:val="24"/>
        </w:rPr>
        <w:t>przedstawić opis zdolności finansowo-organizacyjnej, w szczególności w zakresie potencjału technicznego, kadrowego i finansowego niezbędnego do utrzymania efektów realizac</w:t>
      </w:r>
      <w:r w:rsidR="00FD2FC0">
        <w:rPr>
          <w:rFonts w:cstheme="minorHAnsi"/>
          <w:szCs w:val="24"/>
        </w:rPr>
        <w:t>ji projektu w okresie trwałości</w:t>
      </w:r>
      <w:r w:rsidRPr="00587B52">
        <w:rPr>
          <w:rFonts w:cstheme="minorHAnsi"/>
          <w:szCs w:val="24"/>
        </w:rPr>
        <w:t xml:space="preserve"> tak</w:t>
      </w:r>
      <w:r w:rsidR="00FD2FC0">
        <w:rPr>
          <w:rFonts w:cstheme="minorHAnsi"/>
          <w:szCs w:val="24"/>
        </w:rPr>
        <w:t>,</w:t>
      </w:r>
      <w:r w:rsidRPr="00587B52">
        <w:rPr>
          <w:rFonts w:cstheme="minorHAnsi"/>
          <w:szCs w:val="24"/>
        </w:rPr>
        <w:t xml:space="preserve"> aby było możliwe zapewnienie w tym okresie świadczeni</w:t>
      </w:r>
      <w:r w:rsidR="00F30E27">
        <w:rPr>
          <w:rFonts w:cstheme="minorHAnsi"/>
          <w:szCs w:val="24"/>
        </w:rPr>
        <w:t>e</w:t>
      </w:r>
      <w:r w:rsidRPr="00587B52">
        <w:rPr>
          <w:rFonts w:cstheme="minorHAnsi"/>
          <w:szCs w:val="24"/>
        </w:rPr>
        <w:t xml:space="preserve"> usług na poziomie nie niższym niż zrealizowany w projekcie,</w:t>
      </w:r>
    </w:p>
    <w:p w14:paraId="679F1421" w14:textId="70A5C482" w:rsidR="00F27752" w:rsidRDefault="00E307AB" w:rsidP="00F27752">
      <w:pPr>
        <w:pStyle w:val="Akapitzlist"/>
        <w:numPr>
          <w:ilvl w:val="0"/>
          <w:numId w:val="6"/>
        </w:numPr>
        <w:rPr>
          <w:rFonts w:cstheme="minorHAnsi"/>
          <w:szCs w:val="24"/>
        </w:rPr>
      </w:pPr>
      <w:r w:rsidRPr="00587B52">
        <w:rPr>
          <w:rFonts w:cstheme="minorHAnsi"/>
          <w:szCs w:val="24"/>
        </w:rPr>
        <w:t xml:space="preserve">wskazać podmioty odpowiedzialne za utrzymanie trwałości projektu </w:t>
      </w:r>
      <w:r w:rsidR="00E3634D" w:rsidRPr="00587B52">
        <w:rPr>
          <w:rFonts w:cstheme="minorHAnsi"/>
          <w:szCs w:val="24"/>
        </w:rPr>
        <w:t>oraz rolę, jaką pełnią w organizacjach</w:t>
      </w:r>
      <w:r w:rsidR="00E3634D" w:rsidRPr="00587B52" w:rsidDel="00D917FD">
        <w:rPr>
          <w:rFonts w:cstheme="minorHAnsi"/>
          <w:szCs w:val="24"/>
        </w:rPr>
        <w:t xml:space="preserve"> </w:t>
      </w:r>
      <w:r w:rsidRPr="00587B52">
        <w:rPr>
          <w:rFonts w:cstheme="minorHAnsi"/>
          <w:szCs w:val="24"/>
        </w:rPr>
        <w:t>(trwałość projektu musi być zachowana przez okres 5 lat (3 lat w przypadku MŚP – w odniesieniu do projektów, z którymi związany jest wymóg utrzymania inwestycji lub miejsc pracy) od daty płatności końcowej na rzecz beneficjenta. W</w:t>
      </w:r>
      <w:r w:rsidR="00FD2FC0">
        <w:rPr>
          <w:rFonts w:cstheme="minorHAnsi"/>
          <w:szCs w:val="24"/>
        </w:rPr>
        <w:t> </w:t>
      </w:r>
      <w:r w:rsidRPr="00587B52">
        <w:rPr>
          <w:rFonts w:cstheme="minorHAnsi"/>
          <w:szCs w:val="24"/>
        </w:rPr>
        <w:t>przypadku, gdy przepisy regulujące udzielanie pomocy publicznej wprowadzają inne wymogi w tym zakresie, wówczas stosuje się okres ustalony zgodnie z tymi przepisami)</w:t>
      </w:r>
      <w:r w:rsidR="00E3634D">
        <w:rPr>
          <w:rFonts w:cstheme="minorHAnsi"/>
          <w:szCs w:val="24"/>
        </w:rPr>
        <w:t>.</w:t>
      </w:r>
    </w:p>
    <w:p w14:paraId="6E912E90" w14:textId="77777777" w:rsidR="007214AD" w:rsidRPr="007214AD" w:rsidRDefault="007214AD" w:rsidP="007214AD">
      <w:pPr>
        <w:ind w:left="360"/>
        <w:rPr>
          <w:szCs w:val="24"/>
        </w:rPr>
      </w:pPr>
      <w:r w:rsidRPr="007214AD">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 innymi partnerami.</w:t>
      </w:r>
      <w:r w:rsidRPr="003F0C21">
        <w:t xml:space="preserve"> </w:t>
      </w:r>
      <w:r w:rsidRPr="007214AD">
        <w:rPr>
          <w:szCs w:val="24"/>
        </w:rPr>
        <w:t>Wnioskodawca powinien przedstawić potencjał poszczególnych partnerów do skutecznej realizacji przypisanych im zadań w projekcie, podział zadań w ramach partnerstwa na każdym etapie realizacji projektu.</w:t>
      </w:r>
    </w:p>
    <w:p w14:paraId="2270B487" w14:textId="77777777" w:rsidR="007214AD" w:rsidRPr="00F27752" w:rsidRDefault="007214AD" w:rsidP="007214AD">
      <w:pPr>
        <w:pStyle w:val="Akapitzlist"/>
        <w:rPr>
          <w:rFonts w:cstheme="minorHAnsi"/>
          <w:szCs w:val="24"/>
        </w:rPr>
      </w:pPr>
    </w:p>
    <w:p w14:paraId="0BA966E8" w14:textId="58789E32" w:rsidR="00857087" w:rsidRPr="00587B52" w:rsidRDefault="00E307AB" w:rsidP="008924A9">
      <w:pPr>
        <w:pStyle w:val="Nagwek1"/>
      </w:pPr>
      <w:bookmarkStart w:id="9" w:name="_Toc160614665"/>
      <w:r w:rsidRPr="00587B52">
        <w:t>Analiza występowania pomocy publicznej w projekcie</w:t>
      </w:r>
      <w:bookmarkEnd w:id="9"/>
    </w:p>
    <w:p w14:paraId="6CAFAEE4" w14:textId="39F5B7B1" w:rsidR="00B75B38" w:rsidRPr="00587B52" w:rsidRDefault="00B75B38" w:rsidP="006424BB">
      <w:pPr>
        <w:rPr>
          <w:rFonts w:cstheme="minorHAnsi"/>
          <w:szCs w:val="24"/>
        </w:rPr>
      </w:pPr>
      <w:r w:rsidRPr="00587B52">
        <w:rPr>
          <w:rFonts w:cstheme="minorHAnsi"/>
          <w:szCs w:val="24"/>
        </w:rPr>
        <w:t xml:space="preserve">Należy zbadać i określić, czy planowane wsparcie stanowi pomoc publiczną w rozumieniu </w:t>
      </w:r>
      <w:r w:rsidR="002D2E4A">
        <w:rPr>
          <w:rFonts w:cstheme="minorHAnsi"/>
          <w:szCs w:val="24"/>
        </w:rPr>
        <w:t>artykułu 107 ustęp</w:t>
      </w:r>
      <w:r w:rsidR="00413F73">
        <w:rPr>
          <w:rFonts w:cstheme="minorHAnsi"/>
          <w:szCs w:val="24"/>
        </w:rPr>
        <w:t xml:space="preserve"> </w:t>
      </w:r>
      <w:r w:rsidRPr="00587B52">
        <w:rPr>
          <w:rFonts w:cstheme="minorHAnsi"/>
          <w:szCs w:val="24"/>
        </w:rPr>
        <w:t>1 Traktatu o funkcjonowaniu Unii Europejskiej (TFUE), a Wnioskodawca jest traktowany jako przedsiębiorca</w:t>
      </w:r>
      <w:r w:rsidR="00D917FD">
        <w:rPr>
          <w:rFonts w:cstheme="minorHAnsi"/>
          <w:szCs w:val="24"/>
        </w:rPr>
        <w:t>,</w:t>
      </w:r>
      <w:r w:rsidRPr="00587B52">
        <w:rPr>
          <w:rFonts w:cstheme="minorHAnsi"/>
          <w:szCs w:val="24"/>
        </w:rPr>
        <w:t xml:space="preserve"> o którym mowa w przytoczonym artykule. </w:t>
      </w:r>
      <w:r w:rsidRPr="001E0D27">
        <w:rPr>
          <w:rFonts w:cstheme="minorHAnsi"/>
          <w:szCs w:val="24"/>
        </w:rPr>
        <w:t xml:space="preserve">Pojęcie „przedsiębiorstwa” zdefiniowane jest w </w:t>
      </w:r>
      <w:r w:rsidR="00413F73" w:rsidRPr="001E0D27">
        <w:rPr>
          <w:rFonts w:cstheme="minorHAnsi"/>
          <w:szCs w:val="24"/>
        </w:rPr>
        <w:t>artykule 1 załączniku</w:t>
      </w:r>
      <w:r w:rsidRPr="001E0D27">
        <w:rPr>
          <w:rFonts w:cstheme="minorHAnsi"/>
          <w:szCs w:val="24"/>
        </w:rPr>
        <w:t xml:space="preserve"> </w:t>
      </w:r>
      <w:r w:rsidR="002613A1" w:rsidRPr="001E0D27">
        <w:rPr>
          <w:rFonts w:cstheme="minorHAnsi"/>
          <w:szCs w:val="24"/>
        </w:rPr>
        <w:t xml:space="preserve">1 </w:t>
      </w:r>
      <w:r w:rsidR="009758E8">
        <w:rPr>
          <w:rFonts w:cstheme="minorHAnsi"/>
          <w:szCs w:val="24"/>
        </w:rPr>
        <w:t xml:space="preserve">rozporządzenia Komisji (UE) </w:t>
      </w:r>
      <w:r w:rsidRPr="001E0D27">
        <w:rPr>
          <w:rFonts w:cstheme="minorHAnsi"/>
          <w:szCs w:val="24"/>
        </w:rPr>
        <w:t>651/2014 z dnia 17</w:t>
      </w:r>
      <w:r w:rsidRPr="00587B52">
        <w:rPr>
          <w:rFonts w:cstheme="minorHAnsi"/>
          <w:szCs w:val="24"/>
        </w:rPr>
        <w:t xml:space="preserve"> czerwca 2014 r</w:t>
      </w:r>
      <w:r w:rsidR="00413F73">
        <w:rPr>
          <w:rFonts w:cstheme="minorHAnsi"/>
          <w:szCs w:val="24"/>
        </w:rPr>
        <w:t>oku</w:t>
      </w:r>
      <w:r w:rsidRPr="00587B52">
        <w:rPr>
          <w:rFonts w:cstheme="minorHAnsi"/>
          <w:szCs w:val="24"/>
        </w:rPr>
        <w:t xml:space="preserve"> uznające</w:t>
      </w:r>
      <w:r w:rsidR="005C510D" w:rsidRPr="00587B52">
        <w:rPr>
          <w:rFonts w:cstheme="minorHAnsi"/>
          <w:szCs w:val="24"/>
        </w:rPr>
        <w:t>go</w:t>
      </w:r>
      <w:r w:rsidRPr="00587B52">
        <w:rPr>
          <w:rFonts w:cstheme="minorHAnsi"/>
          <w:szCs w:val="24"/>
        </w:rPr>
        <w:t xml:space="preserve"> niektóre rodzaje pomocy za zgodne z rynkiem wewnętrznym w zastos</w:t>
      </w:r>
      <w:r w:rsidR="00555D2A" w:rsidRPr="00587B52">
        <w:rPr>
          <w:rFonts w:cstheme="minorHAnsi"/>
          <w:szCs w:val="24"/>
        </w:rPr>
        <w:t>owaniu art</w:t>
      </w:r>
      <w:r w:rsidR="00413F73">
        <w:rPr>
          <w:rFonts w:cstheme="minorHAnsi"/>
          <w:szCs w:val="24"/>
        </w:rPr>
        <w:t>ykułu</w:t>
      </w:r>
      <w:r w:rsidR="00555D2A" w:rsidRPr="00587B52">
        <w:rPr>
          <w:rFonts w:cstheme="minorHAnsi"/>
          <w:szCs w:val="24"/>
        </w:rPr>
        <w:t xml:space="preserve"> 107 i 108 Traktatu</w:t>
      </w:r>
      <w:r w:rsidRPr="00587B52">
        <w:rPr>
          <w:rFonts w:cstheme="minorHAnsi"/>
          <w:szCs w:val="24"/>
        </w:rPr>
        <w:t>. Zgodnie z w</w:t>
      </w:r>
      <w:r w:rsidR="00413F73">
        <w:rPr>
          <w:rFonts w:cstheme="minorHAnsi"/>
          <w:szCs w:val="24"/>
        </w:rPr>
        <w:t>yżej wymienionym</w:t>
      </w:r>
      <w:r w:rsidRPr="00587B52">
        <w:rPr>
          <w:rFonts w:cstheme="minorHAnsi"/>
          <w:szCs w:val="24"/>
        </w:rPr>
        <w:t xml:space="preserve">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3496C12" w14:textId="15BBA8A1" w:rsidR="00B75B38" w:rsidRPr="00587B52" w:rsidRDefault="00413F73" w:rsidP="006424BB">
      <w:pPr>
        <w:rPr>
          <w:rFonts w:cstheme="minorHAnsi"/>
          <w:szCs w:val="24"/>
        </w:rPr>
      </w:pPr>
      <w:r>
        <w:rPr>
          <w:rFonts w:cstheme="minorHAnsi"/>
          <w:szCs w:val="24"/>
        </w:rPr>
        <w:t>Zgodnie z przepisem artykułu 107 ustępu</w:t>
      </w:r>
      <w:r w:rsidR="00B75B38" w:rsidRPr="00587B52">
        <w:rPr>
          <w:rFonts w:cstheme="minorHAnsi"/>
          <w:szCs w:val="24"/>
        </w:rPr>
        <w:t xml:space="preserve"> 1 TFUE, wsparcie finansowe dla podmiotu prowadzącego działalność gospodarczą stanowi pomoc publiczną, jeżeli jednocześnie spełnione są następujące warunki: </w:t>
      </w:r>
    </w:p>
    <w:p w14:paraId="42C3D7E3" w14:textId="3BA36B13" w:rsidR="00B75B38" w:rsidRPr="00587B52" w:rsidRDefault="00B75B38" w:rsidP="004C2B17">
      <w:pPr>
        <w:pStyle w:val="Akapitzlist"/>
        <w:numPr>
          <w:ilvl w:val="0"/>
          <w:numId w:val="5"/>
        </w:numPr>
        <w:rPr>
          <w:rFonts w:cstheme="minorHAnsi"/>
          <w:szCs w:val="24"/>
        </w:rPr>
      </w:pPr>
      <w:r w:rsidRPr="00587B52">
        <w:rPr>
          <w:rFonts w:cstheme="minorHAnsi"/>
          <w:szCs w:val="24"/>
        </w:rPr>
        <w:lastRenderedPageBreak/>
        <w:t xml:space="preserve">Udzielane jest ono z budżetu państwa lub z innych środków publicznych, </w:t>
      </w:r>
    </w:p>
    <w:p w14:paraId="6E3E0823" w14:textId="7F6D447D" w:rsidR="00B75B38" w:rsidRPr="00587B52" w:rsidRDefault="00B75B38" w:rsidP="004C2B17">
      <w:pPr>
        <w:pStyle w:val="Akapitzlist"/>
        <w:numPr>
          <w:ilvl w:val="0"/>
          <w:numId w:val="5"/>
        </w:numPr>
        <w:rPr>
          <w:rFonts w:cstheme="minorHAnsi"/>
          <w:szCs w:val="24"/>
        </w:rPr>
      </w:pPr>
      <w:r w:rsidRPr="00587B52">
        <w:rPr>
          <w:rFonts w:cstheme="minorHAnsi"/>
          <w:szCs w:val="24"/>
        </w:rPr>
        <w:t xml:space="preserve">Przedsiębiorstwo uzyskuje przysporzenie na warunkach korzystniejszych od oferowanych na rynku, </w:t>
      </w:r>
    </w:p>
    <w:p w14:paraId="5CCB1D66" w14:textId="10C509CA" w:rsidR="00B75B38" w:rsidRPr="00587B52" w:rsidRDefault="00B75B38" w:rsidP="004C2B17">
      <w:pPr>
        <w:pStyle w:val="Akapitzlist"/>
        <w:numPr>
          <w:ilvl w:val="0"/>
          <w:numId w:val="5"/>
        </w:numPr>
        <w:rPr>
          <w:rFonts w:cstheme="minorHAnsi"/>
          <w:szCs w:val="24"/>
        </w:rPr>
      </w:pPr>
      <w:r w:rsidRPr="00587B52">
        <w:rPr>
          <w:rFonts w:cstheme="minorHAnsi"/>
          <w:szCs w:val="24"/>
        </w:rPr>
        <w:t xml:space="preserve">Ma charakter selektywny (uprzywilejowuje określone przedsiębiorstwo lub przedsiębiorstwa albo produkcję określonych towarów), </w:t>
      </w:r>
    </w:p>
    <w:p w14:paraId="7733C777" w14:textId="7C9AD56D" w:rsidR="00B75B38" w:rsidRDefault="00B75B38" w:rsidP="004C2B17">
      <w:pPr>
        <w:pStyle w:val="Akapitzlist"/>
        <w:numPr>
          <w:ilvl w:val="0"/>
          <w:numId w:val="5"/>
        </w:numPr>
        <w:rPr>
          <w:rFonts w:cstheme="minorHAnsi"/>
          <w:szCs w:val="24"/>
        </w:rPr>
      </w:pPr>
      <w:r w:rsidRPr="00587B52">
        <w:rPr>
          <w:rFonts w:cstheme="minorHAnsi"/>
          <w:szCs w:val="24"/>
        </w:rPr>
        <w:t>Grozi zakłóceniem lub zakłóca konkurencję oraz wpływa na wymianę handlową między państwami członkowskimi UE.</w:t>
      </w:r>
    </w:p>
    <w:p w14:paraId="56337C91" w14:textId="1456F2BF" w:rsidR="005514B3" w:rsidRPr="005514B3" w:rsidRDefault="005514B3" w:rsidP="005514B3">
      <w:pPr>
        <w:rPr>
          <w:rFonts w:cstheme="minorHAnsi"/>
          <w:szCs w:val="24"/>
        </w:rPr>
      </w:pPr>
      <w:r w:rsidRPr="0032232A">
        <w:rPr>
          <w:rFonts w:cstheme="minorHAnsi"/>
          <w:szCs w:val="24"/>
        </w:rPr>
        <w:t xml:space="preserve">W przypadku projektów, których elementem jest zakup taboru dla transportu publicznego, nie wyklucza się wystąpienia pomocy publicznej, dlatego też należy zwrócić uwagę na przepisy prawa polskiego i unijnego (w tym w </w:t>
      </w:r>
      <w:r w:rsidR="009758E8" w:rsidRPr="0032232A">
        <w:rPr>
          <w:rFonts w:cstheme="minorHAnsi"/>
          <w:szCs w:val="24"/>
        </w:rPr>
        <w:t xml:space="preserve">szczególności rozporządzenia </w:t>
      </w:r>
      <w:r w:rsidRPr="0032232A">
        <w:rPr>
          <w:rFonts w:cstheme="minorHAnsi"/>
          <w:szCs w:val="24"/>
        </w:rPr>
        <w:t>1370/2007).</w:t>
      </w:r>
      <w:r w:rsidRPr="005514B3">
        <w:rPr>
          <w:rFonts w:cstheme="minorHAnsi"/>
          <w:szCs w:val="24"/>
        </w:rPr>
        <w:t xml:space="preserve"> </w:t>
      </w:r>
    </w:p>
    <w:p w14:paraId="4E898F26" w14:textId="37936626" w:rsidR="005514B3" w:rsidRPr="005514B3" w:rsidRDefault="005514B3" w:rsidP="005514B3">
      <w:pPr>
        <w:rPr>
          <w:rFonts w:cstheme="minorHAnsi"/>
          <w:szCs w:val="24"/>
        </w:rPr>
      </w:pPr>
      <w:r w:rsidRPr="005514B3">
        <w:rPr>
          <w:rFonts w:cstheme="minorHAnsi"/>
          <w:szCs w:val="24"/>
        </w:rPr>
        <w:t>Rekompensata z tytułu świadczenia usług publicznych w transporcie</w:t>
      </w:r>
      <w:r w:rsidR="006D7733">
        <w:rPr>
          <w:rFonts w:cstheme="minorHAnsi"/>
          <w:szCs w:val="24"/>
        </w:rPr>
        <w:t xml:space="preserve"> </w:t>
      </w:r>
      <w:r w:rsidR="006D7733" w:rsidRPr="00B22E56">
        <w:rPr>
          <w:rFonts w:cstheme="minorHAnsi"/>
          <w:szCs w:val="24"/>
        </w:rPr>
        <w:t>zbiorowym</w:t>
      </w:r>
      <w:r w:rsidRPr="005514B3">
        <w:rPr>
          <w:rFonts w:cstheme="minorHAnsi"/>
          <w:szCs w:val="24"/>
        </w:rPr>
        <w:t xml:space="preserve"> stanowi pomoc publiczną zgodną z zasadami rynk</w:t>
      </w:r>
      <w:r w:rsidR="00AA7D54">
        <w:rPr>
          <w:rFonts w:cstheme="minorHAnsi"/>
          <w:szCs w:val="24"/>
        </w:rPr>
        <w:t>u wewnętrznego na podstawie artykułu</w:t>
      </w:r>
      <w:r w:rsidRPr="005514B3">
        <w:rPr>
          <w:rFonts w:cstheme="minorHAnsi"/>
          <w:szCs w:val="24"/>
        </w:rPr>
        <w:t xml:space="preserve"> 93 TFUE i nie podlega obowiązkowi notyfikacji, o ile przy jej udzielaniu zachowane zostały wszystkie zasady wynikając</w:t>
      </w:r>
      <w:r w:rsidR="009758E8">
        <w:rPr>
          <w:rFonts w:cstheme="minorHAnsi"/>
          <w:szCs w:val="24"/>
        </w:rPr>
        <w:t xml:space="preserve">e z rozporządzenia </w:t>
      </w:r>
      <w:r w:rsidR="00AA7D54">
        <w:rPr>
          <w:rFonts w:cstheme="minorHAnsi"/>
          <w:szCs w:val="24"/>
        </w:rPr>
        <w:t xml:space="preserve">1370/2007. </w:t>
      </w:r>
      <w:r w:rsidRPr="005514B3">
        <w:rPr>
          <w:rFonts w:cstheme="minorHAnsi"/>
          <w:szCs w:val="24"/>
        </w:rPr>
        <w:t xml:space="preserve">Na Wnioskodawcy spoczywa obowiązek wykazania, że sposób powierzenia świadczenia usług publicznych operatorowi jest zgodny z obowiązującymi w tym zakresie przepisami prawa krajowego, a sposób ustalania i przekazywania operatorowi rekompensaty jest zgodny z postanowieniami </w:t>
      </w:r>
      <w:r w:rsidR="009758E8">
        <w:rPr>
          <w:rFonts w:cstheme="minorHAnsi"/>
          <w:szCs w:val="24"/>
        </w:rPr>
        <w:t xml:space="preserve">załącznika do rozporządzenia </w:t>
      </w:r>
      <w:r w:rsidRPr="005514B3">
        <w:rPr>
          <w:rFonts w:cstheme="minorHAnsi"/>
          <w:szCs w:val="24"/>
        </w:rPr>
        <w:t>1370/2007, a co za tym idzie pomoc ta jest zgodna z rynkiem wewnę</w:t>
      </w:r>
      <w:r w:rsidR="00CC3C4F">
        <w:rPr>
          <w:rFonts w:cstheme="minorHAnsi"/>
          <w:szCs w:val="24"/>
        </w:rPr>
        <w:t>trznym. Reguły określone w tym z</w:t>
      </w:r>
      <w:r w:rsidRPr="005514B3">
        <w:rPr>
          <w:rFonts w:cstheme="minorHAnsi"/>
          <w:szCs w:val="24"/>
        </w:rPr>
        <w:t>ałączniku, powinny być ściśle respektowane w odniesieniu do wykonywania usługi publicznej przez jednostkę samorządu terytorialnego (za pomocą samorządowego zakładu budżetowego), bezpośredniego powierzenia tej usługi podmiotowi wewnętrznemu, bezpośredniego powierze</w:t>
      </w:r>
      <w:r w:rsidR="00AA7D54">
        <w:rPr>
          <w:rFonts w:cstheme="minorHAnsi"/>
          <w:szCs w:val="24"/>
        </w:rPr>
        <w:t>nia tej usługi na podstawie artykułu 5 ustęp</w:t>
      </w:r>
      <w:r w:rsidR="00CC3C4F">
        <w:rPr>
          <w:rFonts w:cstheme="minorHAnsi"/>
          <w:szCs w:val="24"/>
        </w:rPr>
        <w:t>y</w:t>
      </w:r>
      <w:r w:rsidRPr="005514B3">
        <w:rPr>
          <w:rFonts w:cstheme="minorHAnsi"/>
          <w:szCs w:val="24"/>
        </w:rPr>
        <w:t xml:space="preserve"> 4, 5 i 6 rozpor</w:t>
      </w:r>
      <w:r w:rsidR="009758E8">
        <w:rPr>
          <w:rFonts w:cstheme="minorHAnsi"/>
          <w:szCs w:val="24"/>
        </w:rPr>
        <w:t xml:space="preserve">ządzenia </w:t>
      </w:r>
      <w:r w:rsidR="00AA7D54">
        <w:rPr>
          <w:rFonts w:cstheme="minorHAnsi"/>
          <w:szCs w:val="24"/>
        </w:rPr>
        <w:t>1370/2007 (patrz punkt 1 z</w:t>
      </w:r>
      <w:r w:rsidRPr="005514B3">
        <w:rPr>
          <w:rFonts w:cstheme="minorHAnsi"/>
          <w:szCs w:val="24"/>
        </w:rPr>
        <w:t>ałącznika do rozpo</w:t>
      </w:r>
      <w:r w:rsidR="009758E8">
        <w:rPr>
          <w:rFonts w:cstheme="minorHAnsi"/>
          <w:szCs w:val="24"/>
        </w:rPr>
        <w:t xml:space="preserve">rządzenia </w:t>
      </w:r>
      <w:r w:rsidR="00AA7D54">
        <w:rPr>
          <w:rFonts w:cstheme="minorHAnsi"/>
          <w:szCs w:val="24"/>
        </w:rPr>
        <w:t>1370/2007 oraz artykuł 22 ustęp</w:t>
      </w:r>
      <w:r w:rsidRPr="005514B3">
        <w:rPr>
          <w:rFonts w:cstheme="minorHAnsi"/>
          <w:szCs w:val="24"/>
        </w:rPr>
        <w:t xml:space="preserve"> 1 p</w:t>
      </w:r>
      <w:r w:rsidR="00AA7D54">
        <w:rPr>
          <w:rFonts w:cstheme="minorHAnsi"/>
          <w:szCs w:val="24"/>
        </w:rPr>
        <w:t>unkt</w:t>
      </w:r>
      <w:r w:rsidR="009758E8">
        <w:rPr>
          <w:rFonts w:cstheme="minorHAnsi"/>
          <w:szCs w:val="24"/>
        </w:rPr>
        <w:t>y</w:t>
      </w:r>
      <w:r w:rsidR="00AA7D54">
        <w:rPr>
          <w:rFonts w:cstheme="minorHAnsi"/>
          <w:szCs w:val="24"/>
        </w:rPr>
        <w:t xml:space="preserve"> 1, 3 i 4 w związku z artykułem 22 ustęp</w:t>
      </w:r>
      <w:r w:rsidRPr="005514B3">
        <w:rPr>
          <w:rFonts w:cstheme="minorHAnsi"/>
          <w:szCs w:val="24"/>
        </w:rPr>
        <w:t xml:space="preserve"> 4 ustawy o publ</w:t>
      </w:r>
      <w:r>
        <w:rPr>
          <w:rFonts w:cstheme="minorHAnsi"/>
          <w:szCs w:val="24"/>
        </w:rPr>
        <w:t xml:space="preserve">icznym transporcie zbiorowym). </w:t>
      </w:r>
    </w:p>
    <w:p w14:paraId="0E4589A9" w14:textId="7E795806" w:rsidR="005514B3" w:rsidRPr="005514B3" w:rsidRDefault="005514B3" w:rsidP="005514B3">
      <w:pPr>
        <w:rPr>
          <w:rFonts w:cstheme="minorHAnsi"/>
          <w:szCs w:val="24"/>
        </w:rPr>
      </w:pPr>
      <w:r w:rsidRPr="005514B3">
        <w:rPr>
          <w:rFonts w:cstheme="minorHAnsi"/>
          <w:szCs w:val="24"/>
        </w:rPr>
        <w:t xml:space="preserve">Kryteriami pozwalającymi ustalić, czy dane wsparcie przyznane w związku ze świadczeniem usług </w:t>
      </w:r>
      <w:r w:rsidRPr="00B22E56">
        <w:rPr>
          <w:rFonts w:cstheme="minorHAnsi"/>
          <w:szCs w:val="24"/>
        </w:rPr>
        <w:t>publicznych</w:t>
      </w:r>
      <w:r w:rsidR="006D7733" w:rsidRPr="00B22E56">
        <w:rPr>
          <w:rFonts w:cstheme="minorHAnsi"/>
          <w:szCs w:val="24"/>
        </w:rPr>
        <w:t xml:space="preserve"> w transporcie </w:t>
      </w:r>
      <w:r w:rsidR="00CD3148" w:rsidRPr="00B22E56">
        <w:rPr>
          <w:rFonts w:cstheme="minorHAnsi"/>
          <w:szCs w:val="24"/>
        </w:rPr>
        <w:t>zbiorowym</w:t>
      </w:r>
      <w:r w:rsidRPr="00B22E56">
        <w:rPr>
          <w:rFonts w:cstheme="minorHAnsi"/>
          <w:szCs w:val="24"/>
        </w:rPr>
        <w:t xml:space="preserve"> stanowi</w:t>
      </w:r>
      <w:r w:rsidRPr="005514B3">
        <w:rPr>
          <w:rFonts w:cstheme="minorHAnsi"/>
          <w:szCs w:val="24"/>
        </w:rPr>
        <w:t xml:space="preserve"> pomoc publiczną w</w:t>
      </w:r>
      <w:r w:rsidR="00AA7D54">
        <w:rPr>
          <w:rFonts w:cstheme="minorHAnsi"/>
          <w:szCs w:val="24"/>
        </w:rPr>
        <w:t xml:space="preserve"> rozumieniu artykuł 107 ustęp</w:t>
      </w:r>
      <w:r w:rsidRPr="005514B3">
        <w:rPr>
          <w:rFonts w:cstheme="minorHAnsi"/>
          <w:szCs w:val="24"/>
        </w:rPr>
        <w:t xml:space="preserve"> 1 TFUE, są cztery kryteria wskazane w wyroku Trybunału Sprawiedliwości w sprawie C-280/006. Łączne spełnienie tych kryteriów powoduje, że rekompensata z tytułu świadczenia usług publicznych nie stanowi pomocy publicznej. Treść tych kryteriów jest następująca:</w:t>
      </w:r>
    </w:p>
    <w:p w14:paraId="1CBEDE9B" w14:textId="79553D6D" w:rsidR="005514B3" w:rsidRPr="00E53D3B" w:rsidRDefault="005514B3" w:rsidP="00E601FD">
      <w:pPr>
        <w:pStyle w:val="Akapitzlist"/>
        <w:numPr>
          <w:ilvl w:val="0"/>
          <w:numId w:val="17"/>
        </w:numPr>
        <w:rPr>
          <w:rFonts w:cstheme="minorHAnsi"/>
          <w:szCs w:val="24"/>
        </w:rPr>
      </w:pPr>
      <w:r w:rsidRPr="00E53D3B">
        <w:rPr>
          <w:rFonts w:cstheme="minorHAnsi"/>
          <w:szCs w:val="24"/>
        </w:rPr>
        <w:t>przedsiębiorstwo jest zobowiązane do świadczenia usługi publicznej i ją wykonuje, a jednocześnie usługa ta jest jasno zdefiniowana;</w:t>
      </w:r>
    </w:p>
    <w:p w14:paraId="616E9B5A" w14:textId="6F2EC127" w:rsidR="005514B3" w:rsidRPr="00F27752" w:rsidRDefault="005514B3" w:rsidP="00E601FD">
      <w:pPr>
        <w:pStyle w:val="Akapitzlist"/>
        <w:numPr>
          <w:ilvl w:val="0"/>
          <w:numId w:val="17"/>
        </w:numPr>
        <w:rPr>
          <w:rFonts w:cstheme="minorHAnsi"/>
          <w:szCs w:val="24"/>
        </w:rPr>
      </w:pPr>
      <w:r w:rsidRPr="00F27752">
        <w:rPr>
          <w:rFonts w:cstheme="minorHAnsi"/>
          <w:szCs w:val="24"/>
        </w:rPr>
        <w:t>w celu uniknięcia przyznania korzyści ekonomicznej, która może faworyzować wybrane przedsiębiorstwo w stosunku do konkurencji, parametry na podstawie których ustala się rekompensatę powinny być określone obiektywnie i transparentnie zanim nastąpi nałożenie zobowiązania do świadczenia usług publicznych;</w:t>
      </w:r>
    </w:p>
    <w:p w14:paraId="6B4AAAA1" w14:textId="782CA1E1" w:rsidR="005514B3" w:rsidRPr="00F27752" w:rsidRDefault="005514B3" w:rsidP="00E601FD">
      <w:pPr>
        <w:pStyle w:val="Akapitzlist"/>
        <w:numPr>
          <w:ilvl w:val="0"/>
          <w:numId w:val="17"/>
        </w:numPr>
        <w:rPr>
          <w:rFonts w:cstheme="minorHAnsi"/>
          <w:szCs w:val="24"/>
        </w:rPr>
      </w:pPr>
      <w:r w:rsidRPr="00F27752">
        <w:rPr>
          <w:rFonts w:cstheme="minorHAnsi"/>
          <w:szCs w:val="24"/>
        </w:rPr>
        <w:t>rekompensata nie może przekroczyć kosztów poniesionych w związku z realizacją usługi publicznej z uwzględnieniem wpływów z tej usługi oraz rozsądnego zysku;</w:t>
      </w:r>
    </w:p>
    <w:p w14:paraId="04AB66A0" w14:textId="32C7E454" w:rsidR="001132BB" w:rsidRPr="00033632" w:rsidRDefault="00242667" w:rsidP="00E601FD">
      <w:pPr>
        <w:pStyle w:val="Akapitzlist"/>
        <w:numPr>
          <w:ilvl w:val="0"/>
          <w:numId w:val="17"/>
        </w:numPr>
        <w:rPr>
          <w:rFonts w:cstheme="minorHAnsi"/>
          <w:szCs w:val="24"/>
        </w:rPr>
      </w:pPr>
      <w:r w:rsidRPr="00033632">
        <w:rPr>
          <w:rFonts w:cstheme="minorHAnsi"/>
          <w:szCs w:val="24"/>
        </w:rPr>
        <w:t xml:space="preserve">jeżeli przedsiębiorstwo nie zostało wybrane zgodnie z procedurami zamówień publicznych gwarantującymi, że usługa będzie zapewniona po najmniejszym koszcie dla społeczności, </w:t>
      </w:r>
      <w:r w:rsidRPr="00033632">
        <w:rPr>
          <w:rFonts w:cstheme="minorHAnsi"/>
          <w:szCs w:val="24"/>
        </w:rPr>
        <w:lastRenderedPageBreak/>
        <w:t>rekompensata nie może przekraczać kosztów, jakie poniosłoby typowe przedsiębiorstwo, dobrze zarządzane i odpowiednio wyposażone do realizacji usługi publicznej, z uwzględnieniem wpływów generowanych przez usługę i rozsądnego zysku.</w:t>
      </w:r>
    </w:p>
    <w:p w14:paraId="10F97A83" w14:textId="1DF837D6" w:rsidR="007B23EA" w:rsidRPr="00587B52" w:rsidRDefault="007B23EA" w:rsidP="008924A9">
      <w:pPr>
        <w:pStyle w:val="Nagwek1"/>
      </w:pPr>
      <w:bookmarkStart w:id="10" w:name="_Toc138156792"/>
      <w:bookmarkStart w:id="11" w:name="_Toc138156836"/>
      <w:bookmarkStart w:id="12" w:name="_Toc138156911"/>
      <w:bookmarkStart w:id="13" w:name="_Toc138156954"/>
      <w:bookmarkStart w:id="14" w:name="_Toc138156996"/>
      <w:bookmarkStart w:id="15" w:name="_Toc138157038"/>
      <w:bookmarkStart w:id="16" w:name="_Toc138157598"/>
      <w:bookmarkStart w:id="17" w:name="_Toc138161174"/>
      <w:bookmarkStart w:id="18" w:name="_Toc138234693"/>
      <w:bookmarkStart w:id="19" w:name="_Toc138236571"/>
      <w:bookmarkStart w:id="20" w:name="_Toc138240058"/>
      <w:bookmarkStart w:id="21" w:name="_Toc138240101"/>
      <w:bookmarkStart w:id="22" w:name="_Toc131062214"/>
      <w:bookmarkStart w:id="23" w:name="_Toc160614666"/>
      <w:bookmarkEnd w:id="10"/>
      <w:bookmarkEnd w:id="11"/>
      <w:bookmarkEnd w:id="12"/>
      <w:bookmarkEnd w:id="13"/>
      <w:bookmarkEnd w:id="14"/>
      <w:bookmarkEnd w:id="15"/>
      <w:bookmarkEnd w:id="16"/>
      <w:bookmarkEnd w:id="17"/>
      <w:bookmarkEnd w:id="18"/>
      <w:bookmarkEnd w:id="19"/>
      <w:bookmarkEnd w:id="20"/>
      <w:bookmarkEnd w:id="21"/>
      <w:r w:rsidRPr="00587B52">
        <w:t>Zgodność projektu z dokumentami strategicznymi i programowymi</w:t>
      </w:r>
      <w:bookmarkEnd w:id="22"/>
      <w:bookmarkEnd w:id="23"/>
    </w:p>
    <w:p w14:paraId="01A13959" w14:textId="17D35E0C" w:rsidR="007B23EA" w:rsidRPr="00587B52" w:rsidRDefault="007B23EA" w:rsidP="004C2B17">
      <w:pPr>
        <w:pStyle w:val="Nagwek2"/>
        <w:numPr>
          <w:ilvl w:val="1"/>
          <w:numId w:val="3"/>
        </w:numPr>
        <w:spacing w:before="0"/>
        <w:jc w:val="left"/>
        <w:rPr>
          <w:rFonts w:cstheme="minorHAnsi"/>
          <w:szCs w:val="24"/>
        </w:rPr>
      </w:pPr>
      <w:bookmarkStart w:id="24" w:name="_Toc131062216"/>
      <w:bookmarkStart w:id="25" w:name="_Toc160614667"/>
      <w:r w:rsidRPr="00587B52">
        <w:rPr>
          <w:rFonts w:cstheme="minorHAnsi"/>
          <w:szCs w:val="24"/>
        </w:rPr>
        <w:t>Kart</w:t>
      </w:r>
      <w:r w:rsidR="00E307AB" w:rsidRPr="00587B52">
        <w:rPr>
          <w:rFonts w:cstheme="minorHAnsi"/>
          <w:szCs w:val="24"/>
        </w:rPr>
        <w:t>a</w:t>
      </w:r>
      <w:r w:rsidRPr="00587B52">
        <w:rPr>
          <w:rFonts w:cstheme="minorHAnsi"/>
          <w:szCs w:val="24"/>
        </w:rPr>
        <w:t xml:space="preserve"> Praw Podstawowych Unii Europejskiej (KPP)</w:t>
      </w:r>
      <w:bookmarkEnd w:id="24"/>
      <w:bookmarkEnd w:id="25"/>
    </w:p>
    <w:p w14:paraId="2121B79E" w14:textId="5BD5C87A" w:rsidR="007B23EA" w:rsidRPr="00587B52" w:rsidRDefault="007B23EA" w:rsidP="006424BB">
      <w:pPr>
        <w:rPr>
          <w:rFonts w:eastAsia="Calibri" w:cstheme="minorHAnsi"/>
          <w:szCs w:val="24"/>
        </w:rPr>
      </w:pPr>
      <w:r w:rsidRPr="00587B52">
        <w:rPr>
          <w:rFonts w:eastAsia="Calibri" w:cstheme="minorHAnsi"/>
          <w:szCs w:val="24"/>
        </w:rPr>
        <w:t>Należy wykazać zgodność projektu z Kartą Praw Podstawowych Unii Europejskiej z dnia 26 października 2012</w:t>
      </w:r>
      <w:r w:rsidR="00413F73">
        <w:rPr>
          <w:rFonts w:eastAsia="Calibri" w:cstheme="minorHAnsi"/>
          <w:szCs w:val="24"/>
        </w:rPr>
        <w:t xml:space="preserve"> </w:t>
      </w:r>
      <w:r w:rsidRPr="00587B52">
        <w:rPr>
          <w:rFonts w:eastAsia="Calibri" w:cstheme="minorHAnsi"/>
          <w:szCs w:val="24"/>
        </w:rPr>
        <w:t>r</w:t>
      </w:r>
      <w:r w:rsidR="00413F73">
        <w:rPr>
          <w:rFonts w:eastAsia="Calibri" w:cstheme="minorHAnsi"/>
          <w:szCs w:val="24"/>
        </w:rPr>
        <w:t>oku</w:t>
      </w:r>
      <w:r w:rsidRPr="00587B52">
        <w:rPr>
          <w:rFonts w:eastAsia="Calibri" w:cstheme="minorHAnsi"/>
          <w:szCs w:val="24"/>
        </w:rPr>
        <w:t>.</w:t>
      </w:r>
    </w:p>
    <w:p w14:paraId="258DE94A" w14:textId="6ADAC8FB" w:rsidR="007B23EA" w:rsidRPr="00587B52" w:rsidRDefault="007B23EA" w:rsidP="006424BB">
      <w:pPr>
        <w:rPr>
          <w:rFonts w:eastAsia="Calibri" w:cstheme="minorHAnsi"/>
          <w:szCs w:val="24"/>
        </w:rPr>
      </w:pPr>
      <w:r w:rsidRPr="00587B52">
        <w:rPr>
          <w:rFonts w:eastAsia="Calibri" w:cstheme="minorHAnsi"/>
          <w:szCs w:val="24"/>
        </w:rPr>
        <w:t xml:space="preserve">Zgodność </w:t>
      </w:r>
      <w:r w:rsidR="00D06166" w:rsidRPr="00587B52">
        <w:rPr>
          <w:rFonts w:eastAsia="Calibri" w:cstheme="minorHAnsi"/>
          <w:szCs w:val="24"/>
        </w:rPr>
        <w:t xml:space="preserve">tę </w:t>
      </w:r>
      <w:r w:rsidRPr="00587B52">
        <w:rPr>
          <w:rFonts w:eastAsia="Calibri" w:cstheme="minorHAnsi"/>
          <w:szCs w:val="24"/>
        </w:rPr>
        <w:t xml:space="preserve">należy rozumieć jako brak sprzeczności pomiędzy zapisami projektu a wymogami </w:t>
      </w:r>
      <w:r w:rsidR="00D06166" w:rsidRPr="00587B52">
        <w:rPr>
          <w:rFonts w:eastAsia="Calibri" w:cstheme="minorHAnsi"/>
          <w:szCs w:val="24"/>
        </w:rPr>
        <w:t xml:space="preserve">KPP </w:t>
      </w:r>
      <w:r w:rsidRPr="00587B52">
        <w:rPr>
          <w:rFonts w:eastAsia="Calibri" w:cstheme="minorHAnsi"/>
          <w:szCs w:val="24"/>
        </w:rPr>
        <w:t>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w:t>
      </w:r>
      <w:r w:rsidR="0043306B">
        <w:rPr>
          <w:rFonts w:eastAsia="Calibri" w:cstheme="minorHAnsi"/>
          <w:szCs w:val="24"/>
        </w:rPr>
        <w:t>h, w szczególności załącznika numer</w:t>
      </w:r>
      <w:r w:rsidRPr="00587B52">
        <w:rPr>
          <w:rFonts w:eastAsia="Calibri" w:cstheme="minorHAnsi"/>
          <w:szCs w:val="24"/>
        </w:rPr>
        <w:t xml:space="preserve"> III. </w:t>
      </w:r>
    </w:p>
    <w:p w14:paraId="503B8666" w14:textId="6FD7A655" w:rsidR="007B23EA" w:rsidRPr="00587B52" w:rsidRDefault="007B23EA" w:rsidP="006424BB">
      <w:pPr>
        <w:rPr>
          <w:rFonts w:eastAsia="Calibri" w:cstheme="minorHAnsi"/>
          <w:szCs w:val="24"/>
        </w:rPr>
      </w:pPr>
      <w:r w:rsidRPr="00587B52">
        <w:rPr>
          <w:rFonts w:eastAsia="Calibri" w:cstheme="minorHAnsi"/>
          <w:szCs w:val="24"/>
        </w:rPr>
        <w:t>W celu potwierdzenia zgodności projektu z Kartą Praw Podstawowych Unii Euro</w:t>
      </w:r>
      <w:r w:rsidR="00CF0E63">
        <w:rPr>
          <w:rFonts w:eastAsia="Calibri" w:cstheme="minorHAnsi"/>
          <w:szCs w:val="24"/>
        </w:rPr>
        <w:t>pejskiej należy odpowiedzieć na</w:t>
      </w:r>
      <w:r w:rsidR="00143C20">
        <w:rPr>
          <w:rFonts w:eastAsia="Calibri" w:cstheme="minorHAnsi"/>
          <w:szCs w:val="24"/>
        </w:rPr>
        <w:t xml:space="preserve"> </w:t>
      </w:r>
      <w:r w:rsidRPr="00587B52">
        <w:rPr>
          <w:rFonts w:eastAsia="Calibri" w:cstheme="minorHAnsi"/>
          <w:szCs w:val="24"/>
        </w:rPr>
        <w:t xml:space="preserve">poniższe pytania, które stanowią ogólne wskazówki: </w:t>
      </w:r>
    </w:p>
    <w:p w14:paraId="169FD654" w14:textId="22BA5E9C" w:rsidR="007B23EA" w:rsidRPr="00587B52" w:rsidRDefault="007B23EA" w:rsidP="006424BB">
      <w:pPr>
        <w:rPr>
          <w:rFonts w:eastAsia="Calibri" w:cstheme="minorHAnsi"/>
          <w:szCs w:val="24"/>
        </w:rPr>
      </w:pPr>
      <w:r w:rsidRPr="00587B52">
        <w:rPr>
          <w:rFonts w:eastAsia="Calibri" w:cstheme="minorHAnsi"/>
          <w:b/>
          <w:szCs w:val="24"/>
        </w:rPr>
        <w:t>Kwestie ogólne:</w:t>
      </w:r>
      <w:r w:rsidRPr="00587B52">
        <w:rPr>
          <w:rFonts w:eastAsia="Calibri" w:cstheme="minorHAnsi"/>
          <w:szCs w:val="24"/>
        </w:rPr>
        <w:t xml:space="preserve"> Których praw podstawowych dotyczy projekt? Czy przedmiotowe prawa stanowią prawa absolutne (które nie podlegają żadnym ograniczeniom, </w:t>
      </w:r>
      <w:r w:rsidR="006424BB">
        <w:rPr>
          <w:rFonts w:eastAsia="Calibri" w:cstheme="minorHAnsi"/>
          <w:szCs w:val="24"/>
        </w:rPr>
        <w:t>na przykład</w:t>
      </w:r>
      <w:r w:rsidRPr="00587B52">
        <w:rPr>
          <w:rFonts w:eastAsia="Calibri" w:cstheme="minorHAnsi"/>
          <w:szCs w:val="24"/>
        </w:rPr>
        <w:t xml:space="preserve"> godność człowieka</w:t>
      </w:r>
      <w:r w:rsidR="00700446">
        <w:rPr>
          <w:rFonts w:eastAsia="Calibri" w:cstheme="minorHAnsi"/>
          <w:szCs w:val="24"/>
        </w:rPr>
        <w:t>)</w:t>
      </w:r>
      <w:r w:rsidRPr="00587B52">
        <w:rPr>
          <w:rFonts w:eastAsia="Calibri" w:cstheme="minorHAnsi"/>
          <w:szCs w:val="24"/>
        </w:rPr>
        <w:t>? Czy działania przewidziane w projekcie m</w:t>
      </w:r>
      <w:r w:rsidR="005C510D" w:rsidRPr="00587B52">
        <w:rPr>
          <w:rFonts w:eastAsia="Calibri" w:cstheme="minorHAnsi"/>
          <w:szCs w:val="24"/>
        </w:rPr>
        <w:t>aj</w:t>
      </w:r>
      <w:r w:rsidRPr="00587B52">
        <w:rPr>
          <w:rFonts w:eastAsia="Calibri" w:cstheme="minorHAnsi"/>
          <w:szCs w:val="24"/>
        </w:rPr>
        <w:t>ą zarówno korzystny, jak i niekorzystny wpływ w zależności od praw podstawowych, których dotyczą (</w:t>
      </w:r>
      <w:r w:rsidR="006424BB">
        <w:rPr>
          <w:rFonts w:eastAsia="Calibri" w:cstheme="minorHAnsi"/>
          <w:szCs w:val="24"/>
        </w:rPr>
        <w:t>na przykład</w:t>
      </w:r>
      <w:r w:rsidRPr="00587B52">
        <w:rPr>
          <w:rFonts w:eastAsia="Calibri" w:cstheme="minorHAnsi"/>
          <w:szCs w:val="24"/>
        </w:rPr>
        <w:t xml:space="preserve"> niekorzystny wpływ na wolność słowa i korzystny wpływ na prawo własności intelektualnej)?</w:t>
      </w:r>
    </w:p>
    <w:p w14:paraId="0CEE1974" w14:textId="1E3E74C6" w:rsidR="007B23EA" w:rsidRPr="00587B52" w:rsidRDefault="007B23EA" w:rsidP="006424BB">
      <w:pPr>
        <w:rPr>
          <w:rFonts w:eastAsia="Calibri" w:cstheme="minorHAnsi"/>
          <w:szCs w:val="24"/>
        </w:rPr>
      </w:pPr>
      <w:r w:rsidRPr="00587B52">
        <w:rPr>
          <w:rFonts w:eastAsia="Calibri" w:cstheme="minorHAnsi"/>
          <w:b/>
          <w:szCs w:val="24"/>
        </w:rPr>
        <w:t>Godność:</w:t>
      </w:r>
      <w:r w:rsidRPr="00587B52">
        <w:rPr>
          <w:rFonts w:eastAsia="Calibri" w:cstheme="minorHAnsi"/>
          <w:szCs w:val="24"/>
        </w:rPr>
        <w:t xml:space="preserve"> Czy projekt ma wpływ na godność człowieka, prawo do życia lub prawo do integralności osoby? Czy projekt dotyczy kwestii (</w:t>
      </w:r>
      <w:proofErr w:type="spellStart"/>
      <w:r w:rsidRPr="00587B52">
        <w:rPr>
          <w:rFonts w:eastAsia="Calibri" w:cstheme="minorHAnsi"/>
          <w:szCs w:val="24"/>
        </w:rPr>
        <w:t>bio</w:t>
      </w:r>
      <w:proofErr w:type="spellEnd"/>
      <w:r w:rsidRPr="00587B52">
        <w:rPr>
          <w:rFonts w:eastAsia="Calibri" w:cstheme="minorHAns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25532ED0" w14:textId="77777777" w:rsidR="007B23EA" w:rsidRPr="00587B52" w:rsidRDefault="007B23EA" w:rsidP="006424BB">
      <w:pPr>
        <w:rPr>
          <w:rFonts w:eastAsia="Calibri" w:cstheme="minorHAnsi"/>
          <w:szCs w:val="24"/>
        </w:rPr>
      </w:pPr>
      <w:r w:rsidRPr="00587B52">
        <w:rPr>
          <w:rFonts w:eastAsia="Calibri" w:cstheme="minorHAnsi"/>
          <w:b/>
          <w:szCs w:val="24"/>
        </w:rPr>
        <w:t>Osoby prywatne, życie prywatne i rodzinne, wolność sumienia i wolność słowa</w:t>
      </w:r>
      <w:r w:rsidRPr="00587B52">
        <w:rPr>
          <w:rFonts w:eastAsia="Calibri" w:cstheme="minorHAnsi"/>
          <w:szCs w:val="24"/>
        </w:rPr>
        <w:t>: Czy projekt ma wpływ na:</w:t>
      </w:r>
    </w:p>
    <w:p w14:paraId="0337B9D5" w14:textId="77777777" w:rsidR="007B23EA" w:rsidRPr="00587B52" w:rsidRDefault="007B23EA" w:rsidP="004C2B17">
      <w:pPr>
        <w:pStyle w:val="Akapitzlist"/>
        <w:numPr>
          <w:ilvl w:val="2"/>
          <w:numId w:val="12"/>
        </w:numPr>
        <w:ind w:left="709" w:hanging="322"/>
        <w:rPr>
          <w:rFonts w:cstheme="minorHAnsi"/>
          <w:szCs w:val="24"/>
        </w:rPr>
      </w:pPr>
      <w:r w:rsidRPr="00587B52">
        <w:rPr>
          <w:rFonts w:cstheme="minorHAnsi"/>
          <w:szCs w:val="24"/>
        </w:rPr>
        <w:t xml:space="preserve">prawo do wolności osób prywatnych?, </w:t>
      </w:r>
    </w:p>
    <w:p w14:paraId="0BE0D2CF" w14:textId="77777777" w:rsidR="007B23EA" w:rsidRPr="00587B52" w:rsidRDefault="007B23EA" w:rsidP="004C2B17">
      <w:pPr>
        <w:pStyle w:val="Akapitzlist"/>
        <w:numPr>
          <w:ilvl w:val="2"/>
          <w:numId w:val="12"/>
        </w:numPr>
        <w:ind w:left="709" w:hanging="322"/>
        <w:rPr>
          <w:rFonts w:cstheme="minorHAnsi"/>
          <w:szCs w:val="24"/>
        </w:rPr>
      </w:pPr>
      <w:r w:rsidRPr="00587B52">
        <w:rPr>
          <w:rFonts w:cstheme="minorHAnsi"/>
          <w:szCs w:val="24"/>
        </w:rPr>
        <w:t xml:space="preserve">prawo do prywatności życia prywatnego (w tym domu i wysyłanych i odbieranych informacji)?, </w:t>
      </w:r>
    </w:p>
    <w:p w14:paraId="4B040C0B" w14:textId="77777777" w:rsidR="007B23EA" w:rsidRPr="00587B52" w:rsidRDefault="007B23EA" w:rsidP="004C2B17">
      <w:pPr>
        <w:pStyle w:val="Akapitzlist"/>
        <w:numPr>
          <w:ilvl w:val="2"/>
          <w:numId w:val="12"/>
        </w:numPr>
        <w:ind w:left="709" w:hanging="322"/>
        <w:rPr>
          <w:rFonts w:cstheme="minorHAnsi"/>
          <w:szCs w:val="24"/>
        </w:rPr>
      </w:pPr>
      <w:r w:rsidRPr="00587B52">
        <w:rPr>
          <w:rFonts w:cstheme="minorHAnsi"/>
          <w:szCs w:val="24"/>
        </w:rPr>
        <w:t xml:space="preserve">prawo osoby prywatnej do swobodnego przemieszczania się na terenie UE?, </w:t>
      </w:r>
    </w:p>
    <w:p w14:paraId="754EDF58" w14:textId="77777777" w:rsidR="007B23EA" w:rsidRPr="00587B52" w:rsidRDefault="007B23EA" w:rsidP="004C2B17">
      <w:pPr>
        <w:pStyle w:val="Akapitzlist"/>
        <w:numPr>
          <w:ilvl w:val="2"/>
          <w:numId w:val="12"/>
        </w:numPr>
        <w:ind w:left="709" w:hanging="322"/>
        <w:rPr>
          <w:rFonts w:cstheme="minorHAnsi"/>
          <w:szCs w:val="24"/>
        </w:rPr>
      </w:pPr>
      <w:r w:rsidRPr="00587B52">
        <w:rPr>
          <w:rFonts w:cstheme="minorHAnsi"/>
          <w:szCs w:val="24"/>
        </w:rPr>
        <w:t>prawo do zawarcia małżeństwa i na prawo do założenia rodziny lub na prawną, gospodarczą i społeczną ochronę rodziny?,</w:t>
      </w:r>
    </w:p>
    <w:p w14:paraId="6DDB3052" w14:textId="77777777" w:rsidR="007B23EA" w:rsidRPr="00587B52" w:rsidRDefault="007B23EA" w:rsidP="004C2B17">
      <w:pPr>
        <w:pStyle w:val="Akapitzlist"/>
        <w:numPr>
          <w:ilvl w:val="2"/>
          <w:numId w:val="12"/>
        </w:numPr>
        <w:ind w:left="709" w:hanging="322"/>
        <w:rPr>
          <w:rFonts w:cstheme="minorHAnsi"/>
          <w:szCs w:val="24"/>
        </w:rPr>
      </w:pPr>
      <w:r w:rsidRPr="00587B52">
        <w:rPr>
          <w:rFonts w:cstheme="minorHAnsi"/>
          <w:szCs w:val="24"/>
        </w:rPr>
        <w:t>wolność myśli, sumienia i religii?,</w:t>
      </w:r>
    </w:p>
    <w:p w14:paraId="0CD9B5A6" w14:textId="77777777" w:rsidR="007B23EA" w:rsidRPr="00587B52" w:rsidRDefault="007B23EA" w:rsidP="004C2B17">
      <w:pPr>
        <w:pStyle w:val="Akapitzlist"/>
        <w:numPr>
          <w:ilvl w:val="2"/>
          <w:numId w:val="12"/>
        </w:numPr>
        <w:ind w:left="709" w:hanging="322"/>
        <w:rPr>
          <w:rFonts w:cstheme="minorHAnsi"/>
          <w:szCs w:val="24"/>
        </w:rPr>
      </w:pPr>
      <w:r w:rsidRPr="00587B52">
        <w:rPr>
          <w:rFonts w:cstheme="minorHAnsi"/>
          <w:szCs w:val="24"/>
        </w:rPr>
        <w:t>wolność wypowiedzi i informacji?,</w:t>
      </w:r>
    </w:p>
    <w:p w14:paraId="171A5E86" w14:textId="3544FEE5" w:rsidR="007B23EA" w:rsidRPr="00587B52" w:rsidRDefault="007B23EA" w:rsidP="004C2B17">
      <w:pPr>
        <w:pStyle w:val="Akapitzlist"/>
        <w:numPr>
          <w:ilvl w:val="2"/>
          <w:numId w:val="12"/>
        </w:numPr>
        <w:ind w:left="709" w:hanging="322"/>
        <w:rPr>
          <w:rFonts w:cstheme="minorHAnsi"/>
          <w:szCs w:val="24"/>
        </w:rPr>
      </w:pPr>
      <w:r w:rsidRPr="00587B52">
        <w:rPr>
          <w:rFonts w:cstheme="minorHAnsi"/>
          <w:szCs w:val="24"/>
        </w:rPr>
        <w:t xml:space="preserve">wolność zrzeszania się i zgromadzeń?, </w:t>
      </w:r>
    </w:p>
    <w:p w14:paraId="69A8FD83" w14:textId="32F35F93" w:rsidR="007B23EA" w:rsidRPr="00587B52" w:rsidRDefault="007B23EA" w:rsidP="004C2B17">
      <w:pPr>
        <w:pStyle w:val="Akapitzlist"/>
        <w:numPr>
          <w:ilvl w:val="2"/>
          <w:numId w:val="12"/>
        </w:numPr>
        <w:ind w:left="709" w:hanging="322"/>
        <w:rPr>
          <w:rFonts w:eastAsia="Calibri" w:cstheme="minorHAnsi"/>
          <w:szCs w:val="24"/>
        </w:rPr>
      </w:pPr>
      <w:r w:rsidRPr="00587B52">
        <w:rPr>
          <w:rFonts w:cstheme="minorHAnsi"/>
          <w:szCs w:val="24"/>
        </w:rPr>
        <w:t>wolność sztuk i nauk?</w:t>
      </w:r>
    </w:p>
    <w:p w14:paraId="13128BB2" w14:textId="77777777" w:rsidR="007B23EA" w:rsidRPr="00587B52" w:rsidRDefault="007B23EA" w:rsidP="006424BB">
      <w:pPr>
        <w:rPr>
          <w:rFonts w:eastAsia="Calibri" w:cstheme="minorHAnsi"/>
          <w:szCs w:val="24"/>
        </w:rPr>
      </w:pPr>
      <w:r w:rsidRPr="00587B52">
        <w:rPr>
          <w:rFonts w:eastAsia="Calibri" w:cstheme="minorHAnsi"/>
          <w:b/>
          <w:szCs w:val="24"/>
        </w:rPr>
        <w:lastRenderedPageBreak/>
        <w:t>Dane osobowe</w:t>
      </w:r>
      <w:r w:rsidRPr="00587B52">
        <w:rPr>
          <w:rFonts w:eastAsia="Calibri" w:cstheme="minorHAns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985DDDE" w14:textId="77777777" w:rsidR="007B23EA" w:rsidRPr="00587B52" w:rsidRDefault="007B23EA" w:rsidP="006424BB">
      <w:pPr>
        <w:rPr>
          <w:rFonts w:eastAsia="Calibri" w:cstheme="minorHAnsi"/>
          <w:szCs w:val="24"/>
        </w:rPr>
      </w:pPr>
      <w:r w:rsidRPr="00587B52">
        <w:rPr>
          <w:rFonts w:eastAsia="Calibri" w:cstheme="minorHAnsi"/>
          <w:b/>
          <w:szCs w:val="24"/>
        </w:rPr>
        <w:t>Azyl i ochrona w przypadku usunięcia z terytorium państwa, wydalenia lub ekstradycji:</w:t>
      </w:r>
      <w:r w:rsidRPr="00587B52">
        <w:rPr>
          <w:rFonts w:eastAsia="Calibri" w:cstheme="minorHAns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2F9D5BF3" w14:textId="77777777" w:rsidR="007B23EA" w:rsidRPr="00587B52" w:rsidRDefault="007B23EA" w:rsidP="006424BB">
      <w:pPr>
        <w:rPr>
          <w:rFonts w:eastAsia="Calibri" w:cstheme="minorHAnsi"/>
          <w:szCs w:val="24"/>
        </w:rPr>
      </w:pPr>
      <w:r w:rsidRPr="00587B52">
        <w:rPr>
          <w:rFonts w:eastAsia="Calibri" w:cstheme="minorHAnsi"/>
          <w:b/>
          <w:szCs w:val="24"/>
        </w:rPr>
        <w:t>Prawa własności i prawo do prowadzenia działalności gospodarczej:</w:t>
      </w:r>
      <w:r w:rsidRPr="00587B52">
        <w:rPr>
          <w:rFonts w:eastAsia="Calibri" w:cstheme="minorHAnsi"/>
          <w:szCs w:val="24"/>
        </w:rPr>
        <w:t xml:space="preserve"> Czy projekt ma wpływ na prawa własności (prawo do ziemi, do posiadania majątku ruchomego i wartości niematerialnych i 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42DD4C00" w14:textId="7C04275D" w:rsidR="007B23EA" w:rsidRPr="00587B52" w:rsidRDefault="007B23EA" w:rsidP="006424BB">
      <w:pPr>
        <w:rPr>
          <w:rFonts w:eastAsia="Calibri" w:cstheme="minorHAnsi"/>
          <w:szCs w:val="24"/>
        </w:rPr>
      </w:pPr>
      <w:r w:rsidRPr="00587B52">
        <w:rPr>
          <w:rFonts w:eastAsia="Calibri" w:cstheme="minorHAnsi"/>
          <w:b/>
          <w:szCs w:val="24"/>
        </w:rPr>
        <w:t>Równouprawnienie płci, równe traktowanie i równość szans, niedyskryminacja i prawa osób niepełnosprawnych</w:t>
      </w:r>
      <w:r w:rsidRPr="00587B52">
        <w:rPr>
          <w:rFonts w:eastAsia="Calibri" w:cstheme="minorHAns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 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6424BB">
        <w:rPr>
          <w:rFonts w:eastAsia="Calibri" w:cstheme="minorHAnsi"/>
          <w:szCs w:val="24"/>
        </w:rPr>
        <w:t>acz</w:t>
      </w:r>
      <w:r w:rsidRPr="00587B52">
        <w:rPr>
          <w:rFonts w:eastAsia="Calibri" w:cstheme="minorHAnsi"/>
          <w:szCs w:val="24"/>
        </w:rPr>
        <w:t xml:space="preserve"> </w:t>
      </w:r>
      <w:hyperlink r:id="rId11" w:history="1">
        <w:r w:rsidRPr="00587B52">
          <w:rPr>
            <w:rStyle w:val="Hipercze"/>
            <w:rFonts w:eastAsia="Calibri" w:cstheme="minorHAnsi"/>
            <w:color w:val="auto"/>
            <w:szCs w:val="24"/>
          </w:rPr>
          <w:t>http://eur-lex.europa.eu/legal-content/PL/TXT/?uri=CELEX:32010D0048</w:t>
        </w:r>
      </w:hyperlink>
      <w:r w:rsidRPr="00587B52">
        <w:rPr>
          <w:rFonts w:eastAsia="Calibri" w:cstheme="minorHAnsi"/>
          <w:szCs w:val="24"/>
        </w:rPr>
        <w:t>)</w:t>
      </w:r>
    </w:p>
    <w:p w14:paraId="3EB963DB" w14:textId="67368DC0" w:rsidR="007B23EA" w:rsidRPr="00587B52" w:rsidRDefault="007B23EA" w:rsidP="006424BB">
      <w:pPr>
        <w:rPr>
          <w:rFonts w:eastAsia="Calibri" w:cstheme="minorHAnsi"/>
          <w:szCs w:val="24"/>
        </w:rPr>
      </w:pPr>
      <w:r w:rsidRPr="00587B52">
        <w:rPr>
          <w:rFonts w:eastAsia="Calibri" w:cstheme="minorHAnsi"/>
          <w:b/>
          <w:szCs w:val="24"/>
        </w:rPr>
        <w:t>Prawa dziecka:</w:t>
      </w:r>
      <w:r w:rsidRPr="00587B52">
        <w:rPr>
          <w:rFonts w:eastAsia="Calibri" w:cstheme="minorHAns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w:t>
      </w:r>
      <w:r w:rsidRPr="00587B52">
        <w:rPr>
          <w:rFonts w:eastAsia="Calibri" w:cstheme="minorHAnsi"/>
          <w:szCs w:val="24"/>
        </w:rPr>
        <w:lastRenderedPageBreak/>
        <w:t>kroki podjęto, by poprawić sytuację lub zrekompensować wszelkie niekorzystne skutki, jakie może wywrzeć? Czy poszanowano prawo dziecka do bycia wysłuchanym we wszystkich sprawach, które jego dotyczą? Czy projekt przyczynia się do promocji wymiarów sprawiedliwości przyjaznych dziecku, dostosowanych do potrzeb, wieku i dojrzałości dziecka?</w:t>
      </w:r>
    </w:p>
    <w:p w14:paraId="6938A9D0" w14:textId="77777777" w:rsidR="007B23EA" w:rsidRPr="00587B52" w:rsidRDefault="007B23EA" w:rsidP="006424BB">
      <w:pPr>
        <w:rPr>
          <w:rFonts w:eastAsia="Calibri" w:cstheme="minorHAnsi"/>
          <w:szCs w:val="24"/>
        </w:rPr>
      </w:pPr>
      <w:r w:rsidRPr="00587B52">
        <w:rPr>
          <w:rFonts w:eastAsia="Calibri" w:cstheme="minorHAnsi"/>
          <w:b/>
          <w:szCs w:val="24"/>
        </w:rPr>
        <w:t>Dobra administracja/ skuteczne środki odwoławcze/wymiar sprawiedliwości:</w:t>
      </w:r>
      <w:r w:rsidRPr="00587B52">
        <w:rPr>
          <w:rFonts w:eastAsia="Calibri" w:cstheme="minorHAns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DD787EC" w14:textId="77777777" w:rsidR="007B23EA" w:rsidRPr="00587B52" w:rsidRDefault="007B23EA" w:rsidP="006424BB">
      <w:pPr>
        <w:rPr>
          <w:rFonts w:eastAsia="Calibri" w:cstheme="minorHAnsi"/>
          <w:szCs w:val="24"/>
        </w:rPr>
      </w:pPr>
      <w:r w:rsidRPr="00587B52">
        <w:rPr>
          <w:rFonts w:eastAsia="Calibri" w:cstheme="minorHAnsi"/>
          <w:b/>
          <w:szCs w:val="24"/>
        </w:rPr>
        <w:t>Solidarność i prawa pracowników:</w:t>
      </w:r>
      <w:r w:rsidRPr="00587B52">
        <w:rPr>
          <w:rFonts w:eastAsia="Calibri" w:cstheme="minorHAns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 ochrona młodocianych w pracy; oraz prawo do świadczeń z zabezpieczenia społecznego i do usług społecznych?</w:t>
      </w:r>
    </w:p>
    <w:p w14:paraId="10865023" w14:textId="77777777" w:rsidR="007B23EA" w:rsidRPr="00587B52" w:rsidRDefault="007B23EA" w:rsidP="006424BB">
      <w:pPr>
        <w:rPr>
          <w:rFonts w:eastAsia="Calibri" w:cstheme="minorHAnsi"/>
          <w:szCs w:val="24"/>
        </w:rPr>
      </w:pPr>
      <w:r w:rsidRPr="00587B52">
        <w:rPr>
          <w:rFonts w:eastAsia="Calibri" w:cstheme="minorHAnsi"/>
          <w:b/>
          <w:szCs w:val="24"/>
        </w:rPr>
        <w:t>Ochrona środowiska:</w:t>
      </w:r>
      <w:r w:rsidRPr="00587B52">
        <w:rPr>
          <w:rFonts w:eastAsia="Calibri" w:cstheme="minorHAnsi"/>
          <w:szCs w:val="24"/>
        </w:rPr>
        <w:t xml:space="preserve"> Czy projekt przyczynia się do utrzymania wysokiego poziomu ochrony środowiska oraz poprawy jakości środowiska zgodnie z zasadą zrównoważonego rozwoju?</w:t>
      </w:r>
    </w:p>
    <w:p w14:paraId="0BBD1BAB" w14:textId="4C4CB4BA" w:rsidR="007B23EA" w:rsidRPr="00587B52" w:rsidRDefault="007B23EA" w:rsidP="004C2B17">
      <w:pPr>
        <w:pStyle w:val="Nagwek2"/>
        <w:numPr>
          <w:ilvl w:val="1"/>
          <w:numId w:val="3"/>
        </w:numPr>
        <w:spacing w:before="0"/>
        <w:jc w:val="left"/>
        <w:rPr>
          <w:rFonts w:cstheme="minorHAnsi"/>
          <w:szCs w:val="24"/>
        </w:rPr>
      </w:pPr>
      <w:bookmarkStart w:id="26" w:name="_Toc131062217"/>
      <w:bookmarkStart w:id="27" w:name="_Toc160614668"/>
      <w:r w:rsidRPr="00587B52">
        <w:rPr>
          <w:rFonts w:cstheme="minorHAnsi"/>
          <w:szCs w:val="24"/>
        </w:rPr>
        <w:t>Konwencj</w:t>
      </w:r>
      <w:r w:rsidR="00E307AB" w:rsidRPr="00587B52">
        <w:rPr>
          <w:rFonts w:cstheme="minorHAnsi"/>
          <w:szCs w:val="24"/>
        </w:rPr>
        <w:t>a</w:t>
      </w:r>
      <w:r w:rsidRPr="00587B52">
        <w:rPr>
          <w:rFonts w:cstheme="minorHAnsi"/>
          <w:szCs w:val="24"/>
        </w:rPr>
        <w:t xml:space="preserve"> o Prawach Osób Niepełnosprawnych (KPON)</w:t>
      </w:r>
      <w:bookmarkEnd w:id="26"/>
      <w:bookmarkEnd w:id="27"/>
    </w:p>
    <w:p w14:paraId="0183EFA2" w14:textId="60CAF0C6" w:rsidR="007B23EA" w:rsidRDefault="007B23EA" w:rsidP="006424BB">
      <w:pPr>
        <w:rPr>
          <w:rFonts w:cstheme="minorHAnsi"/>
          <w:szCs w:val="24"/>
        </w:rPr>
      </w:pPr>
      <w:r w:rsidRPr="00587B52">
        <w:rPr>
          <w:rFonts w:cstheme="minorHAnsi"/>
          <w:szCs w:val="24"/>
        </w:rPr>
        <w:t>Należy wykazać zgodność projektu z Konwencją o Prawach Osób Niepełnosprawnych, sporządzoną w Nowym Jorku dnia 13 grudnia 2006 r</w:t>
      </w:r>
      <w:r w:rsidR="00413F73">
        <w:rPr>
          <w:rFonts w:cstheme="minorHAnsi"/>
          <w:szCs w:val="24"/>
        </w:rPr>
        <w:t>oku</w:t>
      </w:r>
      <w:r w:rsidRPr="00587B52">
        <w:rPr>
          <w:rFonts w:cstheme="minorHAnsi"/>
          <w:szCs w:val="24"/>
        </w:rPr>
        <w:t xml:space="preserve"> w zakresie odnoszącym się do sposobu realizacji, </w:t>
      </w:r>
      <w:r w:rsidR="00BD5E9B">
        <w:rPr>
          <w:rFonts w:cstheme="minorHAnsi"/>
          <w:szCs w:val="24"/>
        </w:rPr>
        <w:t>przedmiotu</w:t>
      </w:r>
      <w:r w:rsidR="00BD5E9B" w:rsidRPr="00587B52">
        <w:rPr>
          <w:rFonts w:cstheme="minorHAnsi"/>
          <w:szCs w:val="24"/>
        </w:rPr>
        <w:t xml:space="preserve"> </w:t>
      </w:r>
      <w:r w:rsidRPr="00587B52">
        <w:rPr>
          <w:rFonts w:cstheme="minorHAnsi"/>
          <w:szCs w:val="24"/>
        </w:rPr>
        <w:t>projektu i Wnioskodawcy.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FD4D8AE" w14:textId="63F66A3F" w:rsidR="00FF511F" w:rsidRDefault="00FF511F" w:rsidP="00FF511F">
      <w:pPr>
        <w:pStyle w:val="Nagwek2"/>
        <w:numPr>
          <w:ilvl w:val="1"/>
          <w:numId w:val="3"/>
        </w:numPr>
        <w:spacing w:before="0"/>
        <w:jc w:val="left"/>
        <w:rPr>
          <w:rFonts w:cstheme="minorHAnsi"/>
          <w:szCs w:val="24"/>
        </w:rPr>
      </w:pPr>
      <w:bookmarkStart w:id="28" w:name="_Toc160614669"/>
      <w:r>
        <w:rPr>
          <w:rFonts w:cstheme="minorHAnsi"/>
          <w:szCs w:val="24"/>
        </w:rPr>
        <w:t>Plan Zrównoważonej Mobilności Miejskiej</w:t>
      </w:r>
      <w:r w:rsidR="008D383F">
        <w:rPr>
          <w:rFonts w:cstheme="minorHAnsi"/>
          <w:szCs w:val="24"/>
        </w:rPr>
        <w:t xml:space="preserve"> (SUMP)</w:t>
      </w:r>
      <w:bookmarkEnd w:id="28"/>
    </w:p>
    <w:p w14:paraId="1FE1BFEC" w14:textId="79F2036D" w:rsidR="00397A81" w:rsidRDefault="00FF511F" w:rsidP="00FF511F">
      <w:r>
        <w:t>Należy wskazać czy Wnioskodawca posiada Plan Zrównoważonej Mobilności Miejskiej (SUMP</w:t>
      </w:r>
      <w:r w:rsidR="003D5A4C">
        <w:t>)</w:t>
      </w:r>
      <w:r w:rsidR="00CE3E1C">
        <w:t xml:space="preserve"> </w:t>
      </w:r>
      <w:r w:rsidR="003D5A4C">
        <w:t>lub inny równoważny dokument</w:t>
      </w:r>
      <w:r w:rsidR="00CE3E1C">
        <w:t xml:space="preserve">. </w:t>
      </w:r>
    </w:p>
    <w:p w14:paraId="6FE50100" w14:textId="017FCC3F" w:rsidR="00792FC8" w:rsidRPr="00587B52" w:rsidRDefault="005157BB" w:rsidP="008924A9">
      <w:pPr>
        <w:pStyle w:val="Nagwek1"/>
      </w:pPr>
      <w:bookmarkStart w:id="29" w:name="_Toc138156798"/>
      <w:bookmarkStart w:id="30" w:name="_Toc138156842"/>
      <w:bookmarkStart w:id="31" w:name="_Toc138156917"/>
      <w:bookmarkStart w:id="32" w:name="_Toc138156960"/>
      <w:bookmarkStart w:id="33" w:name="_Toc138157002"/>
      <w:bookmarkStart w:id="34" w:name="_Toc138157044"/>
      <w:bookmarkStart w:id="35" w:name="_Toc138157604"/>
      <w:bookmarkStart w:id="36" w:name="_Toc138161180"/>
      <w:bookmarkStart w:id="37" w:name="_Toc138234699"/>
      <w:bookmarkStart w:id="38" w:name="_Toc138236577"/>
      <w:bookmarkStart w:id="39" w:name="_Toc138240064"/>
      <w:bookmarkStart w:id="40" w:name="_Toc138240107"/>
      <w:bookmarkStart w:id="41" w:name="_Toc160614670"/>
      <w:bookmarkEnd w:id="29"/>
      <w:bookmarkEnd w:id="30"/>
      <w:bookmarkEnd w:id="31"/>
      <w:bookmarkEnd w:id="32"/>
      <w:bookmarkEnd w:id="33"/>
      <w:bookmarkEnd w:id="34"/>
      <w:bookmarkEnd w:id="35"/>
      <w:bookmarkEnd w:id="36"/>
      <w:bookmarkEnd w:id="37"/>
      <w:bookmarkEnd w:id="38"/>
      <w:bookmarkEnd w:id="39"/>
      <w:bookmarkEnd w:id="40"/>
      <w:r w:rsidRPr="00587B52">
        <w:t>Zgodność projektu z kryteriami oceny</w:t>
      </w:r>
      <w:bookmarkEnd w:id="41"/>
      <w:r w:rsidR="00FF306D" w:rsidRPr="00587B52">
        <w:t xml:space="preserve"> </w:t>
      </w:r>
    </w:p>
    <w:p w14:paraId="3667D87F" w14:textId="5D71C61F" w:rsidR="00792FC8" w:rsidRPr="000D191B" w:rsidRDefault="00BD5E9B" w:rsidP="00FF511F">
      <w:pPr>
        <w:pStyle w:val="Nagwek2"/>
        <w:numPr>
          <w:ilvl w:val="1"/>
          <w:numId w:val="3"/>
        </w:numPr>
        <w:spacing w:before="0"/>
        <w:jc w:val="left"/>
        <w:rPr>
          <w:rFonts w:cstheme="minorHAnsi"/>
          <w:szCs w:val="24"/>
        </w:rPr>
      </w:pPr>
      <w:bookmarkStart w:id="42" w:name="_Toc160614671"/>
      <w:r w:rsidRPr="000D191B">
        <w:rPr>
          <w:rFonts w:cstheme="minorHAnsi"/>
          <w:szCs w:val="24"/>
        </w:rPr>
        <w:t>O</w:t>
      </w:r>
      <w:r w:rsidR="00644E9B" w:rsidRPr="000D191B">
        <w:rPr>
          <w:rFonts w:cstheme="minorHAnsi"/>
          <w:szCs w:val="24"/>
        </w:rPr>
        <w:t>toczenie prawn</w:t>
      </w:r>
      <w:r w:rsidRPr="000D191B">
        <w:rPr>
          <w:rFonts w:cstheme="minorHAnsi"/>
          <w:szCs w:val="24"/>
        </w:rPr>
        <w:t>e</w:t>
      </w:r>
      <w:bookmarkEnd w:id="42"/>
      <w:r w:rsidR="00792FC8" w:rsidRPr="000D191B">
        <w:rPr>
          <w:rFonts w:cstheme="minorHAnsi"/>
          <w:szCs w:val="24"/>
        </w:rPr>
        <w:t xml:space="preserve"> </w:t>
      </w:r>
    </w:p>
    <w:p w14:paraId="1FD32E73" w14:textId="2282DE41" w:rsidR="004F781C" w:rsidRPr="00FF7162" w:rsidRDefault="005B4D44" w:rsidP="00FF7162">
      <w:pPr>
        <w:rPr>
          <w:rFonts w:cstheme="minorHAnsi"/>
          <w:szCs w:val="24"/>
        </w:rPr>
      </w:pPr>
      <w:r w:rsidRPr="00587B52">
        <w:rPr>
          <w:rFonts w:cstheme="minorHAnsi"/>
          <w:szCs w:val="24"/>
        </w:rPr>
        <w:t xml:space="preserve">Należy </w:t>
      </w:r>
      <w:r w:rsidR="00FF7162">
        <w:rPr>
          <w:rFonts w:cstheme="minorHAnsi"/>
          <w:szCs w:val="24"/>
        </w:rPr>
        <w:t>przedstawić informację</w:t>
      </w:r>
      <w:r w:rsidR="00CC3C4F">
        <w:rPr>
          <w:rFonts w:cstheme="minorHAnsi"/>
          <w:szCs w:val="24"/>
        </w:rPr>
        <w:t>,</w:t>
      </w:r>
      <w:r w:rsidR="00FF7162">
        <w:rPr>
          <w:rFonts w:cstheme="minorHAnsi"/>
          <w:szCs w:val="24"/>
        </w:rPr>
        <w:t xml:space="preserve"> </w:t>
      </w:r>
      <w:r w:rsidR="00FF7162" w:rsidRPr="00FF7162">
        <w:rPr>
          <w:rFonts w:cstheme="minorHAnsi"/>
          <w:szCs w:val="24"/>
        </w:rPr>
        <w:t xml:space="preserve">czy projekt jest przygotowany do realizacji pod względem zgodności z otoczeniem prawnym. </w:t>
      </w:r>
      <w:r w:rsidR="00BD5E9B">
        <w:rPr>
          <w:rFonts w:cstheme="minorHAnsi"/>
          <w:szCs w:val="24"/>
        </w:rPr>
        <w:t>W</w:t>
      </w:r>
      <w:r w:rsidR="00FF7162" w:rsidRPr="00FF7162">
        <w:rPr>
          <w:rFonts w:cstheme="minorHAnsi"/>
          <w:szCs w:val="24"/>
        </w:rPr>
        <w:t>nioskodawca powinien</w:t>
      </w:r>
      <w:r w:rsidR="00CC3C4F">
        <w:rPr>
          <w:rFonts w:cstheme="minorHAnsi"/>
          <w:szCs w:val="24"/>
        </w:rPr>
        <w:t xml:space="preserve"> powyższe</w:t>
      </w:r>
      <w:r w:rsidR="006B4C8A">
        <w:rPr>
          <w:rFonts w:cstheme="minorHAnsi"/>
          <w:szCs w:val="24"/>
        </w:rPr>
        <w:t xml:space="preserve"> wykazać</w:t>
      </w:r>
      <w:r w:rsidR="00FF7162" w:rsidRPr="00FF7162">
        <w:rPr>
          <w:rFonts w:cstheme="minorHAnsi"/>
          <w:szCs w:val="24"/>
        </w:rPr>
        <w:t xml:space="preserve"> poprzez </w:t>
      </w:r>
      <w:r w:rsidR="00FF7162" w:rsidRPr="00FF7162">
        <w:rPr>
          <w:rFonts w:cstheme="minorHAnsi"/>
          <w:szCs w:val="24"/>
        </w:rPr>
        <w:lastRenderedPageBreak/>
        <w:t>przedstawienie odpowiednich analiz, możliwości realizacji projektu i usług objętych projektem na podstawie obowiązujących przepisów prawa</w:t>
      </w:r>
      <w:r w:rsidR="004F781C">
        <w:rPr>
          <w:rFonts w:cstheme="minorHAnsi"/>
          <w:szCs w:val="24"/>
        </w:rPr>
        <w:t xml:space="preserve">, w tym w szczególności z: </w:t>
      </w:r>
      <w:r w:rsidR="00CC3C4F">
        <w:rPr>
          <w:rFonts w:cstheme="minorHAnsi"/>
          <w:szCs w:val="24"/>
        </w:rPr>
        <w:t>Ustawą P</w:t>
      </w:r>
      <w:r w:rsidR="00CB0895">
        <w:rPr>
          <w:rFonts w:cstheme="minorHAnsi"/>
          <w:szCs w:val="24"/>
        </w:rPr>
        <w:t xml:space="preserve">rawo budowlane, </w:t>
      </w:r>
      <w:r w:rsidR="00CC3C4F">
        <w:rPr>
          <w:rFonts w:cstheme="minorHAnsi"/>
          <w:szCs w:val="24"/>
        </w:rPr>
        <w:t>U</w:t>
      </w:r>
      <w:r w:rsidR="004F781C">
        <w:rPr>
          <w:rFonts w:cstheme="minorHAnsi"/>
          <w:szCs w:val="24"/>
        </w:rPr>
        <w:t>stawą</w:t>
      </w:r>
      <w:r w:rsidR="004F781C" w:rsidRPr="004F781C">
        <w:rPr>
          <w:rFonts w:cstheme="minorHAnsi"/>
          <w:szCs w:val="24"/>
        </w:rPr>
        <w:t xml:space="preserve"> o publicznym transporcie zbiorowym, </w:t>
      </w:r>
      <w:r w:rsidR="009758E8">
        <w:rPr>
          <w:rFonts w:cstheme="minorHAnsi"/>
          <w:szCs w:val="24"/>
        </w:rPr>
        <w:t>rozporządzeniem</w:t>
      </w:r>
      <w:r w:rsidR="004F781C" w:rsidRPr="004F781C">
        <w:rPr>
          <w:rFonts w:cstheme="minorHAnsi"/>
          <w:szCs w:val="24"/>
        </w:rPr>
        <w:t xml:space="preserve"> 1370/2007</w:t>
      </w:r>
      <w:r w:rsidR="004F781C">
        <w:rPr>
          <w:rFonts w:cstheme="minorHAnsi"/>
          <w:szCs w:val="24"/>
        </w:rPr>
        <w:t>,</w:t>
      </w:r>
      <w:r w:rsidR="00F27752">
        <w:rPr>
          <w:rFonts w:cstheme="minorHAnsi"/>
          <w:szCs w:val="24"/>
        </w:rPr>
        <w:t xml:space="preserve"> </w:t>
      </w:r>
      <w:r w:rsidR="00CC3C4F">
        <w:rPr>
          <w:rFonts w:cstheme="minorHAnsi"/>
          <w:szCs w:val="24"/>
        </w:rPr>
        <w:t>U</w:t>
      </w:r>
      <w:r w:rsidR="004F781C" w:rsidRPr="004F781C">
        <w:rPr>
          <w:rFonts w:cstheme="minorHAnsi"/>
          <w:szCs w:val="24"/>
        </w:rPr>
        <w:t>staw</w:t>
      </w:r>
      <w:r w:rsidR="004F781C">
        <w:rPr>
          <w:rFonts w:cstheme="minorHAnsi"/>
          <w:szCs w:val="24"/>
        </w:rPr>
        <w:t xml:space="preserve">ą </w:t>
      </w:r>
      <w:r w:rsidR="004F781C" w:rsidRPr="004F781C">
        <w:rPr>
          <w:rFonts w:cstheme="minorHAnsi"/>
          <w:szCs w:val="24"/>
        </w:rPr>
        <w:t xml:space="preserve">o </w:t>
      </w:r>
      <w:proofErr w:type="spellStart"/>
      <w:r w:rsidR="004F781C" w:rsidRPr="004F781C">
        <w:rPr>
          <w:rFonts w:cstheme="minorHAnsi"/>
          <w:szCs w:val="24"/>
        </w:rPr>
        <w:t>elektromobil</w:t>
      </w:r>
      <w:r w:rsidR="004F781C">
        <w:rPr>
          <w:rFonts w:cstheme="minorHAnsi"/>
          <w:szCs w:val="24"/>
        </w:rPr>
        <w:t>ności</w:t>
      </w:r>
      <w:proofErr w:type="spellEnd"/>
      <w:r w:rsidR="004F781C">
        <w:rPr>
          <w:rFonts w:cstheme="minorHAnsi"/>
          <w:szCs w:val="24"/>
        </w:rPr>
        <w:t xml:space="preserve"> i paliwach alternatywnych</w:t>
      </w:r>
      <w:r w:rsidR="00CB0895">
        <w:rPr>
          <w:rFonts w:cstheme="minorHAnsi"/>
          <w:szCs w:val="24"/>
        </w:rPr>
        <w:t xml:space="preserve"> oraz</w:t>
      </w:r>
      <w:r w:rsidR="00CC3C4F">
        <w:rPr>
          <w:rFonts w:cstheme="minorHAnsi"/>
          <w:szCs w:val="24"/>
        </w:rPr>
        <w:t xml:space="preserve"> U</w:t>
      </w:r>
      <w:r w:rsidR="004F781C">
        <w:rPr>
          <w:rFonts w:cstheme="minorHAnsi"/>
          <w:szCs w:val="24"/>
        </w:rPr>
        <w:t>stawą</w:t>
      </w:r>
      <w:r w:rsidR="004F781C" w:rsidRPr="004F781C">
        <w:rPr>
          <w:rFonts w:cstheme="minorHAnsi"/>
          <w:szCs w:val="24"/>
        </w:rPr>
        <w:t xml:space="preserve"> </w:t>
      </w:r>
      <w:r w:rsidR="00CC3C4F">
        <w:rPr>
          <w:rFonts w:cstheme="minorHAnsi"/>
          <w:szCs w:val="24"/>
        </w:rPr>
        <w:t>P</w:t>
      </w:r>
      <w:r w:rsidR="004F781C" w:rsidRPr="004F781C">
        <w:rPr>
          <w:rFonts w:cstheme="minorHAnsi"/>
          <w:szCs w:val="24"/>
        </w:rPr>
        <w:t>rawo zamówień publicznych</w:t>
      </w:r>
      <w:r w:rsidR="00CB0895">
        <w:rPr>
          <w:rFonts w:cstheme="minorHAnsi"/>
          <w:szCs w:val="24"/>
        </w:rPr>
        <w:t>.</w:t>
      </w:r>
    </w:p>
    <w:p w14:paraId="56B71B49" w14:textId="18C3CABB" w:rsidR="002A0ABD" w:rsidRPr="00E80D5C" w:rsidRDefault="002A0ABD" w:rsidP="002A0ABD">
      <w:r>
        <w:t xml:space="preserve">Wnioskodawca </w:t>
      </w:r>
      <w:r w:rsidR="00BC7688">
        <w:t xml:space="preserve">realizujący projekt, </w:t>
      </w:r>
      <w:r w:rsidR="004B1144">
        <w:t>któr</w:t>
      </w:r>
      <w:r w:rsidR="002B2EA4">
        <w:t>ego</w:t>
      </w:r>
      <w:r w:rsidR="004B1144">
        <w:t xml:space="preserve"> elementem jest zakup</w:t>
      </w:r>
      <w:r w:rsidR="003D7762">
        <w:t xml:space="preserve"> </w:t>
      </w:r>
      <w:r w:rsidR="004B1144" w:rsidRPr="004B1144">
        <w:t>taboru</w:t>
      </w:r>
      <w:r w:rsidR="003D7762">
        <w:t xml:space="preserve"> wykorzystywanego</w:t>
      </w:r>
      <w:r w:rsidR="00AD1208">
        <w:t xml:space="preserve"> w publicznym transporcie zbiorowym mus</w:t>
      </w:r>
      <w:r w:rsidR="00CE3E1C">
        <w:t>i</w:t>
      </w:r>
      <w:r w:rsidR="00AD1208">
        <w:t xml:space="preserve"> </w:t>
      </w:r>
      <w:r w:rsidR="00BC7688">
        <w:t>wykazać, iż</w:t>
      </w:r>
      <w:r w:rsidR="004B1144">
        <w:t xml:space="preserve"> </w:t>
      </w:r>
      <w:r w:rsidR="002B2EA4">
        <w:t xml:space="preserve">aktywa te </w:t>
      </w:r>
      <w:r>
        <w:t>spełnia</w:t>
      </w:r>
      <w:r w:rsidR="004B1144">
        <w:t>ją</w:t>
      </w:r>
      <w:r w:rsidR="00AD1208">
        <w:t xml:space="preserve"> wymogi dla „ekologicznie czystych pojazdów” w rozumieniu </w:t>
      </w:r>
      <w:r w:rsidR="00644426">
        <w:t xml:space="preserve">Dyrektywy Parlamentu Europejskiego i Rady 2009/33/WE z dnia 23 kwietnia 2009 </w:t>
      </w:r>
      <w:r w:rsidR="00AD1208">
        <w:t>roku z</w:t>
      </w:r>
      <w:r w:rsidR="00E53D3B">
        <w:t>e</w:t>
      </w:r>
      <w:r w:rsidR="00AD1208">
        <w:t xml:space="preserve"> zmianami</w:t>
      </w:r>
      <w:r w:rsidR="001E46D7">
        <w:t>.</w:t>
      </w:r>
    </w:p>
    <w:p w14:paraId="026368C9" w14:textId="6D2654DD" w:rsidR="0043127B" w:rsidRDefault="000364A7" w:rsidP="00FF511F">
      <w:pPr>
        <w:pStyle w:val="Nagwek2"/>
        <w:numPr>
          <w:ilvl w:val="1"/>
          <w:numId w:val="3"/>
        </w:numPr>
        <w:spacing w:before="0"/>
        <w:jc w:val="left"/>
        <w:rPr>
          <w:rFonts w:cstheme="minorHAnsi"/>
          <w:szCs w:val="24"/>
        </w:rPr>
      </w:pPr>
      <w:bookmarkStart w:id="43" w:name="_Toc160614672"/>
      <w:r>
        <w:rPr>
          <w:rFonts w:cstheme="minorHAnsi"/>
          <w:szCs w:val="24"/>
        </w:rPr>
        <w:t>Projekt skierowany na poprawę środowiska naturalnego</w:t>
      </w:r>
      <w:bookmarkEnd w:id="43"/>
    </w:p>
    <w:p w14:paraId="27D9432E" w14:textId="65DDE2C1" w:rsidR="00801637" w:rsidRPr="00801637" w:rsidRDefault="00801637" w:rsidP="00801637">
      <w:r>
        <w:t xml:space="preserve">Należy wymienić jakie działania w ramach projektu zostaną podjęte w celu poprawy </w:t>
      </w:r>
      <w:r w:rsidRPr="00801637">
        <w:t>stanu środowiska naturalnego i wspierani</w:t>
      </w:r>
      <w:r w:rsidR="002B2EA4">
        <w:t>a</w:t>
      </w:r>
      <w:r w:rsidRPr="00801637">
        <w:t xml:space="preserve"> transportu czystego i przyjaznego środowisku w momencie przeprowadzania inwestycji, jak i po jej zakończeniu. Działania przewidziane w projekcie powinny służyć zmniejszeniu popytu na podróże realizowane indywidualnym transportem samochodowym na rzecz zwiększenia udziału transportu zbiorowego przy wykorzystaniu środków transportu publicznego.</w:t>
      </w:r>
    </w:p>
    <w:p w14:paraId="66B949BB" w14:textId="1F12E7ED" w:rsidR="0043127B" w:rsidRDefault="000364A7" w:rsidP="00FF511F">
      <w:pPr>
        <w:pStyle w:val="Nagwek2"/>
        <w:numPr>
          <w:ilvl w:val="1"/>
          <w:numId w:val="3"/>
        </w:numPr>
        <w:spacing w:before="0"/>
        <w:jc w:val="left"/>
        <w:rPr>
          <w:rFonts w:cstheme="minorHAnsi"/>
          <w:szCs w:val="24"/>
        </w:rPr>
      </w:pPr>
      <w:bookmarkStart w:id="44" w:name="_Toc160614673"/>
      <w:r>
        <w:rPr>
          <w:rFonts w:cstheme="minorHAnsi"/>
          <w:szCs w:val="24"/>
        </w:rPr>
        <w:t>Zakup taboru zeroemisyjnego</w:t>
      </w:r>
      <w:bookmarkEnd w:id="44"/>
    </w:p>
    <w:p w14:paraId="3358292B" w14:textId="064F9F19" w:rsidR="00C6772E" w:rsidRPr="00C6772E" w:rsidRDefault="00C6772E" w:rsidP="00C6772E">
      <w:r>
        <w:t>Należy wskazać</w:t>
      </w:r>
      <w:r w:rsidR="00CC3C4F">
        <w:t>,</w:t>
      </w:r>
      <w:r>
        <w:t xml:space="preserve"> czy w ramach projektu zakupiony zostanie tabor zasilany za pomocą silników elektrycznych lub wodorowych. </w:t>
      </w:r>
      <w:r w:rsidR="003B3ED1">
        <w:t>Dodatkowo</w:t>
      </w:r>
      <w:r w:rsidR="00CD613A">
        <w:t>,</w:t>
      </w:r>
      <w:r w:rsidR="003B3ED1">
        <w:t xml:space="preserve"> </w:t>
      </w:r>
      <w:r w:rsidR="00304933">
        <w:t>w punkcie tym wymagane jest podanie</w:t>
      </w:r>
      <w:r>
        <w:t xml:space="preserve"> </w:t>
      </w:r>
      <w:r w:rsidR="002B2EA4">
        <w:t xml:space="preserve">dokładnej </w:t>
      </w:r>
      <w:r>
        <w:t>liczb</w:t>
      </w:r>
      <w:r w:rsidR="00304933">
        <w:t>y</w:t>
      </w:r>
      <w:r>
        <w:t xml:space="preserve"> pojazdów zasilanych taki</w:t>
      </w:r>
      <w:r w:rsidR="002B2EA4">
        <w:t>mi</w:t>
      </w:r>
      <w:r>
        <w:t xml:space="preserve"> silnik</w:t>
      </w:r>
      <w:r w:rsidR="002B2EA4">
        <w:t>ami</w:t>
      </w:r>
      <w:r>
        <w:t>, które zostaną zakupione w ramach projektu</w:t>
      </w:r>
      <w:r w:rsidR="00BB595B">
        <w:t>.</w:t>
      </w:r>
      <w:r w:rsidR="00CD613A">
        <w:t xml:space="preserve"> </w:t>
      </w:r>
    </w:p>
    <w:p w14:paraId="358502D2" w14:textId="456DE12A" w:rsidR="0043127B" w:rsidRDefault="000364A7" w:rsidP="00FF511F">
      <w:pPr>
        <w:pStyle w:val="Nagwek2"/>
        <w:numPr>
          <w:ilvl w:val="1"/>
          <w:numId w:val="3"/>
        </w:numPr>
        <w:spacing w:before="0"/>
        <w:jc w:val="left"/>
        <w:rPr>
          <w:rFonts w:cstheme="minorHAnsi"/>
          <w:szCs w:val="24"/>
        </w:rPr>
      </w:pPr>
      <w:bookmarkStart w:id="45" w:name="_Toc160614674"/>
      <w:r>
        <w:rPr>
          <w:rFonts w:cstheme="minorHAnsi"/>
          <w:szCs w:val="24"/>
        </w:rPr>
        <w:t xml:space="preserve">Usprawnienia infrastruktury </w:t>
      </w:r>
      <w:r w:rsidR="00AC0DEE">
        <w:rPr>
          <w:rFonts w:cstheme="minorHAnsi"/>
          <w:szCs w:val="24"/>
        </w:rPr>
        <w:t>transportu publicznego</w:t>
      </w:r>
      <w:bookmarkEnd w:id="45"/>
    </w:p>
    <w:p w14:paraId="6DEC77F6" w14:textId="4A800617" w:rsidR="006A18B5" w:rsidRDefault="00C6772E" w:rsidP="00C6772E">
      <w:r>
        <w:t>Należy</w:t>
      </w:r>
      <w:r w:rsidR="00F27752">
        <w:t xml:space="preserve"> </w:t>
      </w:r>
      <w:r w:rsidR="006A18B5">
        <w:t>szczegółowo opisać</w:t>
      </w:r>
      <w:r w:rsidR="00CC3C4F">
        <w:t>,</w:t>
      </w:r>
      <w:r w:rsidR="006A18B5">
        <w:t xml:space="preserve"> w jaki sposób inwestycja planowana do realizacji przyczynia się do rozwoju </w:t>
      </w:r>
      <w:r w:rsidR="00CC3C4F">
        <w:t xml:space="preserve">zrównoważonej </w:t>
      </w:r>
      <w:r w:rsidR="006A18B5">
        <w:t>mobilności miejskiej, w szczególności w zakresie usprawnień infrastruktury transportu publicznego i infrastruktury rowerowej. W tym celu Wnioskodawca powinien opisać czy projekt wpłynie na:</w:t>
      </w:r>
    </w:p>
    <w:p w14:paraId="6BD99AE1" w14:textId="77777777" w:rsidR="00531D6C" w:rsidRDefault="00531D6C" w:rsidP="00531D6C">
      <w:pPr>
        <w:pStyle w:val="Akapitzlist"/>
        <w:numPr>
          <w:ilvl w:val="2"/>
          <w:numId w:val="3"/>
        </w:numPr>
        <w:ind w:left="864"/>
      </w:pPr>
      <w:r>
        <w:t>poprawę dostępności rozumianej jako:</w:t>
      </w:r>
    </w:p>
    <w:p w14:paraId="1617A3A6" w14:textId="77777777" w:rsidR="00531D6C" w:rsidRPr="00FF657F" w:rsidRDefault="00531D6C" w:rsidP="00531D6C">
      <w:pPr>
        <w:pStyle w:val="Akapitzlist"/>
        <w:numPr>
          <w:ilvl w:val="1"/>
          <w:numId w:val="30"/>
        </w:numPr>
        <w:ind w:left="1080"/>
      </w:pPr>
      <w:r w:rsidRPr="00FF657F">
        <w:t>Infrastruktura transportu publicznego - udział mieszkańców pozostających w strefie dogodnej dostępności do linii komunikacji zbiorowej, powiązanie z innymi środkami transportu zbiorowego i indywidualnego, dyspozycyjność pojazdów, kompletność i forma informacji przekazywanych pasażerom, dogodność systemu taryfowego, czytelność i łatwość zapamiętywania układów linii i rozkładów jazdy, różnorodność oferty przewozowej, w niniejszym miejscu premiowane będą także działania wyrównujące szanse grup zagrożonych dyskryminacją,</w:t>
      </w:r>
    </w:p>
    <w:p w14:paraId="23EDDF2A" w14:textId="77777777" w:rsidR="00531D6C" w:rsidRPr="00FF657F" w:rsidRDefault="00531D6C" w:rsidP="00531D6C">
      <w:pPr>
        <w:pStyle w:val="Akapitzlist"/>
        <w:numPr>
          <w:ilvl w:val="1"/>
          <w:numId w:val="30"/>
        </w:numPr>
        <w:ind w:left="1080"/>
      </w:pPr>
      <w:r w:rsidRPr="00FF657F">
        <w:t xml:space="preserve">Infrastruktura rowerowa </w:t>
      </w:r>
      <w:r>
        <w:t>–</w:t>
      </w:r>
      <w:r w:rsidRPr="00FF657F">
        <w:t xml:space="preserve"> </w:t>
      </w:r>
      <w:r>
        <w:t xml:space="preserve">rozwiązania polegające między innymi na </w:t>
      </w:r>
      <w:r w:rsidRPr="00FF657F">
        <w:t>poszerz</w:t>
      </w:r>
      <w:r>
        <w:t>e</w:t>
      </w:r>
      <w:r w:rsidRPr="00FF657F">
        <w:t>ni</w:t>
      </w:r>
      <w:r>
        <w:t>u</w:t>
      </w:r>
      <w:r w:rsidRPr="00FF657F">
        <w:t xml:space="preserve"> układu sieci rowerowej na obszary dotychczas pozbawione takiej infrastruktury, tworzenie miejsc umożliwiający pozostawienie roweru </w:t>
      </w:r>
    </w:p>
    <w:p w14:paraId="77970926" w14:textId="77777777" w:rsidR="00531D6C" w:rsidRDefault="00531D6C" w:rsidP="00531D6C">
      <w:pPr>
        <w:pStyle w:val="Akapitzlist"/>
        <w:numPr>
          <w:ilvl w:val="2"/>
          <w:numId w:val="3"/>
        </w:numPr>
        <w:ind w:left="864"/>
      </w:pPr>
      <w:r>
        <w:t>skrócenia czasu podróży definiowane jako:</w:t>
      </w:r>
    </w:p>
    <w:p w14:paraId="7846EE2A" w14:textId="77777777" w:rsidR="00531D6C" w:rsidRPr="00FF657F" w:rsidRDefault="00531D6C" w:rsidP="00531D6C">
      <w:pPr>
        <w:pStyle w:val="Akapitzlist"/>
        <w:numPr>
          <w:ilvl w:val="0"/>
          <w:numId w:val="31"/>
        </w:numPr>
      </w:pPr>
      <w:r w:rsidRPr="00FF657F">
        <w:lastRenderedPageBreak/>
        <w:t xml:space="preserve">Infrastruktura transportu publicznego – </w:t>
      </w:r>
      <w:r>
        <w:t xml:space="preserve">rozwiązania polegające między innymi na </w:t>
      </w:r>
      <w:r w:rsidRPr="00FF657F">
        <w:t>popraw</w:t>
      </w:r>
      <w:r>
        <w:t>ie</w:t>
      </w:r>
      <w:r w:rsidRPr="00FF657F">
        <w:t xml:space="preserve"> parametrów korzystania z transportu publicznego takich jak: czas dojścia, czas oczekiwania, czas jazdy, czas tracony na przesiadki </w:t>
      </w:r>
    </w:p>
    <w:p w14:paraId="542BA8BC" w14:textId="77777777" w:rsidR="00531D6C" w:rsidRPr="00FF657F" w:rsidRDefault="00531D6C" w:rsidP="00531D6C">
      <w:pPr>
        <w:pStyle w:val="Akapitzlist"/>
        <w:numPr>
          <w:ilvl w:val="0"/>
          <w:numId w:val="31"/>
        </w:numPr>
      </w:pPr>
      <w:r w:rsidRPr="00FF657F">
        <w:t xml:space="preserve">Infrastruktura rowerowa - </w:t>
      </w:r>
      <w:r>
        <w:t xml:space="preserve">rozwiązania polegające między innymi na </w:t>
      </w:r>
      <w:r w:rsidRPr="00FF657F">
        <w:t>popraw</w:t>
      </w:r>
      <w:r>
        <w:t>ie</w:t>
      </w:r>
      <w:r w:rsidRPr="00FF657F">
        <w:t xml:space="preserve"> czasu dojazdu do celu podróży z wykorzystaniem sieci dróg rowerowych</w:t>
      </w:r>
      <w:r>
        <w:t>,</w:t>
      </w:r>
    </w:p>
    <w:p w14:paraId="29F5084B" w14:textId="77777777" w:rsidR="00531D6C" w:rsidRDefault="00531D6C" w:rsidP="00531D6C">
      <w:pPr>
        <w:pStyle w:val="Akapitzlist"/>
        <w:numPr>
          <w:ilvl w:val="2"/>
          <w:numId w:val="3"/>
        </w:numPr>
        <w:ind w:left="864"/>
      </w:pPr>
      <w:r>
        <w:t>zwiększenie niezawodności rozumianej jako:</w:t>
      </w:r>
    </w:p>
    <w:p w14:paraId="384BF07A" w14:textId="77777777" w:rsidR="00531D6C" w:rsidRPr="00793C60" w:rsidRDefault="00531D6C" w:rsidP="00531D6C">
      <w:pPr>
        <w:pStyle w:val="Akapitzlist"/>
        <w:numPr>
          <w:ilvl w:val="0"/>
          <w:numId w:val="32"/>
        </w:numPr>
      </w:pPr>
      <w:r w:rsidRPr="00793C60">
        <w:t>Infrastruktura transportu publicznego – stabilność układu linii i rozkładów jazdy, regularności kursowania pojazdów, punktualność kursowania pojazdów, pewność uzyskania miejsca w pojeździe, pewność osiągania celu podróży w spodziewanym czasie, elastyczność funkcjonowania (n</w:t>
      </w:r>
      <w:r>
        <w:t>a przykład</w:t>
      </w:r>
      <w:r w:rsidRPr="00793C60">
        <w:t xml:space="preserve"> możliwość objazdu, wyboru powiązania alternatywnego i</w:t>
      </w:r>
      <w:r>
        <w:t xml:space="preserve"> tym podobne</w:t>
      </w:r>
      <w:r w:rsidRPr="00793C60">
        <w:t>)</w:t>
      </w:r>
    </w:p>
    <w:p w14:paraId="545539E2" w14:textId="77777777" w:rsidR="00531D6C" w:rsidRDefault="00531D6C" w:rsidP="00531D6C">
      <w:pPr>
        <w:pStyle w:val="Akapitzlist"/>
        <w:numPr>
          <w:ilvl w:val="0"/>
          <w:numId w:val="32"/>
        </w:numPr>
      </w:pPr>
      <w:r w:rsidRPr="00793C60">
        <w:t xml:space="preserve">Infrastruktura rowerowa – </w:t>
      </w:r>
      <w:r>
        <w:t xml:space="preserve">rozwiązania polegające między innymi na </w:t>
      </w:r>
      <w:r w:rsidRPr="00793C60">
        <w:t>zapewnieni</w:t>
      </w:r>
      <w:r>
        <w:t>u</w:t>
      </w:r>
      <w:r w:rsidRPr="00793C60">
        <w:t xml:space="preserve"> przejezdności ścieżek rowerowych w przypadku wystąpienia niekorzystnych zjawisk atmosferycznych lub wystąpienia aktów wandalizmu</w:t>
      </w:r>
      <w:r>
        <w:t>,</w:t>
      </w:r>
    </w:p>
    <w:p w14:paraId="649A6A77" w14:textId="77777777" w:rsidR="00531D6C" w:rsidRDefault="00531D6C" w:rsidP="00531D6C">
      <w:pPr>
        <w:pStyle w:val="Akapitzlist"/>
        <w:numPr>
          <w:ilvl w:val="2"/>
          <w:numId w:val="3"/>
        </w:numPr>
        <w:ind w:left="864"/>
      </w:pPr>
      <w:r>
        <w:t>poprawę warunków podróży obejmującą:</w:t>
      </w:r>
    </w:p>
    <w:p w14:paraId="12F34F7E" w14:textId="77777777" w:rsidR="00531D6C" w:rsidRDefault="00531D6C" w:rsidP="00531D6C">
      <w:pPr>
        <w:pStyle w:val="Akapitzlist"/>
        <w:numPr>
          <w:ilvl w:val="0"/>
          <w:numId w:val="33"/>
        </w:numPr>
      </w:pPr>
      <w:r w:rsidRPr="00793C60">
        <w:t>Infrastruktura transportu publicznego – warunki i uciążliwość dojścia do przystanku, warunki oczekiwania na przystanku, łatwość i sprawność wsiadania i wysiadania, wygodę w pojeździe, bezpośredniość połączeń, dogodność przesiadania się</w:t>
      </w:r>
    </w:p>
    <w:p w14:paraId="1B3D5CB5" w14:textId="77777777" w:rsidR="00531D6C" w:rsidRPr="00793C60" w:rsidRDefault="00531D6C" w:rsidP="00531D6C">
      <w:pPr>
        <w:pStyle w:val="Akapitzlist"/>
        <w:numPr>
          <w:ilvl w:val="0"/>
          <w:numId w:val="33"/>
        </w:numPr>
      </w:pPr>
      <w:r w:rsidRPr="00793C60">
        <w:t xml:space="preserve">Infrastruktura rowerowa – </w:t>
      </w:r>
      <w:r w:rsidRPr="00CD613A">
        <w:t xml:space="preserve">rozwiązania polegające między innymi </w:t>
      </w:r>
      <w:r>
        <w:t xml:space="preserve">na </w:t>
      </w:r>
      <w:r w:rsidRPr="00793C60">
        <w:t>popraw</w:t>
      </w:r>
      <w:r>
        <w:t>ie</w:t>
      </w:r>
      <w:r w:rsidRPr="00793C60">
        <w:t xml:space="preserve"> komfortu podróży użytkowników dróg rowerowych (obniżenie progów, oddzielenie ruchu pojazdów od ruchu pieszych)</w:t>
      </w:r>
      <w:r>
        <w:t>,</w:t>
      </w:r>
    </w:p>
    <w:p w14:paraId="1C1A4D9E" w14:textId="77777777" w:rsidR="00531D6C" w:rsidRDefault="00531D6C" w:rsidP="00531D6C">
      <w:pPr>
        <w:pStyle w:val="Akapitzlist"/>
        <w:numPr>
          <w:ilvl w:val="2"/>
          <w:numId w:val="3"/>
        </w:numPr>
        <w:ind w:left="864"/>
      </w:pPr>
      <w:r>
        <w:t>poprawę bezpieczeństwa ruchu drogowego,</w:t>
      </w:r>
    </w:p>
    <w:p w14:paraId="38207347" w14:textId="764D7065" w:rsidR="00531D6C" w:rsidRDefault="00531D6C" w:rsidP="00531D6C">
      <w:pPr>
        <w:pStyle w:val="Akapitzlist"/>
        <w:numPr>
          <w:ilvl w:val="2"/>
          <w:numId w:val="3"/>
        </w:numPr>
        <w:ind w:left="864"/>
      </w:pPr>
      <w:r>
        <w:t xml:space="preserve"> </w:t>
      </w:r>
      <w:r w:rsidRPr="00793C60">
        <w:t>zachowanie synergii między wdrażanym projektem i inwestycjami energetycznymi m</w:t>
      </w:r>
      <w:r>
        <w:t>iędzy innymi</w:t>
      </w:r>
      <w:r w:rsidRPr="00793C60">
        <w:t xml:space="preserve"> takimi jak inteligentne stacje ładowania i tankowania (elektryczne i wodorowe), modernizacja oświetlenia ulicznego pod kątem zwiększenia jego energooszczędności i skuteczności m</w:t>
      </w:r>
      <w:r>
        <w:t>iędzy innymi</w:t>
      </w:r>
      <w:r w:rsidRPr="00793C60">
        <w:t xml:space="preserve"> w technologii LED</w:t>
      </w:r>
      <w:r w:rsidR="007219ED">
        <w:t>,</w:t>
      </w:r>
    </w:p>
    <w:p w14:paraId="60AE6DD6" w14:textId="4FFB9AC2" w:rsidR="008F2BF5" w:rsidRDefault="008F2BF5" w:rsidP="00521EC6">
      <w:pPr>
        <w:pStyle w:val="Akapitzlist"/>
        <w:numPr>
          <w:ilvl w:val="0"/>
          <w:numId w:val="34"/>
        </w:numPr>
      </w:pPr>
      <w:r>
        <w:t xml:space="preserve">Inne, w zależności od elementów projektu. </w:t>
      </w:r>
    </w:p>
    <w:p w14:paraId="781B6AB9" w14:textId="09C1D68A" w:rsidR="0043127B" w:rsidRPr="00127DFF" w:rsidRDefault="000364A7" w:rsidP="00FF511F">
      <w:pPr>
        <w:pStyle w:val="Nagwek2"/>
        <w:numPr>
          <w:ilvl w:val="1"/>
          <w:numId w:val="3"/>
        </w:numPr>
        <w:spacing w:before="0"/>
        <w:jc w:val="left"/>
        <w:rPr>
          <w:rFonts w:eastAsiaTheme="minorHAnsi" w:cstheme="minorBidi"/>
          <w:szCs w:val="22"/>
        </w:rPr>
      </w:pPr>
      <w:bookmarkStart w:id="46" w:name="_Toc160614675"/>
      <w:r w:rsidRPr="00127DFF">
        <w:rPr>
          <w:rFonts w:eastAsiaTheme="minorHAnsi" w:cstheme="minorBidi"/>
          <w:szCs w:val="22"/>
        </w:rPr>
        <w:t>Integracja różnych środków transportu</w:t>
      </w:r>
      <w:bookmarkEnd w:id="46"/>
    </w:p>
    <w:p w14:paraId="1050F2CF" w14:textId="04249D1E" w:rsidR="00127DFF" w:rsidRPr="00127DFF" w:rsidRDefault="00127DFF" w:rsidP="00143C20">
      <w:pPr>
        <w:autoSpaceDE w:val="0"/>
        <w:autoSpaceDN w:val="0"/>
        <w:adjustRightInd w:val="0"/>
        <w:spacing w:after="0"/>
      </w:pPr>
      <w:r>
        <w:t xml:space="preserve">W </w:t>
      </w:r>
      <w:r w:rsidR="005B1E18">
        <w:t xml:space="preserve">tym </w:t>
      </w:r>
      <w:r>
        <w:t>punk</w:t>
      </w:r>
      <w:r w:rsidR="003846D4">
        <w:t>cie</w:t>
      </w:r>
      <w:r>
        <w:t xml:space="preserve"> należy </w:t>
      </w:r>
      <w:r w:rsidR="003846D4">
        <w:t>wskazać</w:t>
      </w:r>
      <w:r>
        <w:t xml:space="preserve"> czy projekt </w:t>
      </w:r>
      <w:r w:rsidR="003846D4">
        <w:t>jest</w:t>
      </w:r>
      <w:r>
        <w:t xml:space="preserve"> </w:t>
      </w:r>
      <w:r w:rsidRPr="00127DFF">
        <w:t>powiązan</w:t>
      </w:r>
      <w:r w:rsidR="003846D4">
        <w:t>y</w:t>
      </w:r>
      <w:r w:rsidRPr="00127DFF">
        <w:t xml:space="preserve"> z wprowadzaniem integracji taryfowej, oraz wdrażaniem koncepcji „Mobilność jako Usługa” (</w:t>
      </w:r>
      <w:proofErr w:type="spellStart"/>
      <w:r w:rsidRPr="00127DFF">
        <w:t>MaaS</w:t>
      </w:r>
      <w:proofErr w:type="spellEnd"/>
      <w:r w:rsidRPr="00127DFF">
        <w:t>).</w:t>
      </w:r>
    </w:p>
    <w:p w14:paraId="0C7FBC27" w14:textId="25FA1912" w:rsidR="00127DFF" w:rsidRPr="00127DFF" w:rsidRDefault="003846D4" w:rsidP="00143C20">
      <w:pPr>
        <w:autoSpaceDE w:val="0"/>
        <w:autoSpaceDN w:val="0"/>
        <w:adjustRightInd w:val="0"/>
      </w:pPr>
      <w:r>
        <w:t xml:space="preserve">Wnioskodawca powinien </w:t>
      </w:r>
      <w:r w:rsidR="005B1E18">
        <w:t xml:space="preserve">również </w:t>
      </w:r>
      <w:r>
        <w:t xml:space="preserve">opisać czy </w:t>
      </w:r>
      <w:r w:rsidR="005B1E18">
        <w:t xml:space="preserve">projekt </w:t>
      </w:r>
      <w:r w:rsidR="00127DFF" w:rsidRPr="00127DFF">
        <w:t>przyczyni się do lepszej integracji gałęzi transportu, poprawy wydolności infrastruktury, zwiększenia rangi oraz konkurencyjności transportu publicznego względem innych rodzajów transportu.</w:t>
      </w:r>
    </w:p>
    <w:p w14:paraId="5DB415EB" w14:textId="59DB4FBD" w:rsidR="00127DFF" w:rsidRPr="00127DFF" w:rsidRDefault="005B1E18" w:rsidP="00143C20">
      <w:pPr>
        <w:autoSpaceDE w:val="0"/>
        <w:autoSpaceDN w:val="0"/>
        <w:adjustRightInd w:val="0"/>
      </w:pPr>
      <w:r>
        <w:t>Przedstawiając w tym punkcie informacje należy mieć na uwadze, że r</w:t>
      </w:r>
      <w:r w:rsidR="00127DFF" w:rsidRPr="00127DFF">
        <w:t>odzaj</w:t>
      </w:r>
      <w:r>
        <w:t>ami</w:t>
      </w:r>
      <w:r w:rsidR="00127DFF" w:rsidRPr="00127DFF">
        <w:t xml:space="preserve"> transportu</w:t>
      </w:r>
      <w:r>
        <w:t>, które powinny być</w:t>
      </w:r>
      <w:r w:rsidR="00127DFF" w:rsidRPr="00127DFF">
        <w:t xml:space="preserve"> brane pod uwagę w </w:t>
      </w:r>
      <w:r>
        <w:t>przedstawianym uzasadnieniu są</w:t>
      </w:r>
      <w:r w:rsidR="00127DFF" w:rsidRPr="00127DFF">
        <w:t xml:space="preserve">: transport kolejowy, transport rowerowy, indywidualny transport samochodowy, komunikacja publiczna autobusowa, komunikacja publiczna tramwajowa, transport lotniczy. W przypadku transportu indywidualnego (samochodowego lub rowerowego) </w:t>
      </w:r>
      <w:r>
        <w:t>należy wskazać</w:t>
      </w:r>
      <w:r w:rsidR="009758E8">
        <w:t>,</w:t>
      </w:r>
      <w:r>
        <w:t xml:space="preserve"> czy</w:t>
      </w:r>
      <w:r w:rsidR="00127DFF" w:rsidRPr="00127DFF">
        <w:t xml:space="preserve"> istnieje możliwość przesiadki na transport publiczny w ramach organizowanego węzła przesiadkowego.</w:t>
      </w:r>
      <w:r w:rsidR="002F077E">
        <w:t xml:space="preserve"> Jeśli w ramach projektu </w:t>
      </w:r>
      <w:r w:rsidR="00127DFF" w:rsidRPr="00127DFF">
        <w:t>dokonana zostanie nowa integracja systemu opłat</w:t>
      </w:r>
      <w:r w:rsidR="002F077E">
        <w:t>,</w:t>
      </w:r>
      <w:r w:rsidR="00127DFF" w:rsidRPr="00127DFF">
        <w:t xml:space="preserve"> </w:t>
      </w:r>
      <w:r w:rsidR="002F077E">
        <w:t xml:space="preserve">należy ją szczegółowo opisać, wskazując przy tym czy </w:t>
      </w:r>
      <w:r w:rsidR="00127DFF" w:rsidRPr="00127DFF">
        <w:lastRenderedPageBreak/>
        <w:t>obejm</w:t>
      </w:r>
      <w:r w:rsidR="002F077E">
        <w:t xml:space="preserve">ować ona będzie </w:t>
      </w:r>
      <w:r w:rsidR="00127DFF" w:rsidRPr="00127DFF">
        <w:t xml:space="preserve">nowopowstałe lub zmodernizowane elementy projektu, </w:t>
      </w:r>
      <w:r w:rsidR="002F077E">
        <w:t>czy też</w:t>
      </w:r>
      <w:r w:rsidR="00127DFF" w:rsidRPr="00127DFF">
        <w:t xml:space="preserve"> elementy projektu zostaną wykorzystane w ramach obecnie funkcjonujących zintegrowanych systemów opłat przyczyniając się do jego rozwoju.</w:t>
      </w:r>
    </w:p>
    <w:p w14:paraId="4C7EBA38" w14:textId="64F7BF3A" w:rsidR="00F27752" w:rsidRDefault="002F077E" w:rsidP="00143C20">
      <w:pPr>
        <w:spacing w:before="120"/>
      </w:pPr>
      <w:r>
        <w:t>W przypadku projektów z zakresu komunikacji publicznej należy wskazać</w:t>
      </w:r>
      <w:r w:rsidR="009758E8">
        <w:t>,</w:t>
      </w:r>
      <w:r>
        <w:t xml:space="preserve"> czy </w:t>
      </w:r>
      <w:r w:rsidR="00127DFF" w:rsidRPr="00127DFF">
        <w:t xml:space="preserve">w wyniku </w:t>
      </w:r>
      <w:r>
        <w:t xml:space="preserve">jego </w:t>
      </w:r>
      <w:r w:rsidR="00127DFF" w:rsidRPr="00127DFF">
        <w:t xml:space="preserve">realizacji zostanie wprowadzona nowa linia komunikacji publicznej, której rozkład jazdy zostanie poddany koordynacji, </w:t>
      </w:r>
      <w:r>
        <w:t>czy też</w:t>
      </w:r>
      <w:r w:rsidR="00127DFF" w:rsidRPr="00127DFF">
        <w:t xml:space="preserve"> elementy projektu zostaną wykorzystane na aktualnie funkcjonujących liniach komunikacji publicznej, których rozkład jest skoordynowany.</w:t>
      </w:r>
    </w:p>
    <w:p w14:paraId="6C501B8F" w14:textId="060A1D71" w:rsidR="00C6772E" w:rsidRDefault="00C6772E" w:rsidP="00143C20">
      <w:pPr>
        <w:spacing w:before="120"/>
      </w:pPr>
      <w:r>
        <w:t>Należy wskazać</w:t>
      </w:r>
      <w:r w:rsidR="00CC3C4F">
        <w:t>,</w:t>
      </w:r>
      <w:r>
        <w:t xml:space="preserve"> czy w ramach projektu:</w:t>
      </w:r>
    </w:p>
    <w:p w14:paraId="1D3AB314" w14:textId="7C0563E8" w:rsidR="00C6772E" w:rsidRDefault="00C6772E" w:rsidP="00E601FD">
      <w:pPr>
        <w:pStyle w:val="Akapitzlist"/>
        <w:numPr>
          <w:ilvl w:val="0"/>
          <w:numId w:val="20"/>
        </w:numPr>
      </w:pPr>
      <w:r>
        <w:t>powstanie węzeł przesiadkowy i</w:t>
      </w:r>
      <w:r w:rsidR="00CC3C4F">
        <w:t>ntegrujący co najmniej 2 środki</w:t>
      </w:r>
      <w:r>
        <w:t xml:space="preserve"> transportu (należy wskazać lokalizację węzła i jakie rodzaje transportu będzie integrowa</w:t>
      </w:r>
      <w:r w:rsidR="00CC3C4F">
        <w:t>ć</w:t>
      </w:r>
      <w:r>
        <w:t>)</w:t>
      </w:r>
      <w:r w:rsidR="002F077E">
        <w:t>,</w:t>
      </w:r>
    </w:p>
    <w:p w14:paraId="014F21B6" w14:textId="2255C1DF" w:rsidR="00C6772E" w:rsidRDefault="00C6772E" w:rsidP="00E601FD">
      <w:pPr>
        <w:pStyle w:val="Akapitzlist"/>
        <w:numPr>
          <w:ilvl w:val="0"/>
          <w:numId w:val="20"/>
        </w:numPr>
      </w:pPr>
      <w:r>
        <w:t>zostanie stworzony system uje</w:t>
      </w:r>
      <w:r w:rsidR="00CC3C4F">
        <w:t>dnoliconych opłat za przewozy dla</w:t>
      </w:r>
      <w:r>
        <w:t xml:space="preserve"> co najmniej 2 przewoźników (należy wskazać jakich przewoźników dotyczyć będzie ujednolicenie systemu opłat)</w:t>
      </w:r>
      <w:r w:rsidR="002F077E">
        <w:t>,</w:t>
      </w:r>
    </w:p>
    <w:p w14:paraId="1E987EC5" w14:textId="3F2636DA" w:rsidR="00C6772E" w:rsidRPr="00C6772E" w:rsidRDefault="001C09AB" w:rsidP="00E601FD">
      <w:pPr>
        <w:pStyle w:val="Akapitzlist"/>
        <w:numPr>
          <w:ilvl w:val="0"/>
          <w:numId w:val="20"/>
        </w:numPr>
      </w:pPr>
      <w:r>
        <w:t>n</w:t>
      </w:r>
      <w:r w:rsidR="00C6772E">
        <w:t>astąpi koordynacja rozkładów jazdy dla co najmniej 2 przewoźników (należy wskazać jakich przewoźników i linii dotyczyć będzie koordynacja)</w:t>
      </w:r>
      <w:r w:rsidR="006468A6">
        <w:t>.</w:t>
      </w:r>
    </w:p>
    <w:p w14:paraId="00AEF437" w14:textId="38F26B4D" w:rsidR="0043127B" w:rsidRDefault="000364A7" w:rsidP="00FF511F">
      <w:pPr>
        <w:pStyle w:val="Nagwek2"/>
        <w:numPr>
          <w:ilvl w:val="1"/>
          <w:numId w:val="3"/>
        </w:numPr>
        <w:spacing w:before="0"/>
        <w:jc w:val="left"/>
        <w:rPr>
          <w:rFonts w:cstheme="minorHAnsi"/>
          <w:szCs w:val="24"/>
        </w:rPr>
      </w:pPr>
      <w:bookmarkStart w:id="47" w:name="_Toc160614676"/>
      <w:r>
        <w:rPr>
          <w:rFonts w:cstheme="minorHAnsi"/>
          <w:szCs w:val="24"/>
        </w:rPr>
        <w:t>Kompleksowość projektu</w:t>
      </w:r>
      <w:bookmarkEnd w:id="47"/>
    </w:p>
    <w:p w14:paraId="18FE7114" w14:textId="29D260BD" w:rsidR="005B45C9" w:rsidRDefault="005B45C9" w:rsidP="00940BAB">
      <w:r>
        <w:t xml:space="preserve">Należy wskazać </w:t>
      </w:r>
      <w:r w:rsidR="006468A6">
        <w:t xml:space="preserve">enumeratywnie </w:t>
      </w:r>
      <w:r w:rsidR="00593C8A">
        <w:t xml:space="preserve">jakie </w:t>
      </w:r>
      <w:r w:rsidR="006468A6">
        <w:t>rodzaj</w:t>
      </w:r>
      <w:r w:rsidR="00593C8A">
        <w:t>e</w:t>
      </w:r>
      <w:r w:rsidR="006468A6">
        <w:t xml:space="preserve"> </w:t>
      </w:r>
      <w:r>
        <w:t>działa</w:t>
      </w:r>
      <w:r w:rsidR="006468A6">
        <w:t>ń</w:t>
      </w:r>
      <w:r>
        <w:t xml:space="preserve"> na rzecz zrównoważonego transportu zostaną podjęte w ramach projektu. </w:t>
      </w:r>
      <w:r w:rsidR="00C513F8">
        <w:t>W ramach opisu należy wykazać kom</w:t>
      </w:r>
      <w:r w:rsidR="00127DFF">
        <w:t>pleksowość podejmowanych działań</w:t>
      </w:r>
      <w:r w:rsidR="00C513F8">
        <w:t xml:space="preserve"> </w:t>
      </w:r>
      <w:r w:rsidR="006468A6" w:rsidRPr="006468A6">
        <w:t>mających wpływ na zmniejszenie emisji CO</w:t>
      </w:r>
      <w:r w:rsidR="00940BAB">
        <w:rPr>
          <w:vertAlign w:val="subscript"/>
        </w:rPr>
        <w:t>2</w:t>
      </w:r>
      <w:r w:rsidR="006468A6" w:rsidRPr="006468A6">
        <w:t xml:space="preserve"> i innych zanieczyszczeń uciążliwych dla środowiska</w:t>
      </w:r>
      <w:r w:rsidR="006468A6">
        <w:t xml:space="preserve"> i mieszkańców oraz zwiększających</w:t>
      </w:r>
      <w:r w:rsidR="006468A6" w:rsidRPr="006468A6">
        <w:t xml:space="preserve"> efektywność energetyczną transpo</w:t>
      </w:r>
      <w:r w:rsidR="006468A6">
        <w:t>rtu publicznego i przyczyniających</w:t>
      </w:r>
      <w:r w:rsidR="006468A6" w:rsidRPr="006468A6">
        <w:t xml:space="preserve"> się do poprawy funkcjonowania systemu komunikacyjnego</w:t>
      </w:r>
      <w:r w:rsidR="00C513F8">
        <w:t xml:space="preserve">. Działania, które można wykazać w ramach opisu </w:t>
      </w:r>
      <w:r w:rsidR="006468A6">
        <w:t>to</w:t>
      </w:r>
      <w:r>
        <w:t>:</w:t>
      </w:r>
      <w:r w:rsidRPr="005B45C9">
        <w:t xml:space="preserve"> </w:t>
      </w:r>
    </w:p>
    <w:p w14:paraId="0C179F01" w14:textId="509E52C1" w:rsidR="005B45C9" w:rsidRDefault="005B45C9" w:rsidP="00E601FD">
      <w:pPr>
        <w:pStyle w:val="Akapitzlist"/>
        <w:numPr>
          <w:ilvl w:val="0"/>
          <w:numId w:val="21"/>
        </w:numPr>
      </w:pPr>
      <w:r>
        <w:t>zakup niskoemisyjnego/efektywnego energetycznie taboru dla transportu publicznego;</w:t>
      </w:r>
    </w:p>
    <w:p w14:paraId="013BB26C" w14:textId="69B74B63" w:rsidR="005B45C9" w:rsidRDefault="005B45C9" w:rsidP="00E601FD">
      <w:pPr>
        <w:pStyle w:val="Akapitzlist"/>
        <w:numPr>
          <w:ilvl w:val="0"/>
          <w:numId w:val="21"/>
        </w:numPr>
      </w:pPr>
      <w:r>
        <w:t>budowa/przebudowa infrastruktury transportu publicznego z działaniami inwestycyjnymi;</w:t>
      </w:r>
    </w:p>
    <w:p w14:paraId="6A389087" w14:textId="4DE4E495" w:rsidR="005B45C9" w:rsidRDefault="005B45C9" w:rsidP="00B950EA">
      <w:pPr>
        <w:pStyle w:val="Akapitzlist"/>
        <w:numPr>
          <w:ilvl w:val="0"/>
          <w:numId w:val="21"/>
        </w:numPr>
        <w:ind w:left="714" w:hanging="357"/>
      </w:pPr>
      <w:r>
        <w:t>budowa systemów zarządzania i organizacji ruchu lub jego elementów;</w:t>
      </w:r>
    </w:p>
    <w:p w14:paraId="170D8D33" w14:textId="2E88CC97" w:rsidR="005B45C9" w:rsidRDefault="005B45C9" w:rsidP="00E601FD">
      <w:pPr>
        <w:pStyle w:val="Akapitzlist"/>
        <w:numPr>
          <w:ilvl w:val="0"/>
          <w:numId w:val="21"/>
        </w:numPr>
      </w:pPr>
      <w:r>
        <w:t>budowa, przebudowa i modernizacja dróg dla rowerów;</w:t>
      </w:r>
    </w:p>
    <w:p w14:paraId="7DEE89A8" w14:textId="1F005D52" w:rsidR="005B45C9" w:rsidRDefault="005B45C9" w:rsidP="00E601FD">
      <w:pPr>
        <w:pStyle w:val="Akapitzlist"/>
        <w:numPr>
          <w:ilvl w:val="0"/>
          <w:numId w:val="21"/>
        </w:numPr>
      </w:pPr>
      <w:r>
        <w:t xml:space="preserve">w przypadku gdy planowana ścieżka rowerowa lub ciąg pieszo – rowerowy </w:t>
      </w:r>
      <w:r w:rsidR="00CC3C4F">
        <w:t xml:space="preserve">zachowuje </w:t>
      </w:r>
      <w:r>
        <w:t>spójnoś</w:t>
      </w:r>
      <w:r w:rsidR="00CC3C4F">
        <w:t>ć</w:t>
      </w:r>
      <w:r>
        <w:t xml:space="preserve"> z już istniejącą na danym terenie siecią dróg rowerowych/ciągów pieszo – rowerowych;</w:t>
      </w:r>
    </w:p>
    <w:p w14:paraId="4323F1B6" w14:textId="31A9B5F0" w:rsidR="005B45C9" w:rsidRDefault="005B45C9" w:rsidP="00E601FD">
      <w:pPr>
        <w:pStyle w:val="Akapitzlist"/>
        <w:numPr>
          <w:ilvl w:val="0"/>
          <w:numId w:val="21"/>
        </w:numPr>
      </w:pPr>
      <w:r>
        <w:t>budowa infrastruktury tankowania/ładowania pojazdów zeroemisyjnych;</w:t>
      </w:r>
    </w:p>
    <w:p w14:paraId="54FC9A5F" w14:textId="2C9BE22B" w:rsidR="005B45C9" w:rsidRDefault="005B45C9" w:rsidP="00E601FD">
      <w:pPr>
        <w:pStyle w:val="Akapitzlist"/>
        <w:numPr>
          <w:ilvl w:val="0"/>
          <w:numId w:val="21"/>
        </w:numPr>
      </w:pPr>
      <w:r>
        <w:t>montaż efektywnego energetycznego oświetlenia ulicznego lub modernizację oświetlenia pod kątem energooszczędności;</w:t>
      </w:r>
    </w:p>
    <w:p w14:paraId="3CC9FC1F" w14:textId="6AA2C45C" w:rsidR="005B45C9" w:rsidRDefault="005B45C9" w:rsidP="00E601FD">
      <w:pPr>
        <w:pStyle w:val="Akapitzlist"/>
        <w:numPr>
          <w:ilvl w:val="0"/>
          <w:numId w:val="21"/>
        </w:numPr>
      </w:pPr>
      <w:r>
        <w:t>działania informacyjno-promocyjne na rzecz zachęcania mieszkańców do korzystania z transportu publicznego.</w:t>
      </w:r>
    </w:p>
    <w:p w14:paraId="74E9028E" w14:textId="6A9AE421" w:rsidR="0043127B" w:rsidRDefault="000364A7" w:rsidP="00FF511F">
      <w:pPr>
        <w:pStyle w:val="Nagwek2"/>
        <w:numPr>
          <w:ilvl w:val="1"/>
          <w:numId w:val="3"/>
        </w:numPr>
        <w:spacing w:before="0"/>
        <w:jc w:val="left"/>
        <w:rPr>
          <w:rFonts w:cstheme="minorHAnsi"/>
          <w:szCs w:val="24"/>
        </w:rPr>
      </w:pPr>
      <w:bookmarkStart w:id="48" w:name="_Toc160614677"/>
      <w:r>
        <w:rPr>
          <w:rFonts w:cstheme="minorHAnsi"/>
          <w:szCs w:val="24"/>
        </w:rPr>
        <w:t>Działania na rzecz zrównoważonej mobilności</w:t>
      </w:r>
      <w:bookmarkEnd w:id="48"/>
    </w:p>
    <w:p w14:paraId="532EBBED" w14:textId="073B5E30" w:rsidR="005B45C9" w:rsidRDefault="005B45C9" w:rsidP="00AA33D2">
      <w:r>
        <w:t>Należy wskazać</w:t>
      </w:r>
      <w:r w:rsidR="00CC3C4F">
        <w:t>,</w:t>
      </w:r>
      <w:r>
        <w:t xml:space="preserve"> jakie działania na rzecz zrównoważonej </w:t>
      </w:r>
      <w:r w:rsidR="00953889">
        <w:t xml:space="preserve">mobilności </w:t>
      </w:r>
      <w:r>
        <w:t xml:space="preserve">będą realizowane oraz </w:t>
      </w:r>
      <w:r w:rsidRPr="005B45C9">
        <w:t>czy przedsi</w:t>
      </w:r>
      <w:r w:rsidR="00DC2CBF">
        <w:t>ęwzięcie uwzględnia informacje lub</w:t>
      </w:r>
      <w:r w:rsidRPr="005B45C9">
        <w:t xml:space="preserve"> elementy z planów zrównoważonej mobilności </w:t>
      </w:r>
      <w:r w:rsidRPr="005B45C9">
        <w:lastRenderedPageBreak/>
        <w:t>miejskiej lub dokumentów równoważnych</w:t>
      </w:r>
      <w:r>
        <w:t>.</w:t>
      </w:r>
      <w:r w:rsidR="00953889">
        <w:t xml:space="preserve"> Przedstawiając informacje Wnioskodawca powinien wskazać czy realizacja projektu będzie: </w:t>
      </w:r>
    </w:p>
    <w:p w14:paraId="53971B5C" w14:textId="545D4952" w:rsidR="00F45196" w:rsidRDefault="00953889" w:rsidP="00E601FD">
      <w:pPr>
        <w:pStyle w:val="Akapitzlist"/>
        <w:numPr>
          <w:ilvl w:val="1"/>
          <w:numId w:val="22"/>
        </w:numPr>
      </w:pPr>
      <w:r w:rsidRPr="00953889">
        <w:t>prowadzić do</w:t>
      </w:r>
      <w:r w:rsidRPr="00953889" w:rsidDel="00953889">
        <w:t xml:space="preserve"> </w:t>
      </w:r>
      <w:r w:rsidR="00D56507" w:rsidRPr="00AA33D2">
        <w:t>zapewni</w:t>
      </w:r>
      <w:r>
        <w:t>enia</w:t>
      </w:r>
      <w:r w:rsidR="00D56507" w:rsidRPr="00AA33D2">
        <w:t xml:space="preserve"> taki</w:t>
      </w:r>
      <w:r>
        <w:t>ch</w:t>
      </w:r>
      <w:r w:rsidR="00D56507" w:rsidRPr="00AA33D2">
        <w:t xml:space="preserve"> opcj</w:t>
      </w:r>
      <w:r>
        <w:t>i</w:t>
      </w:r>
      <w:r w:rsidR="00D56507" w:rsidRPr="00AA33D2">
        <w:t xml:space="preserve"> transportow</w:t>
      </w:r>
      <w:r>
        <w:t>ych</w:t>
      </w:r>
      <w:r w:rsidR="00D56507" w:rsidRPr="00AA33D2">
        <w:t>, które umożliwiają podróżnym, dostęp do kluczowych celów podróży i usług</w:t>
      </w:r>
      <w:r>
        <w:t>;</w:t>
      </w:r>
    </w:p>
    <w:p w14:paraId="50301944" w14:textId="2ADDB8ED" w:rsidR="00AA33D2" w:rsidRPr="00AA33D2" w:rsidRDefault="00953889" w:rsidP="00E601FD">
      <w:pPr>
        <w:pStyle w:val="Akapitzlist"/>
        <w:numPr>
          <w:ilvl w:val="1"/>
          <w:numId w:val="22"/>
        </w:numPr>
        <w:jc w:val="both"/>
      </w:pPr>
      <w:r>
        <w:t xml:space="preserve">mieć </w:t>
      </w:r>
      <w:r w:rsidR="00AA33D2" w:rsidRPr="00AA33D2">
        <w:t>pozytywn</w:t>
      </w:r>
      <w:r>
        <w:t>y wpływ</w:t>
      </w:r>
      <w:r w:rsidR="00AA33D2" w:rsidRPr="00AA33D2">
        <w:t xml:space="preserve"> na atrakcyjność i jakość środowiska miejskiego z korzyścią dla mieszkańców, gospodarki, oraz społeczności jako całości; </w:t>
      </w:r>
    </w:p>
    <w:p w14:paraId="60461E91" w14:textId="1E0A6DDE" w:rsidR="00AA33D2" w:rsidRPr="00AA33D2" w:rsidRDefault="00953889" w:rsidP="00E601FD">
      <w:pPr>
        <w:pStyle w:val="Akapitzlist"/>
        <w:numPr>
          <w:ilvl w:val="1"/>
          <w:numId w:val="22"/>
        </w:numPr>
        <w:jc w:val="both"/>
      </w:pPr>
      <w:r>
        <w:t xml:space="preserve">prowadzić do </w:t>
      </w:r>
      <w:r w:rsidR="00AA33D2" w:rsidRPr="00AA33D2">
        <w:t>popraw</w:t>
      </w:r>
      <w:r>
        <w:t>y</w:t>
      </w:r>
      <w:r w:rsidR="00AA33D2" w:rsidRPr="00AA33D2">
        <w:t xml:space="preserve"> wydajnoś</w:t>
      </w:r>
      <w:r w:rsidR="00CC3C4F">
        <w:t>ci</w:t>
      </w:r>
      <w:r w:rsidR="00AA33D2" w:rsidRPr="00AA33D2">
        <w:t xml:space="preserve"> i efektywnoś</w:t>
      </w:r>
      <w:r w:rsidR="00CC3C4F">
        <w:t>ci</w:t>
      </w:r>
      <w:r w:rsidR="00AA33D2" w:rsidRPr="00AA33D2">
        <w:t xml:space="preserve"> kosztow</w:t>
      </w:r>
      <w:r>
        <w:t>ej</w:t>
      </w:r>
      <w:r w:rsidR="00AA33D2" w:rsidRPr="00AA33D2">
        <w:t xml:space="preserve"> transportu osób i towarów; </w:t>
      </w:r>
    </w:p>
    <w:p w14:paraId="7D0F8AD9" w14:textId="4B6AD0E5" w:rsidR="00AA33D2" w:rsidRPr="00AA33D2" w:rsidRDefault="00AA33D2" w:rsidP="00E601FD">
      <w:pPr>
        <w:pStyle w:val="Akapitzlist"/>
        <w:numPr>
          <w:ilvl w:val="1"/>
          <w:numId w:val="22"/>
        </w:numPr>
        <w:jc w:val="both"/>
      </w:pPr>
      <w:r w:rsidRPr="00AA33D2">
        <w:t>przyczyni</w:t>
      </w:r>
      <w:r w:rsidR="00953889">
        <w:t>ać</w:t>
      </w:r>
      <w:r w:rsidRPr="00AA33D2">
        <w:t xml:space="preserve"> się do redukcji zanieczyszczenia powietrza i hałasu, redukcji emisji gazów cieplarnianych oraz konsumpcji energii;</w:t>
      </w:r>
    </w:p>
    <w:p w14:paraId="6C737C85" w14:textId="5BDCCE6F" w:rsidR="00D56507" w:rsidRPr="005B45C9" w:rsidRDefault="00AA33D2" w:rsidP="00E601FD">
      <w:pPr>
        <w:pStyle w:val="Akapitzlist"/>
        <w:numPr>
          <w:ilvl w:val="1"/>
          <w:numId w:val="22"/>
        </w:numPr>
      </w:pPr>
      <w:r w:rsidRPr="00AA33D2">
        <w:t>powod</w:t>
      </w:r>
      <w:r w:rsidR="00953889">
        <w:t>ować</w:t>
      </w:r>
      <w:r w:rsidRPr="00AA33D2">
        <w:t xml:space="preserve"> zmniejszenie zatłoczenia miast i ograniczenie ruchu drogowego w ich centrach (szersze wykorzystanie bardziej efektywnego transportu publicznego oraz niezmotoryzowanego indywidualnego, zmniejszenie wykorzystania samochodów osobowych).</w:t>
      </w:r>
    </w:p>
    <w:p w14:paraId="0449D791" w14:textId="35FA81D7" w:rsidR="008924A9" w:rsidRPr="008924A9" w:rsidRDefault="000364A7" w:rsidP="008924A9">
      <w:pPr>
        <w:pStyle w:val="Nagwek2"/>
        <w:numPr>
          <w:ilvl w:val="1"/>
          <w:numId w:val="3"/>
        </w:numPr>
        <w:spacing w:before="0"/>
        <w:jc w:val="left"/>
        <w:rPr>
          <w:rFonts w:cstheme="minorHAnsi"/>
          <w:szCs w:val="24"/>
        </w:rPr>
      </w:pPr>
      <w:bookmarkStart w:id="49" w:name="_Toc160614678"/>
      <w:r>
        <w:rPr>
          <w:rFonts w:cstheme="minorHAnsi"/>
          <w:szCs w:val="24"/>
        </w:rPr>
        <w:t>Innowacyjne rozwiązania w ramach projektu</w:t>
      </w:r>
      <w:bookmarkEnd w:id="49"/>
    </w:p>
    <w:p w14:paraId="36BF47CF" w14:textId="0C3A2A08" w:rsidR="005B45C9" w:rsidRDefault="005B45C9" w:rsidP="005B45C9">
      <w:r>
        <w:t xml:space="preserve">Należy wskazać </w:t>
      </w:r>
      <w:r w:rsidR="007F0AE6">
        <w:t xml:space="preserve">i opisać </w:t>
      </w:r>
      <w:r>
        <w:t>innowacyjne rozwiązania zastosowane w ramach projektu</w:t>
      </w:r>
      <w:r w:rsidR="00605B51">
        <w:t xml:space="preserve"> mię</w:t>
      </w:r>
      <w:r w:rsidR="00D47FE8">
        <w:t>dzy innymi wykorzystanie Inteligentnych Systemów Transportowych</w:t>
      </w:r>
      <w:r>
        <w:t xml:space="preserve">. </w:t>
      </w:r>
      <w:r w:rsidRPr="005B45C9">
        <w:t>Poprzez innowacyjność projektu rozumie</w:t>
      </w:r>
      <w:r w:rsidR="007F0AE6">
        <w:t xml:space="preserve"> się</w:t>
      </w:r>
      <w:r w:rsidRPr="005B45C9">
        <w:t xml:space="preserve"> nie tylko jego innowacyjny charakter, ale także innowacyjne techniki zastosowane podczas budowy i materiały</w:t>
      </w:r>
      <w:r w:rsidR="00AA33D2">
        <w:t>.</w:t>
      </w:r>
    </w:p>
    <w:p w14:paraId="1FB0A2B6" w14:textId="429F851A" w:rsidR="008924A9" w:rsidRDefault="00F03ABD" w:rsidP="008924A9">
      <w:pPr>
        <w:pStyle w:val="Nagwek2"/>
        <w:numPr>
          <w:ilvl w:val="1"/>
          <w:numId w:val="3"/>
        </w:numPr>
      </w:pPr>
      <w:r>
        <w:t xml:space="preserve"> </w:t>
      </w:r>
      <w:bookmarkStart w:id="50" w:name="_Toc160614679"/>
      <w:r w:rsidR="007B6C85" w:rsidRPr="007B6C85">
        <w:t>Komplementarność z innymi projektami</w:t>
      </w:r>
      <w:bookmarkEnd w:id="50"/>
    </w:p>
    <w:p w14:paraId="7AF0A975" w14:textId="77777777" w:rsidR="00863D16" w:rsidRPr="00863D16" w:rsidRDefault="00863D16" w:rsidP="00863D16">
      <w:pPr>
        <w:rPr>
          <w:rFonts w:eastAsiaTheme="majorEastAsia" w:cstheme="minorHAnsi"/>
          <w:szCs w:val="24"/>
        </w:rPr>
      </w:pPr>
      <w:r w:rsidRPr="00863D16">
        <w:rPr>
          <w:rFonts w:eastAsiaTheme="majorEastAsia" w:cstheme="minorHAnsi"/>
          <w:szCs w:val="24"/>
        </w:rPr>
        <w:t>Komplementarność projektów to ich dopełnianie się prowadzące do realizacji określonego celu. Podkreślić należy, że do uznania projektów za komplementarne nie jest wystarczające spełnienie przesłanki takiego samego lub wspólnego celu, gdyż ten warunek może być wypełniony w odniesieniu do projektów konkurujących ze sobą. Warunkiem koniecznym do określenia projektów jako komplementarne jest ich uzupełniający się charakter, wykluczający powielanie się działań.</w:t>
      </w:r>
    </w:p>
    <w:p w14:paraId="7DA1F7F8" w14:textId="538F8076" w:rsidR="00863D16" w:rsidRPr="00863D16" w:rsidRDefault="00863D16" w:rsidP="00863D16">
      <w:pPr>
        <w:rPr>
          <w:rFonts w:eastAsiaTheme="majorEastAsia" w:cstheme="minorHAnsi"/>
          <w:szCs w:val="24"/>
        </w:rPr>
      </w:pPr>
      <w:r w:rsidRPr="00863D16">
        <w:rPr>
          <w:rFonts w:eastAsiaTheme="majorEastAsia" w:cstheme="minorHAnsi"/>
          <w:szCs w:val="24"/>
        </w:rPr>
        <w:t>Wnioskodawca powinien wykazać komplementarność co najmniej w zakresie tematyki i obszaru realizacji projektu w odniesieniu do innych adekwatnych projektów, działań i</w:t>
      </w:r>
      <w:r w:rsidR="00F03ABD">
        <w:rPr>
          <w:rFonts w:eastAsiaTheme="majorEastAsia" w:cstheme="minorHAnsi"/>
          <w:szCs w:val="24"/>
        </w:rPr>
        <w:t xml:space="preserve"> </w:t>
      </w:r>
      <w:r w:rsidRPr="00863D16">
        <w:rPr>
          <w:rFonts w:eastAsiaTheme="majorEastAsia" w:cstheme="minorHAnsi"/>
          <w:szCs w:val="24"/>
        </w:rPr>
        <w:t>t</w:t>
      </w:r>
      <w:r w:rsidR="00F03ABD">
        <w:rPr>
          <w:rFonts w:eastAsiaTheme="majorEastAsia" w:cstheme="minorHAnsi"/>
          <w:szCs w:val="24"/>
        </w:rPr>
        <w:t xml:space="preserve">ym </w:t>
      </w:r>
      <w:r w:rsidRPr="00863D16">
        <w:rPr>
          <w:rFonts w:eastAsiaTheme="majorEastAsia" w:cstheme="minorHAnsi"/>
          <w:szCs w:val="24"/>
        </w:rPr>
        <w:t>p</w:t>
      </w:r>
      <w:r w:rsidR="00F03ABD">
        <w:rPr>
          <w:rFonts w:eastAsiaTheme="majorEastAsia" w:cstheme="minorHAnsi"/>
          <w:szCs w:val="24"/>
        </w:rPr>
        <w:t xml:space="preserve">odobne </w:t>
      </w:r>
      <w:r w:rsidRPr="00863D16">
        <w:rPr>
          <w:rFonts w:eastAsiaTheme="majorEastAsia" w:cstheme="minorHAnsi"/>
          <w:szCs w:val="24"/>
        </w:rPr>
        <w:t xml:space="preserve">w ramach </w:t>
      </w:r>
      <w:r w:rsidR="00F03ABD" w:rsidRPr="004E630B">
        <w:rPr>
          <w:rFonts w:cstheme="minorHAnsi"/>
          <w:szCs w:val="24"/>
        </w:rPr>
        <w:t>Programu Fundusze Europejskie dla Wielkopolski 2021-2027</w:t>
      </w:r>
      <w:r w:rsidR="00F03ABD">
        <w:rPr>
          <w:rFonts w:cstheme="minorHAnsi"/>
          <w:szCs w:val="24"/>
        </w:rPr>
        <w:t xml:space="preserve">, </w:t>
      </w:r>
      <w:r w:rsidRPr="00863D16">
        <w:rPr>
          <w:rFonts w:eastAsiaTheme="majorEastAsia" w:cstheme="minorHAnsi"/>
          <w:szCs w:val="24"/>
        </w:rPr>
        <w:t>innych programów, innych projektów finansowanych ze środków europejskich, krajowych oraz własnych.</w:t>
      </w:r>
    </w:p>
    <w:p w14:paraId="0ED7373C" w14:textId="159BD8F0" w:rsidR="000F6D34" w:rsidRPr="00863D16" w:rsidRDefault="00863D16" w:rsidP="00863D16">
      <w:pPr>
        <w:rPr>
          <w:rFonts w:eastAsiaTheme="majorEastAsia" w:cstheme="minorHAnsi"/>
          <w:szCs w:val="24"/>
        </w:rPr>
      </w:pPr>
      <w:r w:rsidRPr="00863D16">
        <w:rPr>
          <w:rFonts w:eastAsiaTheme="majorEastAsia" w:cstheme="minorHAnsi"/>
          <w:szCs w:val="24"/>
        </w:rPr>
        <w:t>W przypadku zakupu taboru realizowane inwestycje powinny być komplementarne z działaniami organizatorów transportu publicznego związanymi z poprawą dostępności transportu publicznego w ujęciu terytorialnymi i jakościowym (n</w:t>
      </w:r>
      <w:r w:rsidR="0037505F">
        <w:rPr>
          <w:rFonts w:eastAsiaTheme="majorEastAsia" w:cstheme="minorHAnsi"/>
          <w:szCs w:val="24"/>
        </w:rPr>
        <w:t>a przykład:</w:t>
      </w:r>
      <w:r w:rsidRPr="00863D16">
        <w:rPr>
          <w:rFonts w:eastAsiaTheme="majorEastAsia" w:cstheme="minorHAnsi"/>
          <w:szCs w:val="24"/>
        </w:rPr>
        <w:t xml:space="preserve"> zagęszczenie przystanków, nowe trasy autobusowe, i</w:t>
      </w:r>
      <w:r w:rsidR="00F03ABD">
        <w:rPr>
          <w:rFonts w:eastAsiaTheme="majorEastAsia" w:cstheme="minorHAnsi"/>
          <w:szCs w:val="24"/>
        </w:rPr>
        <w:t xml:space="preserve"> </w:t>
      </w:r>
      <w:r w:rsidRPr="00863D16">
        <w:rPr>
          <w:rFonts w:eastAsiaTheme="majorEastAsia" w:cstheme="minorHAnsi"/>
          <w:szCs w:val="24"/>
        </w:rPr>
        <w:t>t</w:t>
      </w:r>
      <w:r w:rsidR="00F03ABD">
        <w:rPr>
          <w:rFonts w:eastAsiaTheme="majorEastAsia" w:cstheme="minorHAnsi"/>
          <w:szCs w:val="24"/>
        </w:rPr>
        <w:t xml:space="preserve">ym </w:t>
      </w:r>
      <w:r w:rsidRPr="00863D16">
        <w:rPr>
          <w:rFonts w:eastAsiaTheme="majorEastAsia" w:cstheme="minorHAnsi"/>
          <w:szCs w:val="24"/>
        </w:rPr>
        <w:t>p</w:t>
      </w:r>
      <w:r w:rsidR="00F03ABD">
        <w:rPr>
          <w:rFonts w:eastAsiaTheme="majorEastAsia" w:cstheme="minorHAnsi"/>
          <w:szCs w:val="24"/>
        </w:rPr>
        <w:t>odobne</w:t>
      </w:r>
      <w:r w:rsidRPr="00863D16">
        <w:rPr>
          <w:rFonts w:eastAsiaTheme="majorEastAsia" w:cstheme="minorHAnsi"/>
          <w:szCs w:val="24"/>
        </w:rPr>
        <w:t>).</w:t>
      </w:r>
    </w:p>
    <w:p w14:paraId="7319758A" w14:textId="46A581F3" w:rsidR="00863D16" w:rsidRPr="00863D16" w:rsidRDefault="00F03ABD" w:rsidP="00863D16">
      <w:pPr>
        <w:rPr>
          <w:rFonts w:eastAsiaTheme="majorEastAsia" w:cstheme="minorHAnsi"/>
          <w:szCs w:val="24"/>
        </w:rPr>
      </w:pPr>
      <w:r>
        <w:rPr>
          <w:rFonts w:eastAsiaTheme="majorEastAsia" w:cstheme="minorHAnsi"/>
          <w:szCs w:val="24"/>
        </w:rPr>
        <w:t xml:space="preserve">Należy wykazać </w:t>
      </w:r>
      <w:r w:rsidR="00863D16" w:rsidRPr="00863D16">
        <w:rPr>
          <w:rFonts w:eastAsiaTheme="majorEastAsia" w:cstheme="minorHAnsi"/>
          <w:szCs w:val="24"/>
        </w:rPr>
        <w:t>powiązanie projektu z innymi przedsięwzięciami, zarówno tymi zrealizowanymi, jak też z tymi, które są w trakcie realizacji, względnie z tymi, które dopiero uzyskały dofinansowanie. Chodzi tu o projekty realizowane przez beneficjenta, partnerów lub inne podmioty.</w:t>
      </w:r>
    </w:p>
    <w:tbl>
      <w:tblPr>
        <w:tblStyle w:val="Tabela-Siatka"/>
        <w:tblW w:w="0" w:type="auto"/>
        <w:tblLook w:val="04A0" w:firstRow="1" w:lastRow="0" w:firstColumn="1" w:lastColumn="0" w:noHBand="0" w:noVBand="1"/>
      </w:tblPr>
      <w:tblGrid>
        <w:gridCol w:w="1925"/>
        <w:gridCol w:w="1925"/>
        <w:gridCol w:w="1926"/>
        <w:gridCol w:w="1926"/>
        <w:gridCol w:w="1926"/>
      </w:tblGrid>
      <w:tr w:rsidR="00A72C2A" w14:paraId="7C56825A" w14:textId="77777777" w:rsidTr="00A72C2A">
        <w:tc>
          <w:tcPr>
            <w:tcW w:w="1925" w:type="dxa"/>
          </w:tcPr>
          <w:p w14:paraId="6BD1B04B" w14:textId="54BC34DD" w:rsidR="00A72C2A" w:rsidRPr="00A72C2A" w:rsidRDefault="00A72C2A" w:rsidP="00A72C2A">
            <w:pPr>
              <w:spacing w:after="80"/>
              <w:rPr>
                <w:rFonts w:cstheme="minorHAnsi"/>
                <w:b/>
                <w:bCs/>
                <w:szCs w:val="24"/>
              </w:rPr>
            </w:pPr>
            <w:r w:rsidRPr="00A72C2A">
              <w:rPr>
                <w:rFonts w:cstheme="minorHAnsi"/>
                <w:b/>
                <w:bCs/>
                <w:szCs w:val="24"/>
              </w:rPr>
              <w:lastRenderedPageBreak/>
              <w:t>Tytuł projektu</w:t>
            </w:r>
            <w:r>
              <w:rPr>
                <w:rFonts w:cstheme="minorHAnsi"/>
                <w:b/>
                <w:bCs/>
                <w:szCs w:val="24"/>
              </w:rPr>
              <w:t xml:space="preserve"> </w:t>
            </w:r>
            <w:r w:rsidRPr="00A72C2A">
              <w:rPr>
                <w:rFonts w:cstheme="minorHAnsi"/>
                <w:b/>
                <w:bCs/>
                <w:szCs w:val="24"/>
              </w:rPr>
              <w:t>(zakres)</w:t>
            </w:r>
          </w:p>
        </w:tc>
        <w:tc>
          <w:tcPr>
            <w:tcW w:w="1925" w:type="dxa"/>
          </w:tcPr>
          <w:p w14:paraId="66651180" w14:textId="651FDC3B" w:rsidR="00A72C2A" w:rsidRPr="00A72C2A" w:rsidRDefault="00A72C2A" w:rsidP="00A72C2A">
            <w:pPr>
              <w:spacing w:after="80"/>
              <w:rPr>
                <w:rFonts w:cstheme="minorHAnsi"/>
                <w:b/>
                <w:bCs/>
                <w:szCs w:val="24"/>
              </w:rPr>
            </w:pPr>
            <w:r w:rsidRPr="00A72C2A">
              <w:rPr>
                <w:rFonts w:cstheme="minorHAnsi"/>
                <w:b/>
                <w:bCs/>
                <w:szCs w:val="24"/>
              </w:rPr>
              <w:t>Wartość</w:t>
            </w:r>
            <w:r>
              <w:rPr>
                <w:rFonts w:cstheme="minorHAnsi"/>
                <w:b/>
                <w:bCs/>
                <w:szCs w:val="24"/>
              </w:rPr>
              <w:t xml:space="preserve"> </w:t>
            </w:r>
            <w:r w:rsidRPr="00A72C2A">
              <w:rPr>
                <w:rFonts w:cstheme="minorHAnsi"/>
                <w:b/>
                <w:bCs/>
                <w:szCs w:val="24"/>
              </w:rPr>
              <w:t>całkowita</w:t>
            </w:r>
          </w:p>
        </w:tc>
        <w:tc>
          <w:tcPr>
            <w:tcW w:w="1926" w:type="dxa"/>
          </w:tcPr>
          <w:p w14:paraId="4E5D36D6" w14:textId="18B2807F" w:rsidR="00A72C2A" w:rsidRPr="00A72C2A" w:rsidRDefault="00A72C2A" w:rsidP="00A72C2A">
            <w:pPr>
              <w:spacing w:after="80"/>
              <w:rPr>
                <w:rFonts w:cstheme="minorHAnsi"/>
                <w:b/>
                <w:bCs/>
                <w:szCs w:val="24"/>
              </w:rPr>
            </w:pPr>
            <w:r w:rsidRPr="00A72C2A">
              <w:rPr>
                <w:rFonts w:cstheme="minorHAnsi"/>
                <w:b/>
                <w:bCs/>
                <w:szCs w:val="24"/>
              </w:rPr>
              <w:t>Źródła i wartość dofinansowania</w:t>
            </w:r>
          </w:p>
        </w:tc>
        <w:tc>
          <w:tcPr>
            <w:tcW w:w="1926" w:type="dxa"/>
          </w:tcPr>
          <w:p w14:paraId="219BB101" w14:textId="77777777" w:rsidR="00A72C2A" w:rsidRPr="00A72C2A" w:rsidRDefault="00A72C2A" w:rsidP="00A72C2A">
            <w:pPr>
              <w:widowControl w:val="0"/>
              <w:spacing w:after="80"/>
              <w:rPr>
                <w:rFonts w:cstheme="minorHAnsi"/>
                <w:b/>
                <w:bCs/>
                <w:szCs w:val="24"/>
              </w:rPr>
            </w:pPr>
            <w:r w:rsidRPr="00A72C2A">
              <w:rPr>
                <w:rFonts w:cstheme="minorHAnsi"/>
                <w:b/>
                <w:bCs/>
                <w:szCs w:val="24"/>
              </w:rPr>
              <w:t>Okres</w:t>
            </w:r>
          </w:p>
          <w:p w14:paraId="690D99B0" w14:textId="6CE237B2" w:rsidR="00A72C2A" w:rsidRPr="00A72C2A" w:rsidRDefault="00A72C2A" w:rsidP="00A72C2A">
            <w:pPr>
              <w:spacing w:after="80"/>
              <w:rPr>
                <w:rFonts w:cstheme="minorHAnsi"/>
                <w:b/>
                <w:bCs/>
                <w:szCs w:val="24"/>
              </w:rPr>
            </w:pPr>
            <w:r w:rsidRPr="00A72C2A">
              <w:rPr>
                <w:rFonts w:cstheme="minorHAnsi"/>
                <w:b/>
                <w:bCs/>
                <w:szCs w:val="24"/>
              </w:rPr>
              <w:t>realizacji</w:t>
            </w:r>
          </w:p>
        </w:tc>
        <w:tc>
          <w:tcPr>
            <w:tcW w:w="1926" w:type="dxa"/>
          </w:tcPr>
          <w:p w14:paraId="49CDEEFF" w14:textId="2F54A76E" w:rsidR="00A72C2A" w:rsidRPr="00A72C2A" w:rsidRDefault="00A72C2A" w:rsidP="00A72C2A">
            <w:pPr>
              <w:spacing w:after="80"/>
              <w:rPr>
                <w:rFonts w:cstheme="minorHAnsi"/>
                <w:b/>
                <w:bCs/>
                <w:szCs w:val="24"/>
              </w:rPr>
            </w:pPr>
            <w:r w:rsidRPr="00A72C2A">
              <w:rPr>
                <w:rFonts w:cstheme="minorHAnsi"/>
                <w:b/>
                <w:bCs/>
                <w:szCs w:val="24"/>
              </w:rPr>
              <w:t>Uzasadnienie związku z projektem</w:t>
            </w:r>
          </w:p>
        </w:tc>
      </w:tr>
      <w:tr w:rsidR="00A72C2A" w14:paraId="4816D909" w14:textId="77777777" w:rsidTr="00CF0E63">
        <w:trPr>
          <w:trHeight w:val="1028"/>
        </w:trPr>
        <w:tc>
          <w:tcPr>
            <w:tcW w:w="1925" w:type="dxa"/>
          </w:tcPr>
          <w:p w14:paraId="1DD3AF1C" w14:textId="77777777" w:rsidR="00A72C2A" w:rsidRDefault="00A72C2A" w:rsidP="007B6C85">
            <w:pPr>
              <w:rPr>
                <w:rFonts w:eastAsiaTheme="majorEastAsia" w:cstheme="minorHAnsi"/>
                <w:szCs w:val="24"/>
              </w:rPr>
            </w:pPr>
          </w:p>
        </w:tc>
        <w:tc>
          <w:tcPr>
            <w:tcW w:w="1925" w:type="dxa"/>
          </w:tcPr>
          <w:p w14:paraId="5CF174C0" w14:textId="77777777" w:rsidR="00A72C2A" w:rsidRDefault="00A72C2A" w:rsidP="007B6C85">
            <w:pPr>
              <w:rPr>
                <w:rFonts w:eastAsiaTheme="majorEastAsia" w:cstheme="minorHAnsi"/>
                <w:szCs w:val="24"/>
              </w:rPr>
            </w:pPr>
          </w:p>
        </w:tc>
        <w:tc>
          <w:tcPr>
            <w:tcW w:w="1926" w:type="dxa"/>
          </w:tcPr>
          <w:p w14:paraId="3618D0B4" w14:textId="77777777" w:rsidR="00A72C2A" w:rsidRDefault="00A72C2A" w:rsidP="007B6C85">
            <w:pPr>
              <w:rPr>
                <w:rFonts w:eastAsiaTheme="majorEastAsia" w:cstheme="minorHAnsi"/>
                <w:szCs w:val="24"/>
              </w:rPr>
            </w:pPr>
          </w:p>
        </w:tc>
        <w:tc>
          <w:tcPr>
            <w:tcW w:w="1926" w:type="dxa"/>
          </w:tcPr>
          <w:p w14:paraId="710B52E5" w14:textId="77777777" w:rsidR="00A72C2A" w:rsidRDefault="00A72C2A" w:rsidP="007B6C85">
            <w:pPr>
              <w:rPr>
                <w:rFonts w:eastAsiaTheme="majorEastAsia" w:cstheme="minorHAnsi"/>
                <w:szCs w:val="24"/>
              </w:rPr>
            </w:pPr>
          </w:p>
        </w:tc>
        <w:tc>
          <w:tcPr>
            <w:tcW w:w="1926" w:type="dxa"/>
          </w:tcPr>
          <w:p w14:paraId="5A77FC4C" w14:textId="77777777" w:rsidR="00A72C2A" w:rsidRDefault="00A72C2A" w:rsidP="007B6C85">
            <w:pPr>
              <w:rPr>
                <w:rFonts w:eastAsiaTheme="majorEastAsia" w:cstheme="minorHAnsi"/>
                <w:szCs w:val="24"/>
              </w:rPr>
            </w:pPr>
          </w:p>
        </w:tc>
      </w:tr>
    </w:tbl>
    <w:p w14:paraId="21823842" w14:textId="37AD8CD1" w:rsidR="00A72C2A" w:rsidRDefault="00A72C2A" w:rsidP="007B6C85">
      <w:pPr>
        <w:rPr>
          <w:rFonts w:eastAsiaTheme="majorEastAsia" w:cstheme="minorHAnsi"/>
          <w:szCs w:val="24"/>
        </w:rPr>
      </w:pPr>
    </w:p>
    <w:p w14:paraId="10B49463" w14:textId="7B42A3BA" w:rsidR="00A633E5" w:rsidRDefault="005157BB" w:rsidP="008924A9">
      <w:pPr>
        <w:pStyle w:val="Nagwek1"/>
      </w:pPr>
      <w:bookmarkStart w:id="51" w:name="_Toc138156808"/>
      <w:bookmarkStart w:id="52" w:name="_Toc138156852"/>
      <w:bookmarkStart w:id="53" w:name="_Toc138156927"/>
      <w:bookmarkStart w:id="54" w:name="_Toc138156970"/>
      <w:bookmarkStart w:id="55" w:name="_Toc138157012"/>
      <w:bookmarkStart w:id="56" w:name="_Toc138157054"/>
      <w:bookmarkStart w:id="57" w:name="_Toc138157614"/>
      <w:bookmarkStart w:id="58" w:name="_Toc138161190"/>
      <w:bookmarkStart w:id="59" w:name="_Toc138234709"/>
      <w:bookmarkStart w:id="60" w:name="_Toc138236587"/>
      <w:bookmarkStart w:id="61" w:name="_Toc138240074"/>
      <w:bookmarkStart w:id="62" w:name="_Toc138240117"/>
      <w:bookmarkStart w:id="63" w:name="_Toc160614680"/>
      <w:bookmarkEnd w:id="51"/>
      <w:bookmarkEnd w:id="52"/>
      <w:bookmarkEnd w:id="53"/>
      <w:bookmarkEnd w:id="54"/>
      <w:bookmarkEnd w:id="55"/>
      <w:bookmarkEnd w:id="56"/>
      <w:bookmarkEnd w:id="57"/>
      <w:bookmarkEnd w:id="58"/>
      <w:bookmarkEnd w:id="59"/>
      <w:bookmarkEnd w:id="60"/>
      <w:bookmarkEnd w:id="61"/>
      <w:bookmarkEnd w:id="62"/>
      <w:r w:rsidRPr="00587B52">
        <w:t xml:space="preserve">Analiza </w:t>
      </w:r>
      <w:r w:rsidR="00571A0E" w:rsidRPr="00587B52">
        <w:t>wariantów</w:t>
      </w:r>
      <w:r w:rsidR="00A633E5">
        <w:t xml:space="preserve"> i popytu dla projektów </w:t>
      </w:r>
      <w:r w:rsidR="009376C6">
        <w:t xml:space="preserve">inwestycyjnych </w:t>
      </w:r>
      <w:r w:rsidR="00A633E5">
        <w:t>z sektora transportu</w:t>
      </w:r>
      <w:bookmarkEnd w:id="63"/>
      <w:r w:rsidR="00A633E5">
        <w:t xml:space="preserve"> </w:t>
      </w:r>
    </w:p>
    <w:p w14:paraId="3942A73D" w14:textId="65CF6E63" w:rsidR="00A633E5" w:rsidRPr="00A633E5" w:rsidRDefault="00335B6B" w:rsidP="00A633E5">
      <w:r>
        <w:t>Analizę</w:t>
      </w:r>
      <w:r w:rsidR="00A633E5" w:rsidRPr="00A633E5">
        <w:t xml:space="preserve"> należy przeprowadzić w oparciu o instrukcje zawarte w podręczniku </w:t>
      </w:r>
      <w:r w:rsidR="00A633E5" w:rsidRPr="0021334E">
        <w:t>Niebieska Księga – Sektor transportu publicznego w miastach, aglomeracjach i regionach</w:t>
      </w:r>
      <w:r w:rsidR="00A633E5" w:rsidRPr="00143C20">
        <w:t xml:space="preserve"> (Jaspers, 2023)</w:t>
      </w:r>
      <w:r w:rsidR="00A633E5" w:rsidRPr="00A633E5">
        <w:t>:</w:t>
      </w:r>
    </w:p>
    <w:p w14:paraId="4D1694EB" w14:textId="7D5A0F24" w:rsidR="00A633E5" w:rsidRPr="0021334E" w:rsidRDefault="00A633E5" w:rsidP="001E15C7">
      <w:pPr>
        <w:numPr>
          <w:ilvl w:val="0"/>
          <w:numId w:val="23"/>
        </w:numPr>
        <w:ind w:left="714" w:hanging="357"/>
        <w:contextualSpacing/>
      </w:pPr>
      <w:r w:rsidRPr="00143C20">
        <w:t xml:space="preserve">analiza wariantów o </w:t>
      </w:r>
      <w:r w:rsidR="0094672F" w:rsidRPr="00143C20">
        <w:t>instrukcje</w:t>
      </w:r>
      <w:r w:rsidRPr="00143C20">
        <w:t xml:space="preserve"> zawarte </w:t>
      </w:r>
      <w:r w:rsidR="00C057C6" w:rsidRPr="00143C20">
        <w:t xml:space="preserve">między innymi </w:t>
      </w:r>
      <w:r w:rsidRPr="00143C20">
        <w:t xml:space="preserve">w punktach: 1.3 </w:t>
      </w:r>
      <w:r w:rsidR="005C1834">
        <w:t>„</w:t>
      </w:r>
      <w:r w:rsidRPr="0021334E">
        <w:t>Identyfikacja efektywnych wariantów inwestycyjnych projektu</w:t>
      </w:r>
      <w:r w:rsidR="005C1834">
        <w:t>”</w:t>
      </w:r>
      <w:r w:rsidRPr="00143C20">
        <w:t xml:space="preserve"> oraz 1.4 </w:t>
      </w:r>
      <w:r w:rsidR="005C1834">
        <w:t>„</w:t>
      </w:r>
      <w:r w:rsidRPr="0021334E">
        <w:t>Definicja wariantu bezinwestycyjnego (scenariusza bazowego)</w:t>
      </w:r>
      <w:r w:rsidR="005C1834">
        <w:t>”,</w:t>
      </w:r>
      <w:r w:rsidRPr="0021334E">
        <w:t xml:space="preserve"> </w:t>
      </w:r>
    </w:p>
    <w:p w14:paraId="765BD954" w14:textId="1BF002C3" w:rsidR="00A633E5" w:rsidRPr="0021334E" w:rsidRDefault="00A633E5" w:rsidP="00E601FD">
      <w:pPr>
        <w:numPr>
          <w:ilvl w:val="0"/>
          <w:numId w:val="23"/>
        </w:numPr>
        <w:contextualSpacing/>
        <w:rPr>
          <w:i/>
        </w:rPr>
      </w:pPr>
      <w:r w:rsidRPr="00143C20">
        <w:t>analiza popytu</w:t>
      </w:r>
      <w:r w:rsidRPr="0021334E">
        <w:t xml:space="preserve"> </w:t>
      </w:r>
      <w:r w:rsidRPr="00143C20">
        <w:t xml:space="preserve">o </w:t>
      </w:r>
      <w:r w:rsidR="0094672F" w:rsidRPr="00143C20">
        <w:t>metodologię zawartą</w:t>
      </w:r>
      <w:r w:rsidRPr="00143C20">
        <w:t xml:space="preserve"> </w:t>
      </w:r>
      <w:r w:rsidR="00C057C6" w:rsidRPr="00143C20">
        <w:t xml:space="preserve">między innymi </w:t>
      </w:r>
      <w:r w:rsidRPr="00143C20">
        <w:t xml:space="preserve">w punkcie 1.7 </w:t>
      </w:r>
      <w:r w:rsidR="005C1834">
        <w:t>„</w:t>
      </w:r>
      <w:r w:rsidRPr="0021334E">
        <w:t>Analiza popytu</w:t>
      </w:r>
      <w:r w:rsidR="005C1834">
        <w:t>”</w:t>
      </w:r>
      <w:r w:rsidRPr="0021334E">
        <w:t>.</w:t>
      </w:r>
    </w:p>
    <w:p w14:paraId="07534766" w14:textId="5D016CF6" w:rsidR="00D25734" w:rsidRPr="00A633E5" w:rsidRDefault="00D25734" w:rsidP="0021334E">
      <w:pPr>
        <w:contextualSpacing/>
        <w:rPr>
          <w:i/>
        </w:rPr>
      </w:pPr>
      <w:r>
        <w:t>Stosowne obliczenia należy przeprowadzić w arkuszu „</w:t>
      </w:r>
      <w:r>
        <w:rPr>
          <w:rFonts w:cstheme="minorHAnsi"/>
          <w:szCs w:val="24"/>
        </w:rPr>
        <w:t>Obliczenia</w:t>
      </w:r>
      <w:r w:rsidRPr="00143C20">
        <w:rPr>
          <w:rFonts w:cstheme="minorHAnsi"/>
          <w:szCs w:val="24"/>
        </w:rPr>
        <w:t xml:space="preserve"> - Niebieska Księga</w:t>
      </w:r>
      <w:r>
        <w:rPr>
          <w:rFonts w:cstheme="minorHAnsi"/>
          <w:szCs w:val="24"/>
        </w:rPr>
        <w:t>”.</w:t>
      </w:r>
    </w:p>
    <w:p w14:paraId="09A62A69" w14:textId="77777777" w:rsidR="001E15C7" w:rsidRDefault="001728B7" w:rsidP="006424BB">
      <w:pPr>
        <w:rPr>
          <w:rFonts w:cstheme="minorHAnsi"/>
          <w:szCs w:val="24"/>
        </w:rPr>
      </w:pPr>
      <w:r w:rsidRPr="00587B52">
        <w:rPr>
          <w:rFonts w:cstheme="minorHAnsi"/>
          <w:szCs w:val="24"/>
        </w:rPr>
        <w:t>Należy wskazać wariant wybrany do realizacji oraz przedstawić uzasadnienie jego wyboru.</w:t>
      </w:r>
    </w:p>
    <w:p w14:paraId="3B9CBD57" w14:textId="235EDF38" w:rsidR="001728B7" w:rsidRDefault="001728B7" w:rsidP="006424BB">
      <w:pPr>
        <w:rPr>
          <w:rFonts w:cstheme="minorHAnsi"/>
          <w:szCs w:val="24"/>
        </w:rPr>
      </w:pPr>
      <w:r w:rsidRPr="00587B52">
        <w:rPr>
          <w:rFonts w:cstheme="minorHAnsi"/>
          <w:szCs w:val="24"/>
        </w:rPr>
        <w:t xml:space="preserve"> </w:t>
      </w:r>
    </w:p>
    <w:p w14:paraId="67EDDDB4" w14:textId="77777777" w:rsidR="009758E8" w:rsidRDefault="001E15C7" w:rsidP="001E15C7">
      <w:pPr>
        <w:rPr>
          <w:rFonts w:cstheme="minorHAnsi"/>
          <w:szCs w:val="24"/>
        </w:rPr>
      </w:pPr>
      <w:r w:rsidRPr="009758E8">
        <w:rPr>
          <w:rFonts w:cstheme="minorHAnsi"/>
          <w:szCs w:val="24"/>
        </w:rPr>
        <w:t xml:space="preserve">W przypadku projektu obejmującego zadania w zakresie instalacji OZE analiza ma ponadto wskazywać, czy uzyskanie dofinansowania wywoła efekt zachęty (artykuł </w:t>
      </w:r>
      <w:r w:rsidR="009758E8" w:rsidRPr="009758E8">
        <w:rPr>
          <w:rFonts w:cstheme="minorHAnsi"/>
          <w:szCs w:val="24"/>
        </w:rPr>
        <w:t>6 Rozporządzenia Komisji (UE)</w:t>
      </w:r>
      <w:r w:rsidRPr="009758E8">
        <w:rPr>
          <w:rFonts w:cstheme="minorHAnsi"/>
          <w:szCs w:val="24"/>
        </w:rPr>
        <w:t xml:space="preserve"> 651/2014). Do oceny wystąpienia efektu zachęty konieczne jest wprowadzenie do analizy co najmniej dwóch różnych modeli realizacji projektu (przy każdym z wariantów) - przy udziale i bez udziału środków pochodzących z dofinansowania w ramach </w:t>
      </w:r>
      <w:r w:rsidR="009758E8" w:rsidRPr="009758E8">
        <w:rPr>
          <w:rFonts w:cstheme="minorHAnsi"/>
          <w:szCs w:val="24"/>
        </w:rPr>
        <w:t xml:space="preserve">Programu </w:t>
      </w:r>
      <w:r w:rsidRPr="009758E8">
        <w:rPr>
          <w:rFonts w:cstheme="minorHAnsi"/>
          <w:szCs w:val="24"/>
        </w:rPr>
        <w:t>Fundusz</w:t>
      </w:r>
      <w:r w:rsidR="009758E8" w:rsidRPr="009758E8">
        <w:rPr>
          <w:rFonts w:cstheme="minorHAnsi"/>
          <w:szCs w:val="24"/>
        </w:rPr>
        <w:t>e</w:t>
      </w:r>
      <w:r w:rsidRPr="009758E8">
        <w:rPr>
          <w:rFonts w:cstheme="minorHAnsi"/>
          <w:szCs w:val="24"/>
        </w:rPr>
        <w:t xml:space="preserve"> Europejski</w:t>
      </w:r>
      <w:r w:rsidR="009758E8" w:rsidRPr="009758E8">
        <w:rPr>
          <w:rFonts w:cstheme="minorHAnsi"/>
          <w:szCs w:val="24"/>
        </w:rPr>
        <w:t>e</w:t>
      </w:r>
      <w:r w:rsidRPr="009758E8">
        <w:rPr>
          <w:rFonts w:cstheme="minorHAnsi"/>
          <w:szCs w:val="24"/>
        </w:rPr>
        <w:t xml:space="preserve"> dla Wielkopolski 2021-2027. Przedmiotowe modele mają wykazać, że wskutek uz</w:t>
      </w:r>
      <w:r w:rsidR="009758E8">
        <w:rPr>
          <w:rFonts w:cstheme="minorHAnsi"/>
          <w:szCs w:val="24"/>
        </w:rPr>
        <w:t>yskania dofinansowania nastąpi:</w:t>
      </w:r>
    </w:p>
    <w:p w14:paraId="57131169" w14:textId="0E8883A4" w:rsidR="009758E8" w:rsidRPr="00B950EA" w:rsidRDefault="001E15C7" w:rsidP="00B950EA">
      <w:pPr>
        <w:pStyle w:val="Akapitzlist"/>
        <w:numPr>
          <w:ilvl w:val="1"/>
          <w:numId w:val="35"/>
        </w:numPr>
        <w:jc w:val="both"/>
      </w:pPr>
      <w:r w:rsidRPr="00B950EA">
        <w:t>znaczące zwiększenie zasięgu projektu lub działania dzięki środkowi pomocy, lub</w:t>
      </w:r>
    </w:p>
    <w:p w14:paraId="0552CFE6" w14:textId="5C451533" w:rsidR="009758E8" w:rsidRPr="00B950EA" w:rsidRDefault="001E15C7" w:rsidP="00B950EA">
      <w:pPr>
        <w:pStyle w:val="Akapitzlist"/>
        <w:numPr>
          <w:ilvl w:val="1"/>
          <w:numId w:val="35"/>
        </w:numPr>
        <w:jc w:val="both"/>
      </w:pPr>
      <w:r w:rsidRPr="00B950EA">
        <w:t>znaczące zwiększenie całkowitej kwoty wydanej przez beneficjenta na projekt lub działan</w:t>
      </w:r>
      <w:r w:rsidR="009758E8" w:rsidRPr="00B950EA">
        <w:t xml:space="preserve">ie dzięki środkowi pomocy, lub </w:t>
      </w:r>
    </w:p>
    <w:p w14:paraId="20FB6E6B" w14:textId="6874C9AE" w:rsidR="001E15C7" w:rsidRPr="009758E8" w:rsidRDefault="001E15C7" w:rsidP="00B950EA">
      <w:pPr>
        <w:pStyle w:val="Akapitzlist"/>
        <w:numPr>
          <w:ilvl w:val="1"/>
          <w:numId w:val="35"/>
        </w:numPr>
        <w:jc w:val="both"/>
        <w:rPr>
          <w:rFonts w:cstheme="minorHAnsi"/>
          <w:szCs w:val="24"/>
        </w:rPr>
      </w:pPr>
      <w:r w:rsidRPr="00B950EA">
        <w:t>znaczące przyspieszenie</w:t>
      </w:r>
      <w:r w:rsidRPr="009758E8">
        <w:rPr>
          <w:rFonts w:cstheme="minorHAnsi"/>
          <w:szCs w:val="24"/>
        </w:rPr>
        <w:t xml:space="preserve"> zakończenia projektu lub działania.</w:t>
      </w:r>
    </w:p>
    <w:p w14:paraId="5117663C" w14:textId="77777777" w:rsidR="001E15C7" w:rsidRPr="009758E8" w:rsidRDefault="001E15C7" w:rsidP="001E15C7">
      <w:pPr>
        <w:rPr>
          <w:rFonts w:cstheme="minorHAnsi"/>
          <w:szCs w:val="24"/>
        </w:rPr>
      </w:pPr>
      <w:r w:rsidRPr="009758E8">
        <w:rPr>
          <w:rFonts w:cstheme="minorHAnsi"/>
          <w:szCs w:val="24"/>
        </w:rPr>
        <w:t>w stosunku do wariantu, który zakłada realizację projektu bez otrzymania dofinansowania ze środków Funduszy Europejskich dla Wielkopolski 2021-2027.</w:t>
      </w:r>
    </w:p>
    <w:p w14:paraId="50C6123C" w14:textId="09B9EDCF" w:rsidR="001E15C7" w:rsidRPr="009758E8" w:rsidRDefault="001E15C7" w:rsidP="001E15C7">
      <w:pPr>
        <w:rPr>
          <w:rFonts w:cstheme="minorHAnsi"/>
          <w:szCs w:val="24"/>
        </w:rPr>
      </w:pPr>
      <w:r w:rsidRPr="009758E8">
        <w:rPr>
          <w:rFonts w:cstheme="minorHAnsi"/>
          <w:szCs w:val="24"/>
        </w:rPr>
        <w:t>Należy wskazać wariant wybrany do realizacji oraz przedstawić uzasadnienie jego wyboru.</w:t>
      </w:r>
    </w:p>
    <w:p w14:paraId="0785CEC5" w14:textId="11CB03D1" w:rsidR="005157BB" w:rsidRPr="00587B52" w:rsidRDefault="005157BB" w:rsidP="008924A9">
      <w:pPr>
        <w:pStyle w:val="Nagwek1"/>
      </w:pPr>
      <w:bookmarkStart w:id="64" w:name="_Toc160614681"/>
      <w:r w:rsidRPr="00587B52">
        <w:t>Analiza finansowa</w:t>
      </w:r>
      <w:bookmarkEnd w:id="64"/>
    </w:p>
    <w:p w14:paraId="0CB6BBB7" w14:textId="5AC76D97" w:rsidR="00D8761D" w:rsidRDefault="00335B6B" w:rsidP="00CF08EB">
      <w:pPr>
        <w:rPr>
          <w:rFonts w:cstheme="minorHAnsi"/>
          <w:szCs w:val="24"/>
        </w:rPr>
      </w:pPr>
      <w:r>
        <w:rPr>
          <w:rFonts w:cstheme="minorHAnsi"/>
          <w:szCs w:val="24"/>
        </w:rPr>
        <w:t>Analizę</w:t>
      </w:r>
      <w:r w:rsidR="00AD05F3">
        <w:rPr>
          <w:rFonts w:cstheme="minorHAnsi"/>
          <w:szCs w:val="24"/>
        </w:rPr>
        <w:t xml:space="preserve"> finansową należy przeprowadzić </w:t>
      </w:r>
      <w:r w:rsidR="00D8761D">
        <w:rPr>
          <w:rFonts w:cstheme="minorHAnsi"/>
          <w:szCs w:val="24"/>
        </w:rPr>
        <w:t>zgodnie z informacjami zawartymi w</w:t>
      </w:r>
      <w:r w:rsidR="00D8761D" w:rsidRPr="00D8761D">
        <w:t xml:space="preserve"> </w:t>
      </w:r>
      <w:r w:rsidR="00D8761D">
        <w:rPr>
          <w:rFonts w:cstheme="minorHAnsi"/>
          <w:szCs w:val="24"/>
        </w:rPr>
        <w:t xml:space="preserve">Wytycznych dotyczących </w:t>
      </w:r>
      <w:r w:rsidR="00D8761D" w:rsidRPr="00D8761D">
        <w:rPr>
          <w:rFonts w:cstheme="minorHAnsi"/>
          <w:szCs w:val="24"/>
        </w:rPr>
        <w:t>zagadnień związanych z przygotowaniem projektów inwestycyjnych, w ty</w:t>
      </w:r>
      <w:r w:rsidR="00D8761D">
        <w:rPr>
          <w:rFonts w:cstheme="minorHAnsi"/>
          <w:szCs w:val="24"/>
        </w:rPr>
        <w:t>m hybrydowych na lata 2021-2027. Należy również posiłkować się instrukcjami zawartymi</w:t>
      </w:r>
      <w:r w:rsidR="00CF08EB">
        <w:rPr>
          <w:rFonts w:cstheme="minorHAnsi"/>
          <w:szCs w:val="24"/>
        </w:rPr>
        <w:t xml:space="preserve"> w </w:t>
      </w:r>
      <w:r w:rsidR="00CF08EB" w:rsidRPr="00143C20">
        <w:rPr>
          <w:rFonts w:cstheme="minorHAnsi"/>
          <w:szCs w:val="24"/>
        </w:rPr>
        <w:t xml:space="preserve">podręczniku Niebieska Księga – Sektor transportu publicznego w miastach, aglomeracjach i </w:t>
      </w:r>
      <w:r w:rsidR="00CF08EB" w:rsidRPr="00143C20">
        <w:rPr>
          <w:rFonts w:cstheme="minorHAnsi"/>
          <w:szCs w:val="24"/>
        </w:rPr>
        <w:lastRenderedPageBreak/>
        <w:t>regionach (Jaspers, 2023)</w:t>
      </w:r>
      <w:r w:rsidR="00CF08EB">
        <w:rPr>
          <w:rFonts w:cstheme="minorHAnsi"/>
          <w:szCs w:val="24"/>
        </w:rPr>
        <w:t xml:space="preserve">. Zakres stosowania </w:t>
      </w:r>
      <w:r w:rsidR="00CF08EB" w:rsidRPr="0021334E">
        <w:rPr>
          <w:rFonts w:cstheme="minorHAnsi"/>
          <w:szCs w:val="24"/>
        </w:rPr>
        <w:t>Niebieskiej Księgi</w:t>
      </w:r>
      <w:r w:rsidR="00CF08EB" w:rsidRPr="00143C20">
        <w:rPr>
          <w:rFonts w:cstheme="minorHAnsi"/>
          <w:szCs w:val="24"/>
        </w:rPr>
        <w:t xml:space="preserve"> został</w:t>
      </w:r>
      <w:r w:rsidR="00CF08EB">
        <w:rPr>
          <w:rFonts w:cstheme="minorHAnsi"/>
          <w:szCs w:val="24"/>
        </w:rPr>
        <w:t xml:space="preserve"> określony we wstępie podręcznika w akapicie „Zakres podręcznika”.</w:t>
      </w:r>
      <w:r w:rsidR="005C1834">
        <w:rPr>
          <w:rFonts w:cstheme="minorHAnsi"/>
          <w:szCs w:val="24"/>
        </w:rPr>
        <w:t xml:space="preserve"> </w:t>
      </w:r>
    </w:p>
    <w:p w14:paraId="226CF9AC" w14:textId="210E6D0A" w:rsidR="00F1374F" w:rsidRPr="00587B52" w:rsidRDefault="00F1374F" w:rsidP="006424BB">
      <w:pPr>
        <w:rPr>
          <w:rFonts w:cstheme="minorHAnsi"/>
          <w:szCs w:val="24"/>
        </w:rPr>
      </w:pPr>
      <w:r w:rsidRPr="00587B52">
        <w:rPr>
          <w:rFonts w:cstheme="minorHAnsi"/>
          <w:szCs w:val="24"/>
        </w:rPr>
        <w:t xml:space="preserve">Analizę finansową należy przeprowadzić w oparciu o metodę DCF, przy uwzględnieniu </w:t>
      </w:r>
      <w:r w:rsidR="006424BB">
        <w:rPr>
          <w:rFonts w:cstheme="minorHAnsi"/>
          <w:szCs w:val="24"/>
        </w:rPr>
        <w:t>między innymi</w:t>
      </w:r>
      <w:r w:rsidRPr="00587B52">
        <w:rPr>
          <w:rFonts w:cstheme="minorHAnsi"/>
          <w:szCs w:val="24"/>
        </w:rPr>
        <w:t>:</w:t>
      </w:r>
    </w:p>
    <w:p w14:paraId="49B2FC4C" w14:textId="77777777" w:rsidR="00F1374F" w:rsidRPr="00587B52" w:rsidRDefault="00F1374F" w:rsidP="004C2B17">
      <w:pPr>
        <w:numPr>
          <w:ilvl w:val="0"/>
          <w:numId w:val="10"/>
        </w:numPr>
        <w:contextualSpacing/>
        <w:rPr>
          <w:rFonts w:cstheme="minorHAnsi"/>
          <w:szCs w:val="24"/>
        </w:rPr>
      </w:pPr>
      <w:r w:rsidRPr="00587B52">
        <w:rPr>
          <w:rFonts w:cstheme="minorHAnsi"/>
          <w:szCs w:val="24"/>
        </w:rPr>
        <w:t>analizy skonsolidowanej prowadzonej jednocześnie z punktu widzenia właściciela infrastruktury, jak i podmiotu gospodarczego ją eksploatującego (operatora), w przypadku gdy są oni odrębnymi podmiotami;</w:t>
      </w:r>
    </w:p>
    <w:p w14:paraId="7285CE04" w14:textId="15DBD7CE" w:rsidR="00F1374F" w:rsidRPr="00587B52" w:rsidRDefault="00F1374F" w:rsidP="004C2B17">
      <w:pPr>
        <w:numPr>
          <w:ilvl w:val="0"/>
          <w:numId w:val="10"/>
        </w:numPr>
        <w:contextualSpacing/>
        <w:rPr>
          <w:rFonts w:cstheme="minorHAnsi"/>
          <w:szCs w:val="24"/>
        </w:rPr>
      </w:pPr>
      <w:r w:rsidRPr="00587B52">
        <w:rPr>
          <w:rFonts w:cstheme="minorHAnsi"/>
          <w:szCs w:val="24"/>
        </w:rPr>
        <w:t>wyłącznie przepływów środków pieniężnych, t</w:t>
      </w:r>
      <w:r w:rsidR="00413F73">
        <w:rPr>
          <w:rFonts w:cstheme="minorHAnsi"/>
          <w:szCs w:val="24"/>
        </w:rPr>
        <w:t>o jest</w:t>
      </w:r>
      <w:r w:rsidRPr="00587B52">
        <w:rPr>
          <w:rFonts w:cstheme="minorHAnsi"/>
          <w:szCs w:val="24"/>
        </w:rPr>
        <w:t xml:space="preserve"> rzeczywistej kwoty pieniężnej wypłacanej lub otrzymywanej przez dany projekt (niepieniężne pozycje rachunkowe jak amortyzacja nie są ujmowane w przepływach pieniężnych);</w:t>
      </w:r>
    </w:p>
    <w:p w14:paraId="123D6A90" w14:textId="77777777" w:rsidR="00F1374F" w:rsidRPr="00587B52" w:rsidRDefault="00F1374F" w:rsidP="004C2B17">
      <w:pPr>
        <w:numPr>
          <w:ilvl w:val="0"/>
          <w:numId w:val="10"/>
        </w:numPr>
        <w:contextualSpacing/>
        <w:rPr>
          <w:rFonts w:cstheme="minorHAnsi"/>
          <w:szCs w:val="24"/>
        </w:rPr>
      </w:pPr>
      <w:r w:rsidRPr="00587B52">
        <w:rPr>
          <w:rFonts w:cstheme="minorHAnsi"/>
          <w:szCs w:val="24"/>
        </w:rPr>
        <w:t xml:space="preserve">przepływów środków pieniężnych w roku, w którym zostały dokonane i ujęte w okresie odniesienia (metoda kasowa), przy czym </w:t>
      </w:r>
      <w:r w:rsidRPr="00587B52">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592DDA92" w14:textId="5F6249D9" w:rsidR="00F1374F" w:rsidRPr="00587B52" w:rsidRDefault="00413F73" w:rsidP="004C2B17">
      <w:pPr>
        <w:numPr>
          <w:ilvl w:val="0"/>
          <w:numId w:val="10"/>
        </w:numPr>
        <w:contextualSpacing/>
        <w:rPr>
          <w:rFonts w:cstheme="minorHAnsi"/>
          <w:szCs w:val="24"/>
        </w:rPr>
      </w:pPr>
      <w:r>
        <w:rPr>
          <w:rFonts w:cstheme="minorHAnsi"/>
          <w:iCs/>
          <w:szCs w:val="24"/>
        </w:rPr>
        <w:t xml:space="preserve">wartości rezydualnej, </w:t>
      </w:r>
      <w:r w:rsidR="00F1374F" w:rsidRPr="00587B52">
        <w:rPr>
          <w:rFonts w:cstheme="minorHAnsi"/>
          <w:iCs/>
          <w:szCs w:val="24"/>
        </w:rPr>
        <w:t>oszacowanej w</w:t>
      </w:r>
      <w:r w:rsidR="00F1374F" w:rsidRPr="00587B52">
        <w:rPr>
          <w:rFonts w:cstheme="minorHAnsi"/>
          <w:szCs w:val="24"/>
        </w:rPr>
        <w:t xml:space="preserve"> oparciu o metodę </w:t>
      </w:r>
      <w:r w:rsidR="004938CD" w:rsidRPr="00587B52">
        <w:rPr>
          <w:rFonts w:cstheme="minorHAnsi"/>
          <w:szCs w:val="24"/>
        </w:rPr>
        <w:t xml:space="preserve">wyceny wartości aktywów trwałych netto, </w:t>
      </w:r>
      <w:r w:rsidR="004938CD" w:rsidRPr="00587B52">
        <w:rPr>
          <w:rFonts w:cstheme="minorHAnsi"/>
          <w:iCs/>
          <w:szCs w:val="24"/>
        </w:rPr>
        <w:t xml:space="preserve">określoną przy wykorzystaniu metody i okresu amortyzacji zgodnych z polityką rachunkowości </w:t>
      </w:r>
      <w:r w:rsidR="004216A5">
        <w:rPr>
          <w:rFonts w:cstheme="minorHAnsi"/>
          <w:iCs/>
          <w:szCs w:val="24"/>
        </w:rPr>
        <w:t>W</w:t>
      </w:r>
      <w:r w:rsidR="004938CD" w:rsidRPr="00587B52">
        <w:rPr>
          <w:rFonts w:cstheme="minorHAnsi"/>
          <w:iCs/>
          <w:szCs w:val="24"/>
        </w:rPr>
        <w:t>nioskodawcy/</w:t>
      </w:r>
      <w:r w:rsidR="000A6E2C">
        <w:rPr>
          <w:rFonts w:cstheme="minorHAnsi"/>
          <w:iCs/>
          <w:szCs w:val="24"/>
        </w:rPr>
        <w:t>o</w:t>
      </w:r>
      <w:r w:rsidR="004938CD" w:rsidRPr="00587B52">
        <w:rPr>
          <w:rFonts w:cstheme="minorHAnsi"/>
          <w:iCs/>
          <w:szCs w:val="24"/>
        </w:rPr>
        <w:t>peratora</w:t>
      </w:r>
      <w:r w:rsidR="00F1374F" w:rsidRPr="00587B52">
        <w:rPr>
          <w:rFonts w:cstheme="minorHAnsi"/>
          <w:szCs w:val="24"/>
        </w:rPr>
        <w:t>;</w:t>
      </w:r>
    </w:p>
    <w:p w14:paraId="4F26FF16" w14:textId="02BE878F" w:rsidR="00F1374F" w:rsidRPr="00587B52" w:rsidRDefault="00F1374F" w:rsidP="004C2B17">
      <w:pPr>
        <w:numPr>
          <w:ilvl w:val="0"/>
          <w:numId w:val="10"/>
        </w:numPr>
        <w:ind w:left="760" w:hanging="357"/>
        <w:contextualSpacing/>
        <w:rPr>
          <w:rFonts w:cstheme="minorHAnsi"/>
          <w:szCs w:val="24"/>
        </w:rPr>
      </w:pPr>
      <w:r w:rsidRPr="00587B52">
        <w:rPr>
          <w:rFonts w:cstheme="minorHAnsi"/>
          <w:szCs w:val="24"/>
        </w:rPr>
        <w:t>wartości pieniądza w czasie przy sumowaniu przepływów finansowych w różnych latach.</w:t>
      </w:r>
    </w:p>
    <w:p w14:paraId="62632262" w14:textId="7AC124F2" w:rsidR="009A5857" w:rsidRPr="00587B52" w:rsidRDefault="009A5857" w:rsidP="006424BB">
      <w:pPr>
        <w:ind w:left="403"/>
        <w:contextualSpacing/>
        <w:rPr>
          <w:rFonts w:cstheme="minorHAnsi"/>
          <w:szCs w:val="24"/>
        </w:rPr>
      </w:pPr>
    </w:p>
    <w:p w14:paraId="2614C5FC" w14:textId="47E22393" w:rsidR="00F1374F" w:rsidRPr="00587B52" w:rsidRDefault="00F1374F" w:rsidP="006424BB">
      <w:pPr>
        <w:rPr>
          <w:rFonts w:cstheme="minorHAnsi"/>
          <w:szCs w:val="24"/>
        </w:rPr>
      </w:pPr>
      <w:r w:rsidRPr="00587B52">
        <w:rPr>
          <w:rFonts w:cstheme="minorHAnsi"/>
          <w:szCs w:val="24"/>
        </w:rPr>
        <w:t>Analizę sporządza się przy użyciu metody standardowej lub złożonej. Wybór metody zależy od tego, czy możliwe jest oddzielenie strumienia przychodów projektu od ogólnego strumienia przychodów beneficjenta oraz czy możliwe jest oddzielenie strumienia kosztów operacyjnych i nakładów inwestycyjnych na realizację projektu od ogólnego strumienia kosztów operacyjnych i nakładów inwestycyjnych Wnioskodawcy. Szczegółowe informacje w zakresie wyboru metody opracowania analizy finansowej przedstawiono w Wytycznych dotyczących zagadnień związanych z przygotowaniem projektów inwestycyjnych, w tym</w:t>
      </w:r>
      <w:r w:rsidR="001B4E95">
        <w:rPr>
          <w:rFonts w:cstheme="minorHAnsi"/>
          <w:szCs w:val="24"/>
        </w:rPr>
        <w:t xml:space="preserve"> hybrydowych na lata 2021-2027 </w:t>
      </w:r>
      <w:r w:rsidRPr="00587B52">
        <w:rPr>
          <w:rFonts w:cstheme="minorHAnsi"/>
          <w:szCs w:val="24"/>
        </w:rPr>
        <w:t>(podrozdział 6.5).</w:t>
      </w:r>
    </w:p>
    <w:p w14:paraId="05FC29F8" w14:textId="77777777" w:rsidR="00F1374F" w:rsidRPr="00587B52" w:rsidRDefault="00F1374F" w:rsidP="006424BB">
      <w:pPr>
        <w:rPr>
          <w:rFonts w:cstheme="minorHAnsi"/>
          <w:szCs w:val="24"/>
        </w:rPr>
      </w:pPr>
      <w:r w:rsidRPr="00587B52">
        <w:rPr>
          <w:rFonts w:cstheme="minorHAnsi"/>
          <w:szCs w:val="24"/>
        </w:rPr>
        <w:t>Analiza finansowa powinna zostać przeprowadzona w wersji elektronicznej w specjalnie przygotowanych do tego celu arkuszach kalkulacyjnych (format xls), przedstawiających sporządzone analizy zgodnie ze schematem przedstawionym poniżej:</w:t>
      </w:r>
    </w:p>
    <w:p w14:paraId="35E2C545" w14:textId="32EB556C" w:rsidR="00F1374F" w:rsidRPr="00587B52" w:rsidRDefault="005E7752" w:rsidP="004C2B17">
      <w:pPr>
        <w:numPr>
          <w:ilvl w:val="0"/>
          <w:numId w:val="7"/>
        </w:numPr>
        <w:ind w:left="709" w:hanging="349"/>
        <w:contextualSpacing/>
        <w:rPr>
          <w:rFonts w:cstheme="minorHAnsi"/>
          <w:szCs w:val="24"/>
        </w:rPr>
      </w:pPr>
      <w:r>
        <w:rPr>
          <w:rFonts w:cstheme="minorHAnsi"/>
          <w:szCs w:val="24"/>
        </w:rPr>
        <w:t>„Dane wejściowe</w:t>
      </w:r>
      <w:r w:rsidR="00F1374F" w:rsidRPr="00587B52">
        <w:rPr>
          <w:rFonts w:cstheme="minorHAnsi"/>
          <w:szCs w:val="24"/>
        </w:rPr>
        <w:t>”</w:t>
      </w:r>
      <w:r w:rsidR="00DA409E">
        <w:rPr>
          <w:rFonts w:cstheme="minorHAnsi"/>
          <w:szCs w:val="24"/>
        </w:rPr>
        <w:t>,</w:t>
      </w:r>
    </w:p>
    <w:p w14:paraId="57B6A80E" w14:textId="3EF2B840" w:rsidR="00F1374F" w:rsidRPr="00587B52" w:rsidRDefault="00F1374F" w:rsidP="004C2B17">
      <w:pPr>
        <w:numPr>
          <w:ilvl w:val="0"/>
          <w:numId w:val="7"/>
        </w:numPr>
        <w:ind w:left="709" w:hanging="349"/>
        <w:contextualSpacing/>
        <w:rPr>
          <w:rFonts w:cstheme="minorHAnsi"/>
          <w:szCs w:val="24"/>
        </w:rPr>
      </w:pPr>
      <w:r w:rsidRPr="00587B52">
        <w:rPr>
          <w:rFonts w:cstheme="minorHAnsi"/>
          <w:szCs w:val="24"/>
        </w:rPr>
        <w:t>„Obliczenia”</w:t>
      </w:r>
      <w:r w:rsidR="00DA409E">
        <w:rPr>
          <w:rFonts w:cstheme="minorHAnsi"/>
          <w:szCs w:val="24"/>
        </w:rPr>
        <w:t>,</w:t>
      </w:r>
    </w:p>
    <w:p w14:paraId="6A7C058F" w14:textId="0BF593DE" w:rsidR="00CE0647" w:rsidRDefault="00F1374F" w:rsidP="004C2B17">
      <w:pPr>
        <w:numPr>
          <w:ilvl w:val="0"/>
          <w:numId w:val="7"/>
        </w:numPr>
        <w:ind w:left="709" w:hanging="352"/>
        <w:contextualSpacing/>
        <w:rPr>
          <w:rFonts w:cstheme="minorHAnsi"/>
          <w:szCs w:val="24"/>
        </w:rPr>
      </w:pPr>
      <w:r w:rsidRPr="00587B52">
        <w:rPr>
          <w:rFonts w:cstheme="minorHAnsi"/>
          <w:szCs w:val="24"/>
        </w:rPr>
        <w:t>„Trwałość finansowa”</w:t>
      </w:r>
      <w:r w:rsidR="00DA409E">
        <w:rPr>
          <w:rFonts w:cstheme="minorHAnsi"/>
          <w:szCs w:val="24"/>
        </w:rPr>
        <w:t>,</w:t>
      </w:r>
    </w:p>
    <w:p w14:paraId="0AB46DFF" w14:textId="146F8AA3" w:rsidR="00706EE3" w:rsidRPr="00143C20" w:rsidRDefault="00706EE3" w:rsidP="00D25734">
      <w:pPr>
        <w:numPr>
          <w:ilvl w:val="0"/>
          <w:numId w:val="7"/>
        </w:numPr>
        <w:ind w:left="709" w:hanging="352"/>
        <w:contextualSpacing/>
        <w:rPr>
          <w:rFonts w:cstheme="minorHAnsi"/>
          <w:szCs w:val="24"/>
        </w:rPr>
      </w:pPr>
      <w:r w:rsidRPr="00143C20">
        <w:rPr>
          <w:rFonts w:cstheme="minorHAnsi"/>
          <w:szCs w:val="24"/>
        </w:rPr>
        <w:t>„</w:t>
      </w:r>
      <w:r w:rsidR="005C1834">
        <w:rPr>
          <w:rFonts w:cstheme="minorHAnsi"/>
          <w:szCs w:val="24"/>
        </w:rPr>
        <w:t>Obliczenia</w:t>
      </w:r>
      <w:r w:rsidR="00CE0647" w:rsidRPr="00143C20">
        <w:rPr>
          <w:rFonts w:cstheme="minorHAnsi"/>
          <w:szCs w:val="24"/>
        </w:rPr>
        <w:t xml:space="preserve"> - Niebieska Księga</w:t>
      </w:r>
      <w:r w:rsidRPr="00143C20">
        <w:rPr>
          <w:rFonts w:cstheme="minorHAnsi"/>
          <w:szCs w:val="24"/>
        </w:rPr>
        <w:t>”</w:t>
      </w:r>
      <w:r w:rsidR="00DA409E">
        <w:rPr>
          <w:rFonts w:cstheme="minorHAnsi"/>
          <w:szCs w:val="24"/>
        </w:rPr>
        <w:t>,</w:t>
      </w:r>
    </w:p>
    <w:p w14:paraId="6560EBCE" w14:textId="7AE26160" w:rsidR="000E6719" w:rsidRDefault="00706EE3" w:rsidP="004C2B17">
      <w:pPr>
        <w:numPr>
          <w:ilvl w:val="0"/>
          <w:numId w:val="7"/>
        </w:numPr>
        <w:ind w:left="709" w:hanging="352"/>
        <w:contextualSpacing/>
        <w:rPr>
          <w:rFonts w:cstheme="minorHAnsi"/>
          <w:szCs w:val="24"/>
        </w:rPr>
      </w:pPr>
      <w:r>
        <w:rPr>
          <w:rFonts w:cstheme="minorHAnsi"/>
          <w:szCs w:val="24"/>
        </w:rPr>
        <w:t>„</w:t>
      </w:r>
      <w:r w:rsidR="000E6719">
        <w:rPr>
          <w:rFonts w:cstheme="minorHAnsi"/>
          <w:szCs w:val="24"/>
        </w:rPr>
        <w:t>Rekompensata</w:t>
      </w:r>
      <w:r>
        <w:rPr>
          <w:rFonts w:cstheme="minorHAnsi"/>
          <w:szCs w:val="24"/>
        </w:rPr>
        <w:t>”</w:t>
      </w:r>
      <w:r w:rsidR="002E20E2">
        <w:rPr>
          <w:rFonts w:cstheme="minorHAnsi"/>
          <w:szCs w:val="24"/>
        </w:rPr>
        <w:t>,</w:t>
      </w:r>
    </w:p>
    <w:p w14:paraId="2E0B0D93" w14:textId="665F93C5" w:rsidR="00C15DB9" w:rsidRPr="00587B52" w:rsidRDefault="00127BD2" w:rsidP="004C2B17">
      <w:pPr>
        <w:numPr>
          <w:ilvl w:val="0"/>
          <w:numId w:val="7"/>
        </w:numPr>
        <w:ind w:left="709" w:hanging="352"/>
        <w:contextualSpacing/>
        <w:rPr>
          <w:rFonts w:cstheme="minorHAnsi"/>
          <w:szCs w:val="24"/>
        </w:rPr>
      </w:pPr>
      <w:r>
        <w:rPr>
          <w:rFonts w:cstheme="minorHAnsi"/>
          <w:szCs w:val="24"/>
        </w:rPr>
        <w:t>„</w:t>
      </w:r>
      <w:r w:rsidR="00C15DB9">
        <w:rPr>
          <w:rFonts w:cstheme="minorHAnsi"/>
          <w:szCs w:val="24"/>
        </w:rPr>
        <w:t>Arkusz Pomocniczy</w:t>
      </w:r>
      <w:r>
        <w:rPr>
          <w:rFonts w:cstheme="minorHAnsi"/>
          <w:szCs w:val="24"/>
        </w:rPr>
        <w:t xml:space="preserve">” </w:t>
      </w:r>
      <w:r w:rsidR="00C15DB9">
        <w:rPr>
          <w:rFonts w:cstheme="minorHAnsi"/>
          <w:szCs w:val="24"/>
        </w:rPr>
        <w:t>(opcjonalnie)</w:t>
      </w:r>
    </w:p>
    <w:p w14:paraId="13E0E861" w14:textId="77777777" w:rsidR="00F1374F" w:rsidRPr="00587B52" w:rsidRDefault="00F1374F" w:rsidP="006424BB">
      <w:pPr>
        <w:ind w:left="709"/>
        <w:contextualSpacing/>
        <w:rPr>
          <w:rFonts w:cstheme="minorHAnsi"/>
          <w:szCs w:val="24"/>
        </w:rPr>
      </w:pPr>
    </w:p>
    <w:p w14:paraId="38033984" w14:textId="0341DC3F" w:rsidR="00A40DAB" w:rsidRPr="00587B52" w:rsidRDefault="00A40DAB" w:rsidP="006424BB">
      <w:pPr>
        <w:rPr>
          <w:rFonts w:cstheme="minorHAnsi"/>
          <w:szCs w:val="24"/>
        </w:rPr>
      </w:pPr>
      <w:r w:rsidRPr="00587B52">
        <w:rPr>
          <w:rFonts w:cstheme="minorHAnsi"/>
          <w:szCs w:val="24"/>
        </w:rPr>
        <w:lastRenderedPageBreak/>
        <w:t xml:space="preserve">Arkusz kalkulacyjny nie powinien być chroniony, w arkuszu powinny być widoczne (nie ukryte) działające formuły pokazujące powiązania pomiędzy poszczególnymi wielkościami finansowymi. Plik nie może komunikować się na zewnątrz. </w:t>
      </w:r>
    </w:p>
    <w:p w14:paraId="28E5CB37" w14:textId="0D9DB321" w:rsidR="00A40DAB" w:rsidRPr="00587B52" w:rsidRDefault="00DD4D31" w:rsidP="006424BB">
      <w:pPr>
        <w:rPr>
          <w:rFonts w:cstheme="minorHAnsi"/>
          <w:szCs w:val="24"/>
        </w:rPr>
      </w:pPr>
      <w:r w:rsidRPr="00587B52">
        <w:rPr>
          <w:rFonts w:cstheme="minorHAnsi"/>
          <w:szCs w:val="24"/>
        </w:rPr>
        <w:t>Sporządzanie analizy finansowej należy rozpocząć od</w:t>
      </w:r>
      <w:r w:rsidR="00084BA7">
        <w:rPr>
          <w:rFonts w:cstheme="minorHAnsi"/>
          <w:szCs w:val="24"/>
        </w:rPr>
        <w:t xml:space="preserve"> tabel w arkuszu „Dane wejściowe</w:t>
      </w:r>
      <w:r w:rsidRPr="00587B52">
        <w:rPr>
          <w:rFonts w:cstheme="minorHAnsi"/>
          <w:szCs w:val="24"/>
        </w:rPr>
        <w:t>”</w:t>
      </w:r>
      <w:r w:rsidR="00645A42" w:rsidRPr="00587B52">
        <w:rPr>
          <w:rFonts w:cstheme="minorHAnsi"/>
          <w:szCs w:val="24"/>
        </w:rPr>
        <w:t>, gdzie należy określić wszystkie założenia wykorzystywane podczas obliczeń</w:t>
      </w:r>
      <w:r w:rsidRPr="00587B52">
        <w:rPr>
          <w:rFonts w:cstheme="minorHAnsi"/>
          <w:szCs w:val="24"/>
        </w:rPr>
        <w:t xml:space="preserve">. </w:t>
      </w:r>
      <w:r w:rsidR="00645A42" w:rsidRPr="00587B52">
        <w:rPr>
          <w:rFonts w:cstheme="minorHAnsi"/>
          <w:szCs w:val="24"/>
        </w:rPr>
        <w:t>Zasadnicze obliczenia należy przeprowadzić z wykorzystaniem formuł w arkuszu „Obliczenia”. Analizę trwałości finansowej należy przeprowadzić za pomocą formuł w arkuszu „Trwałość finansowa”.</w:t>
      </w:r>
      <w:r w:rsidR="00B3094C" w:rsidRPr="00587B52">
        <w:rPr>
          <w:rFonts w:cstheme="minorHAnsi"/>
          <w:szCs w:val="24"/>
        </w:rPr>
        <w:t xml:space="preserve"> Arkusz kalkulacyjny można dostosowywać oraz rozbudowywać do swoich potrzeb wynikających ze specyfiki projektu, sektora, wymagań i</w:t>
      </w:r>
      <w:r w:rsidR="005F2BDD">
        <w:rPr>
          <w:rFonts w:cstheme="minorHAnsi"/>
          <w:szCs w:val="24"/>
        </w:rPr>
        <w:t xml:space="preserve"> </w:t>
      </w:r>
      <w:r w:rsidR="00B3094C" w:rsidRPr="00587B52">
        <w:rPr>
          <w:rFonts w:cstheme="minorHAnsi"/>
          <w:szCs w:val="24"/>
        </w:rPr>
        <w:t>t</w:t>
      </w:r>
      <w:r w:rsidR="005F2BDD">
        <w:rPr>
          <w:rFonts w:cstheme="minorHAnsi"/>
          <w:szCs w:val="24"/>
        </w:rPr>
        <w:t>ym podobne</w:t>
      </w:r>
      <w:r w:rsidR="004938CD" w:rsidRPr="00587B52">
        <w:rPr>
          <w:rFonts w:cstheme="minorHAnsi"/>
          <w:szCs w:val="24"/>
        </w:rPr>
        <w:t xml:space="preserve"> (</w:t>
      </w:r>
      <w:r w:rsidR="006424BB">
        <w:rPr>
          <w:rFonts w:cstheme="minorHAnsi"/>
          <w:szCs w:val="24"/>
        </w:rPr>
        <w:t>na przykład</w:t>
      </w:r>
      <w:r w:rsidR="004938CD" w:rsidRPr="00587B52">
        <w:rPr>
          <w:rFonts w:cstheme="minorHAnsi"/>
          <w:szCs w:val="24"/>
        </w:rPr>
        <w:t xml:space="preserve"> na potrzeby obliczenia zmiany </w:t>
      </w:r>
      <w:r w:rsidR="00FD4631" w:rsidRPr="00587B52">
        <w:rPr>
          <w:rFonts w:cstheme="minorHAnsi"/>
          <w:szCs w:val="24"/>
        </w:rPr>
        <w:t>kapitału obrotowego netto</w:t>
      </w:r>
      <w:r w:rsidR="004938CD" w:rsidRPr="00587B52">
        <w:rPr>
          <w:rFonts w:cstheme="minorHAnsi"/>
          <w:szCs w:val="24"/>
        </w:rPr>
        <w:t xml:space="preserve"> należy stworzyć dedykowaną tabelę</w:t>
      </w:r>
      <w:r w:rsidR="00FD4631" w:rsidRPr="00587B52">
        <w:rPr>
          <w:rFonts w:cstheme="minorHAnsi"/>
          <w:szCs w:val="24"/>
        </w:rPr>
        <w:t xml:space="preserve"> z odpowiednimi kalkulacjami powiązanymi formułami</w:t>
      </w:r>
      <w:r w:rsidR="004938CD" w:rsidRPr="00587B52">
        <w:rPr>
          <w:rFonts w:cstheme="minorHAnsi"/>
          <w:szCs w:val="24"/>
        </w:rPr>
        <w:t>).</w:t>
      </w:r>
    </w:p>
    <w:p w14:paraId="345E35E1" w14:textId="60FCCE2D" w:rsidR="00DD4D31" w:rsidRPr="00587B52" w:rsidRDefault="00DD4D31" w:rsidP="006424BB">
      <w:pPr>
        <w:rPr>
          <w:rFonts w:cstheme="minorHAnsi"/>
          <w:szCs w:val="24"/>
        </w:rPr>
      </w:pPr>
      <w:r w:rsidRPr="00587B52">
        <w:rPr>
          <w:rFonts w:cstheme="minorHAnsi"/>
          <w:szCs w:val="24"/>
        </w:rPr>
        <w:t>W niniejszym punkcie Studium Wykonalności należy przedstawić zbiorcze zestawienie</w:t>
      </w:r>
      <w:r w:rsidR="000601FB" w:rsidRPr="00587B52">
        <w:rPr>
          <w:rFonts w:cstheme="minorHAnsi"/>
          <w:szCs w:val="24"/>
        </w:rPr>
        <w:t xml:space="preserve"> przyjętych parametrów oraz </w:t>
      </w:r>
      <w:r w:rsidRPr="00587B52">
        <w:rPr>
          <w:rFonts w:cstheme="minorHAnsi"/>
          <w:szCs w:val="24"/>
        </w:rPr>
        <w:t>najważniejszych wyników otrzymanych z analizy przedstawionej w arkuszu kalkulacyjnym wraz z ich interpretacją</w:t>
      </w:r>
      <w:r w:rsidR="000601FB" w:rsidRPr="00587B52">
        <w:rPr>
          <w:rFonts w:cstheme="minorHAnsi"/>
          <w:szCs w:val="24"/>
        </w:rPr>
        <w:t xml:space="preserve"> zgodnie z instrukcjami poniżej</w:t>
      </w:r>
      <w:r w:rsidRPr="00587B52">
        <w:rPr>
          <w:rFonts w:cstheme="minorHAnsi"/>
          <w:szCs w:val="24"/>
        </w:rPr>
        <w:t>.</w:t>
      </w:r>
    </w:p>
    <w:p w14:paraId="3760888B" w14:textId="09321B6A" w:rsidR="00A27595" w:rsidRPr="00587B52" w:rsidRDefault="005157BB" w:rsidP="00FF511F">
      <w:pPr>
        <w:pStyle w:val="Nagwek2"/>
        <w:numPr>
          <w:ilvl w:val="1"/>
          <w:numId w:val="3"/>
        </w:numPr>
        <w:spacing w:before="0"/>
        <w:jc w:val="left"/>
        <w:rPr>
          <w:rFonts w:cstheme="minorHAnsi"/>
          <w:szCs w:val="24"/>
        </w:rPr>
      </w:pPr>
      <w:bookmarkStart w:id="65" w:name="_Toc160614682"/>
      <w:r w:rsidRPr="00587B52">
        <w:rPr>
          <w:rFonts w:cstheme="minorHAnsi"/>
          <w:szCs w:val="24"/>
        </w:rPr>
        <w:t>Założenia</w:t>
      </w:r>
      <w:bookmarkEnd w:id="65"/>
    </w:p>
    <w:p w14:paraId="04F5B111" w14:textId="6C96B949" w:rsidR="003548EC" w:rsidRPr="00587B52" w:rsidRDefault="000D5349" w:rsidP="004C2B17">
      <w:pPr>
        <w:pStyle w:val="Akapitzlist"/>
        <w:numPr>
          <w:ilvl w:val="0"/>
          <w:numId w:val="9"/>
        </w:numPr>
        <w:rPr>
          <w:rFonts w:cstheme="minorHAnsi"/>
          <w:szCs w:val="24"/>
        </w:rPr>
      </w:pPr>
      <w:r w:rsidRPr="00587B52">
        <w:rPr>
          <w:rFonts w:cstheme="minorHAnsi"/>
          <w:szCs w:val="24"/>
        </w:rPr>
        <w:t>w</w:t>
      </w:r>
      <w:r w:rsidR="006E0D32" w:rsidRPr="00587B52">
        <w:rPr>
          <w:rFonts w:cstheme="minorHAnsi"/>
          <w:szCs w:val="24"/>
        </w:rPr>
        <w:t xml:space="preserve">skaźniki makroekonomiczne – należy korzystać z danych makroekonomicznych zawartych w </w:t>
      </w:r>
      <w:r w:rsidR="007B3C6D" w:rsidRPr="00587B52">
        <w:rPr>
          <w:rFonts w:cstheme="minorHAnsi"/>
          <w:szCs w:val="24"/>
        </w:rPr>
        <w:t xml:space="preserve">aktualnych </w:t>
      </w:r>
      <w:r w:rsidR="006E0D32" w:rsidRPr="00587B52">
        <w:rPr>
          <w:rFonts w:cstheme="minorHAnsi"/>
          <w:szCs w:val="24"/>
        </w:rPr>
        <w:t>wytycznych Ministra Finansów dotyczących stosowania jednolitych wskaźników makroekonomicznych będących podstawą oszacowania skutków finansowych projektowanych ustaw</w:t>
      </w:r>
      <w:r w:rsidR="00786FE3" w:rsidRPr="00587B52">
        <w:rPr>
          <w:rFonts w:cstheme="minorHAnsi"/>
          <w:szCs w:val="24"/>
        </w:rPr>
        <w:t>;</w:t>
      </w:r>
      <w:r w:rsidR="007B3C6D" w:rsidRPr="00587B52">
        <w:rPr>
          <w:rFonts w:cstheme="minorHAnsi"/>
          <w:szCs w:val="24"/>
        </w:rPr>
        <w:t xml:space="preserve"> </w:t>
      </w:r>
    </w:p>
    <w:p w14:paraId="6F7808C1" w14:textId="3BD182CE" w:rsidR="003548EC" w:rsidRPr="00587B52" w:rsidRDefault="00721B34" w:rsidP="004C2B17">
      <w:pPr>
        <w:pStyle w:val="Akapitzlist"/>
        <w:numPr>
          <w:ilvl w:val="0"/>
          <w:numId w:val="9"/>
        </w:numPr>
        <w:rPr>
          <w:rFonts w:cstheme="minorHAnsi"/>
          <w:szCs w:val="24"/>
        </w:rPr>
      </w:pPr>
      <w:r w:rsidRPr="00587B52">
        <w:rPr>
          <w:rFonts w:cstheme="minorHAnsi"/>
          <w:szCs w:val="24"/>
        </w:rPr>
        <w:t>ceny</w:t>
      </w:r>
      <w:r w:rsidR="006E0D32" w:rsidRPr="00587B52">
        <w:rPr>
          <w:rFonts w:cstheme="minorHAnsi"/>
          <w:szCs w:val="24"/>
        </w:rPr>
        <w:t xml:space="preserve"> </w:t>
      </w:r>
      <w:r w:rsidRPr="00587B52">
        <w:rPr>
          <w:rFonts w:cstheme="minorHAnsi"/>
          <w:szCs w:val="24"/>
        </w:rPr>
        <w:t xml:space="preserve">stałe – w analizach należy stosować ceny stałe, </w:t>
      </w:r>
      <w:r w:rsidR="00413F73">
        <w:rPr>
          <w:rFonts w:cstheme="minorHAnsi"/>
          <w:szCs w:val="24"/>
        </w:rPr>
        <w:t>to jest</w:t>
      </w:r>
      <w:r w:rsidRPr="00587B52">
        <w:rPr>
          <w:rFonts w:cstheme="minorHAnsi"/>
          <w:szCs w:val="24"/>
        </w:rPr>
        <w:t xml:space="preserve"> nieuwzględniające wpływu inflacji;</w:t>
      </w:r>
    </w:p>
    <w:p w14:paraId="77B77E07" w14:textId="2530F708" w:rsidR="003548EC" w:rsidRPr="00587B52" w:rsidRDefault="003548EC" w:rsidP="004C2B17">
      <w:pPr>
        <w:pStyle w:val="Akapitzlist"/>
        <w:numPr>
          <w:ilvl w:val="0"/>
          <w:numId w:val="9"/>
        </w:numPr>
        <w:rPr>
          <w:rFonts w:cstheme="minorHAnsi"/>
          <w:szCs w:val="24"/>
        </w:rPr>
      </w:pPr>
      <w:r w:rsidRPr="00587B52">
        <w:rPr>
          <w:rFonts w:cstheme="minorHAnsi"/>
          <w:szCs w:val="24"/>
        </w:rPr>
        <w:t>stopa dyskontowa –</w:t>
      </w:r>
      <w:r w:rsidR="003C7227" w:rsidRPr="00587B52">
        <w:rPr>
          <w:rFonts w:cstheme="minorHAnsi"/>
          <w:szCs w:val="24"/>
        </w:rPr>
        <w:t xml:space="preserve"> dla analiz prowadzonych w cenach stałych należy stosować stopę dyskontową na poziomie 4%</w:t>
      </w:r>
      <w:r w:rsidR="00786FE3" w:rsidRPr="00587B52">
        <w:rPr>
          <w:rFonts w:cstheme="minorHAnsi"/>
          <w:szCs w:val="24"/>
        </w:rPr>
        <w:t>;</w:t>
      </w:r>
    </w:p>
    <w:p w14:paraId="7532F7A0" w14:textId="7F695B2B" w:rsidR="006E0D32" w:rsidRPr="00587B52" w:rsidRDefault="006E0D32" w:rsidP="004C2B17">
      <w:pPr>
        <w:pStyle w:val="Akapitzlist"/>
        <w:numPr>
          <w:ilvl w:val="0"/>
          <w:numId w:val="9"/>
        </w:numPr>
        <w:rPr>
          <w:rFonts w:cstheme="minorHAnsi"/>
          <w:szCs w:val="24"/>
        </w:rPr>
      </w:pPr>
      <w:r w:rsidRPr="00587B52">
        <w:rPr>
          <w:rFonts w:cstheme="minorHAnsi"/>
          <w:szCs w:val="24"/>
        </w:rPr>
        <w:t>podatek VAT – analizy należy sporządzić w:</w:t>
      </w:r>
    </w:p>
    <w:p w14:paraId="44B29F65" w14:textId="025BC36E" w:rsidR="006E0D32" w:rsidRPr="00587B52" w:rsidRDefault="006E0D32" w:rsidP="004C2B17">
      <w:pPr>
        <w:pStyle w:val="Akapitzlist"/>
        <w:numPr>
          <w:ilvl w:val="1"/>
          <w:numId w:val="8"/>
        </w:numPr>
        <w:ind w:left="1560" w:hanging="414"/>
        <w:rPr>
          <w:rFonts w:cstheme="minorHAnsi"/>
          <w:szCs w:val="24"/>
        </w:rPr>
      </w:pPr>
      <w:r w:rsidRPr="00587B52">
        <w:rPr>
          <w:rFonts w:cstheme="minorHAnsi"/>
          <w:szCs w:val="24"/>
        </w:rPr>
        <w:t>cenach netto (bez VAT) w przypadku, gdy podatek VAT podlega (lub może potencjalnie podlegać) odliczeniu</w:t>
      </w:r>
      <w:r w:rsidR="00BC4056">
        <w:rPr>
          <w:rFonts w:cstheme="minorHAnsi"/>
          <w:szCs w:val="24"/>
        </w:rPr>
        <w:t>,</w:t>
      </w:r>
      <w:r w:rsidRPr="00587B52">
        <w:rPr>
          <w:rFonts w:cstheme="minorHAnsi"/>
          <w:szCs w:val="24"/>
        </w:rPr>
        <w:t xml:space="preserve"> lub</w:t>
      </w:r>
    </w:p>
    <w:p w14:paraId="5258AAA4" w14:textId="77777777" w:rsidR="003548EC" w:rsidRPr="00587B52" w:rsidRDefault="006E0D32" w:rsidP="004C2B17">
      <w:pPr>
        <w:pStyle w:val="Akapitzlist"/>
        <w:numPr>
          <w:ilvl w:val="1"/>
          <w:numId w:val="8"/>
        </w:numPr>
        <w:ind w:left="1560" w:hanging="414"/>
        <w:rPr>
          <w:rFonts w:cstheme="minorHAnsi"/>
          <w:szCs w:val="24"/>
        </w:rPr>
      </w:pPr>
      <w:r w:rsidRPr="00587B52">
        <w:rPr>
          <w:rFonts w:cstheme="minorHAnsi"/>
          <w:szCs w:val="24"/>
        </w:rPr>
        <w:t>w cenach brutto (wraz z VAT), gdy VAT nie podlega odliczeniu. VAT należy wyodrębnić jako osobną pozycję analizy finansowej;</w:t>
      </w:r>
    </w:p>
    <w:p w14:paraId="0C2D2BC3" w14:textId="5D7E8783" w:rsidR="00786FE3" w:rsidRPr="00587B52" w:rsidRDefault="00786FE3" w:rsidP="004C2B17">
      <w:pPr>
        <w:pStyle w:val="Akapitzlist"/>
        <w:numPr>
          <w:ilvl w:val="0"/>
          <w:numId w:val="9"/>
        </w:numPr>
        <w:rPr>
          <w:rFonts w:cstheme="minorHAnsi"/>
          <w:szCs w:val="24"/>
        </w:rPr>
      </w:pPr>
      <w:r w:rsidRPr="00587B52">
        <w:rPr>
          <w:rFonts w:cstheme="minorHAnsi"/>
          <w:szCs w:val="24"/>
        </w:rPr>
        <w:t xml:space="preserve">okres odniesienia (horyzont czasowy) – okres, za który należy sporządzić prognozę przepływów pieniężnych w projekcie, uwzględniający zarówno okres realizacji projektu, jak i okres po jego ukończeniu, </w:t>
      </w:r>
      <w:r w:rsidR="00413F73">
        <w:rPr>
          <w:rFonts w:cstheme="minorHAnsi"/>
          <w:szCs w:val="24"/>
        </w:rPr>
        <w:t>to jest</w:t>
      </w:r>
      <w:r w:rsidRPr="00587B52">
        <w:rPr>
          <w:rFonts w:cstheme="minorHAnsi"/>
          <w:szCs w:val="24"/>
        </w:rPr>
        <w:t xml:space="preserve"> fazę inwestycyjną i operacyjną. Rokiem bazowym w analizie finansowej powinien być założony w analizie rok rozpoczęcia realizacji projektu (</w:t>
      </w:r>
      <w:r w:rsidR="006424BB">
        <w:rPr>
          <w:rFonts w:cstheme="minorHAnsi"/>
          <w:szCs w:val="24"/>
        </w:rPr>
        <w:t>na przykład</w:t>
      </w:r>
      <w:r w:rsidRPr="00587B52">
        <w:rPr>
          <w:rFonts w:cstheme="minorHAnsi"/>
          <w:szCs w:val="24"/>
        </w:rPr>
        <w:t xml:space="preserve"> rok rozpoczęcia robót budowlanych). Wyjątkiem od tej zasady jest sytuacja, w której wniosek o dofinansowanie został sporządzony na etapie, gdy realizacja projektu została już rozpoczęta. Wówczas rokiem bazowym jest rok złożenia wniosku o dofinansowanie. Prac przygotowawczych (</w:t>
      </w:r>
      <w:r w:rsidR="006424BB">
        <w:rPr>
          <w:rFonts w:cstheme="minorHAnsi"/>
          <w:szCs w:val="24"/>
        </w:rPr>
        <w:t>na przykład</w:t>
      </w:r>
      <w:r w:rsidRPr="00587B52">
        <w:rPr>
          <w:rFonts w:cstheme="minorHAnsi"/>
          <w:szCs w:val="24"/>
        </w:rPr>
        <w:t xml:space="preserve"> prac geodezyjnych lub uzyskania zezwoleń, czy przeprowadzenia </w:t>
      </w:r>
      <w:r w:rsidR="004216A5">
        <w:rPr>
          <w:rFonts w:cstheme="minorHAnsi"/>
          <w:szCs w:val="24"/>
        </w:rPr>
        <w:t>S</w:t>
      </w:r>
      <w:r w:rsidRPr="00587B52">
        <w:rPr>
          <w:rFonts w:cstheme="minorHAnsi"/>
          <w:szCs w:val="24"/>
        </w:rPr>
        <w:t xml:space="preserve">tudiów </w:t>
      </w:r>
      <w:r w:rsidR="004216A5">
        <w:rPr>
          <w:rFonts w:cstheme="minorHAnsi"/>
          <w:szCs w:val="24"/>
        </w:rPr>
        <w:t>W</w:t>
      </w:r>
      <w:r w:rsidRPr="00587B52">
        <w:rPr>
          <w:rFonts w:cstheme="minorHAnsi"/>
          <w:szCs w:val="24"/>
        </w:rPr>
        <w:t>ykonalności) nie uznaje się za rozpoczęcie rzeczowej realizacji projektu.</w:t>
      </w:r>
    </w:p>
    <w:p w14:paraId="7B806619" w14:textId="11E63B09" w:rsidR="00A837FD" w:rsidRPr="00587B52" w:rsidRDefault="00A837FD" w:rsidP="006424BB">
      <w:pPr>
        <w:pStyle w:val="Akapitzlist"/>
        <w:rPr>
          <w:rFonts w:cstheme="minorHAnsi"/>
          <w:szCs w:val="24"/>
        </w:rPr>
      </w:pPr>
      <w:r w:rsidRPr="00587B52">
        <w:rPr>
          <w:rFonts w:cstheme="minorHAnsi"/>
          <w:szCs w:val="24"/>
        </w:rPr>
        <w:lastRenderedPageBreak/>
        <w:t>Okres odniesienia zastosowany w analizach powinien odzwierciedlać ekonomiczny okres użytkowania projektu, a więc odpowiadać oczekiwanemu czas</w:t>
      </w:r>
      <w:r w:rsidR="007D4D81" w:rsidRPr="00587B52">
        <w:rPr>
          <w:rFonts w:cstheme="minorHAnsi"/>
          <w:szCs w:val="24"/>
        </w:rPr>
        <w:t>owi</w:t>
      </w:r>
      <w:r w:rsidRPr="00587B52">
        <w:rPr>
          <w:rFonts w:cstheme="minorHAnsi"/>
          <w:szCs w:val="24"/>
        </w:rPr>
        <w:t>, w którym projekt pozostaje użyteczny (t</w:t>
      </w:r>
      <w:r w:rsidR="005F2BDD">
        <w:rPr>
          <w:rFonts w:cstheme="minorHAnsi"/>
          <w:szCs w:val="24"/>
        </w:rPr>
        <w:t>o znaczy</w:t>
      </w:r>
      <w:r w:rsidRPr="00587B52">
        <w:rPr>
          <w:rFonts w:cstheme="minorHAnsi"/>
          <w:szCs w:val="24"/>
        </w:rPr>
        <w:t xml:space="preserve"> zdolny do dostarczania dóbr/usług).</w:t>
      </w:r>
    </w:p>
    <w:p w14:paraId="1610D842" w14:textId="17404733" w:rsidR="003B74B6" w:rsidRPr="00637E45" w:rsidRDefault="003B74B6" w:rsidP="00637E45">
      <w:pPr>
        <w:pStyle w:val="Akapitzlist"/>
        <w:rPr>
          <w:rFonts w:cstheme="minorHAnsi"/>
          <w:szCs w:val="24"/>
        </w:rPr>
      </w:pPr>
      <w:r w:rsidRPr="003B74B6">
        <w:rPr>
          <w:rFonts w:cstheme="minorHAnsi"/>
          <w:szCs w:val="24"/>
        </w:rPr>
        <w:t>W celu zachowania porównywalności należy przyjąć 25-letni okres odniesienia.</w:t>
      </w:r>
    </w:p>
    <w:p w14:paraId="4781C297" w14:textId="0A52659C" w:rsidR="00721B34" w:rsidRPr="00587B52" w:rsidRDefault="006E0D32" w:rsidP="004C2B17">
      <w:pPr>
        <w:pStyle w:val="Akapitzlist"/>
        <w:numPr>
          <w:ilvl w:val="0"/>
          <w:numId w:val="9"/>
        </w:numPr>
        <w:rPr>
          <w:rFonts w:cstheme="minorHAnsi"/>
          <w:szCs w:val="24"/>
        </w:rPr>
      </w:pPr>
      <w:r w:rsidRPr="00587B52">
        <w:rPr>
          <w:rFonts w:cstheme="minorHAnsi"/>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sidR="006424BB">
        <w:rPr>
          <w:rFonts w:cstheme="minorHAnsi"/>
          <w:szCs w:val="24"/>
        </w:rPr>
        <w:t>na przykład</w:t>
      </w:r>
      <w:r w:rsidRPr="00587B52">
        <w:rPr>
          <w:rFonts w:cstheme="minorHAnsi"/>
          <w:szCs w:val="24"/>
        </w:rPr>
        <w:t xml:space="preserve"> podatku od nieruchomości) jako przychodów projektu należy poddać pogłębionej analizie, uwzględniającej specyfikę danego projektu (</w:t>
      </w:r>
      <w:r w:rsidR="006424BB">
        <w:rPr>
          <w:rFonts w:cstheme="minorHAnsi"/>
          <w:szCs w:val="24"/>
        </w:rPr>
        <w:t>na przykład</w:t>
      </w:r>
      <w:r w:rsidRPr="00587B52">
        <w:rPr>
          <w:rFonts w:cstheme="minorHAnsi"/>
          <w:szCs w:val="24"/>
        </w:rPr>
        <w:t xml:space="preserve"> wpływ z tytułu podatku może zostać uznany za przychód projektu, jeżeli konieczność wniesienia tej opłaty jest bezpośrednio związana z realizacją projektu lub usługami dostarczanymi przez projekt)</w:t>
      </w:r>
      <w:r w:rsidR="00786FE3" w:rsidRPr="00587B52">
        <w:rPr>
          <w:rFonts w:cstheme="minorHAnsi"/>
          <w:szCs w:val="24"/>
        </w:rPr>
        <w:t>;</w:t>
      </w:r>
    </w:p>
    <w:p w14:paraId="451FAE7B" w14:textId="24972A08" w:rsidR="00786FE3" w:rsidRPr="001B502E" w:rsidRDefault="00786FE3" w:rsidP="001B502E">
      <w:pPr>
        <w:pStyle w:val="Akapitzlist"/>
        <w:numPr>
          <w:ilvl w:val="0"/>
          <w:numId w:val="9"/>
        </w:numPr>
        <w:rPr>
          <w:rFonts w:cstheme="minorHAnsi"/>
          <w:szCs w:val="24"/>
        </w:rPr>
      </w:pPr>
      <w:r w:rsidRPr="001B502E">
        <w:rPr>
          <w:rFonts w:cstheme="minorHAnsi"/>
          <w:szCs w:val="24"/>
        </w:rPr>
        <w:t>amortyzacja – metoda oraz okres amortyzacji dla każdego typu aktywa powinny być zgodne z polityką rachunkowości Wnioskodawcy</w:t>
      </w:r>
      <w:r w:rsidR="00EC450C" w:rsidRPr="001B502E">
        <w:rPr>
          <w:rFonts w:cstheme="minorHAnsi"/>
          <w:szCs w:val="24"/>
        </w:rPr>
        <w:t xml:space="preserve"> / Operatora</w:t>
      </w:r>
      <w:r w:rsidR="001B502E" w:rsidRPr="001B502E">
        <w:rPr>
          <w:rFonts w:cstheme="minorHAnsi"/>
          <w:szCs w:val="24"/>
        </w:rPr>
        <w:t>. Odpisów amortyzacyjnych dokonuje się od wartości początkowej środków trwałych lub wartości niematerialnych i prawnych, począwszy od pierwszego miesiąca następującego po miesiącu, w którym ten środek lub wartość wprowadzono do ewidencji. W kalkulacji amortyzacji należy uwzględnić terminy realizacji (rozpoczęcia i zakończenia) danego zadania/projektu określone we wniosku o dofinansowanie;</w:t>
      </w:r>
    </w:p>
    <w:p w14:paraId="6A6D711A" w14:textId="1BCB2DF7" w:rsidR="00786FE3" w:rsidRPr="00587B52" w:rsidRDefault="00786FE3" w:rsidP="004C2B17">
      <w:pPr>
        <w:pStyle w:val="Akapitzlist"/>
        <w:numPr>
          <w:ilvl w:val="0"/>
          <w:numId w:val="9"/>
        </w:numPr>
        <w:rPr>
          <w:rFonts w:cstheme="minorHAnsi"/>
          <w:szCs w:val="24"/>
        </w:rPr>
      </w:pPr>
      <w:r w:rsidRPr="00587B52">
        <w:rPr>
          <w:rFonts w:cstheme="minorHAnsi"/>
          <w:szCs w:val="24"/>
        </w:rPr>
        <w:t>wartość dofinansowania projektu z funduszy UE – może zostać uwzględniona tylko w ramach analizy trwałości finansowej projektu.</w:t>
      </w:r>
    </w:p>
    <w:p w14:paraId="1E46C71D" w14:textId="30B6375C" w:rsidR="001E1FCC" w:rsidRPr="00587B52" w:rsidRDefault="001E1FCC" w:rsidP="00FF511F">
      <w:pPr>
        <w:pStyle w:val="Nagwek2"/>
        <w:numPr>
          <w:ilvl w:val="1"/>
          <w:numId w:val="3"/>
        </w:numPr>
        <w:spacing w:before="0"/>
        <w:jc w:val="left"/>
        <w:rPr>
          <w:rFonts w:cstheme="minorHAnsi"/>
          <w:szCs w:val="24"/>
        </w:rPr>
      </w:pPr>
      <w:bookmarkStart w:id="66" w:name="_Toc130906766"/>
      <w:bookmarkStart w:id="67" w:name="_Toc131502047"/>
      <w:bookmarkStart w:id="68" w:name="_Toc160614683"/>
      <w:r w:rsidRPr="00587B52">
        <w:rPr>
          <w:rStyle w:val="Nagwek2Znak"/>
          <w:rFonts w:cstheme="minorHAnsi"/>
          <w:szCs w:val="24"/>
        </w:rPr>
        <w:t>Nakłady inwestycyjne</w:t>
      </w:r>
      <w:r w:rsidRPr="00587B52">
        <w:rPr>
          <w:rFonts w:cstheme="minorHAnsi"/>
          <w:szCs w:val="24"/>
        </w:rPr>
        <w:t xml:space="preserve"> projektu i wydatki kwalifikowalne</w:t>
      </w:r>
      <w:bookmarkEnd w:id="66"/>
      <w:bookmarkEnd w:id="67"/>
      <w:bookmarkEnd w:id="68"/>
    </w:p>
    <w:p w14:paraId="1C515836" w14:textId="0CEBDB05" w:rsidR="001E1FCC" w:rsidRPr="00587B52" w:rsidRDefault="001E1FCC" w:rsidP="006424BB">
      <w:pPr>
        <w:rPr>
          <w:rFonts w:eastAsiaTheme="majorEastAsia" w:cstheme="minorHAnsi"/>
          <w:bCs/>
          <w:szCs w:val="24"/>
        </w:rPr>
      </w:pPr>
      <w:r w:rsidRPr="00587B52">
        <w:rPr>
          <w:rFonts w:eastAsiaTheme="majorEastAsia" w:cstheme="minorHAnsi"/>
          <w:szCs w:val="24"/>
        </w:rPr>
        <w:t>W niniejszym punkcie Studium</w:t>
      </w:r>
      <w:r w:rsidR="004216A5">
        <w:rPr>
          <w:rFonts w:eastAsiaTheme="majorEastAsia" w:cstheme="minorHAnsi"/>
          <w:szCs w:val="24"/>
        </w:rPr>
        <w:t xml:space="preserve"> Wykonalności</w:t>
      </w:r>
      <w:r w:rsidRPr="00587B52">
        <w:rPr>
          <w:rFonts w:eastAsiaTheme="majorEastAsia" w:cstheme="minorHAnsi"/>
          <w:szCs w:val="24"/>
        </w:rPr>
        <w:t xml:space="preserve"> należy omówić przyjętą metodykę oraz założenia dla określenia wartości nakładów inwestycyjnych projektu oraz podać źródło informacji o nich (</w:t>
      </w:r>
      <w:r w:rsidR="006424BB">
        <w:rPr>
          <w:rFonts w:eastAsiaTheme="majorEastAsia" w:cstheme="minorHAnsi"/>
          <w:szCs w:val="24"/>
        </w:rPr>
        <w:t>na przykład</w:t>
      </w:r>
      <w:r w:rsidRPr="00587B52">
        <w:rPr>
          <w:rFonts w:eastAsiaTheme="majorEastAsia" w:cstheme="minorHAnsi"/>
          <w:szCs w:val="24"/>
        </w:rPr>
        <w:t xml:space="preserve"> kosztorysy inwestorskie, szacunki Wnioskodawcy). Ponadto należy </w:t>
      </w:r>
      <w:r w:rsidRPr="00587B52">
        <w:rPr>
          <w:rFonts w:eastAsiaTheme="majorEastAsia" w:cstheme="minorHAnsi"/>
          <w:bCs/>
          <w:szCs w:val="24"/>
        </w:rPr>
        <w:t>uzasadnić wybór najbardziej efektywnej metody finansowania nakładów (zakup, amortyzacja, leasing i</w:t>
      </w:r>
      <w:r w:rsidR="005F2BDD">
        <w:rPr>
          <w:rFonts w:eastAsiaTheme="majorEastAsia" w:cstheme="minorHAnsi"/>
          <w:bCs/>
          <w:szCs w:val="24"/>
        </w:rPr>
        <w:t xml:space="preserve"> </w:t>
      </w:r>
      <w:r w:rsidRPr="00587B52">
        <w:rPr>
          <w:rFonts w:eastAsiaTheme="majorEastAsia" w:cstheme="minorHAnsi"/>
          <w:bCs/>
          <w:szCs w:val="24"/>
        </w:rPr>
        <w:t>t</w:t>
      </w:r>
      <w:r w:rsidR="005F2BDD">
        <w:rPr>
          <w:rFonts w:eastAsiaTheme="majorEastAsia" w:cstheme="minorHAnsi"/>
          <w:bCs/>
          <w:szCs w:val="24"/>
        </w:rPr>
        <w:t>ym podobne</w:t>
      </w:r>
      <w:r w:rsidRPr="00587B52">
        <w:rPr>
          <w:rFonts w:eastAsiaTheme="majorEastAsia" w:cstheme="minorHAnsi"/>
          <w:bCs/>
          <w:szCs w:val="24"/>
        </w:rPr>
        <w:t>) uwzględniając okres realizacji, przedmiot i cel danego projektu.</w:t>
      </w:r>
    </w:p>
    <w:p w14:paraId="77B1DDB0" w14:textId="77777777" w:rsidR="001E1FCC" w:rsidRPr="00587B52" w:rsidRDefault="001E1FCC" w:rsidP="006424BB">
      <w:pPr>
        <w:rPr>
          <w:rFonts w:eastAsiaTheme="majorEastAsia" w:cstheme="minorHAnsi"/>
          <w:szCs w:val="24"/>
        </w:rPr>
      </w:pPr>
      <w:r w:rsidRPr="00587B52">
        <w:rPr>
          <w:rFonts w:eastAsiaTheme="majorEastAsia" w:cstheme="minorHAnsi"/>
          <w:szCs w:val="24"/>
        </w:rPr>
        <w:t>W przypadku uwzględnienia w analizach nakładów odtworzeniowych, tutaj należy uzasadnić konieczność ich ponoszenia w projekcie, a także wskazać podstawę ich prognozowania.</w:t>
      </w:r>
    </w:p>
    <w:p w14:paraId="7D92B37A" w14:textId="389CA4CE" w:rsidR="001E1FCC" w:rsidRPr="00587B52" w:rsidRDefault="001E1FCC" w:rsidP="006424BB">
      <w:pPr>
        <w:rPr>
          <w:rFonts w:eastAsiaTheme="majorEastAsia" w:cstheme="minorHAnsi"/>
          <w:szCs w:val="24"/>
        </w:rPr>
      </w:pPr>
      <w:r w:rsidRPr="00587B52">
        <w:rPr>
          <w:rFonts w:eastAsiaTheme="majorEastAsia" w:cstheme="minorHAnsi"/>
          <w:szCs w:val="24"/>
        </w:rPr>
        <w:t>Natomiast wartości nakładów inwestycyjnych należy przedstawić z zachowaniem zgodności z wnioskiem o dofinans</w:t>
      </w:r>
      <w:r w:rsidR="00084BA7">
        <w:rPr>
          <w:rFonts w:eastAsiaTheme="majorEastAsia" w:cstheme="minorHAnsi"/>
          <w:szCs w:val="24"/>
        </w:rPr>
        <w:t>owanie w arkuszu „Dane wejściowe</w:t>
      </w:r>
      <w:r w:rsidRPr="00587B52">
        <w:rPr>
          <w:rFonts w:eastAsiaTheme="majorEastAsia" w:cstheme="minorHAnsi"/>
          <w:szCs w:val="24"/>
        </w:rPr>
        <w:t xml:space="preserve">” w podziale na wydatki kwalifikowalne i niekwalifikowalne. </w:t>
      </w:r>
    </w:p>
    <w:p w14:paraId="7FFC49F9" w14:textId="07918FB6" w:rsidR="001E1FCC" w:rsidRPr="00587B52" w:rsidRDefault="001E1FCC" w:rsidP="00FF511F">
      <w:pPr>
        <w:pStyle w:val="Nagwek2"/>
        <w:numPr>
          <w:ilvl w:val="1"/>
          <w:numId w:val="3"/>
        </w:numPr>
        <w:spacing w:before="0"/>
        <w:jc w:val="left"/>
        <w:rPr>
          <w:rFonts w:cstheme="minorHAnsi"/>
          <w:szCs w:val="24"/>
        </w:rPr>
      </w:pPr>
      <w:bookmarkStart w:id="69" w:name="_Toc130906767"/>
      <w:bookmarkStart w:id="70" w:name="_Toc131502048"/>
      <w:bookmarkStart w:id="71" w:name="_Toc160614684"/>
      <w:r w:rsidRPr="00587B52">
        <w:rPr>
          <w:rFonts w:cstheme="minorHAnsi"/>
          <w:szCs w:val="24"/>
        </w:rPr>
        <w:t>Przychody operacyjne projektu</w:t>
      </w:r>
      <w:bookmarkEnd w:id="69"/>
      <w:bookmarkEnd w:id="70"/>
      <w:bookmarkEnd w:id="71"/>
      <w:r w:rsidRPr="00587B52">
        <w:rPr>
          <w:rFonts w:cstheme="minorHAnsi"/>
          <w:szCs w:val="24"/>
        </w:rPr>
        <w:t xml:space="preserve"> </w:t>
      </w:r>
    </w:p>
    <w:p w14:paraId="0CAEE300" w14:textId="37EDE410" w:rsidR="001E1FCC" w:rsidRPr="00587B52" w:rsidRDefault="001E1FCC" w:rsidP="006424BB">
      <w:pPr>
        <w:rPr>
          <w:rFonts w:eastAsiaTheme="majorEastAsia" w:cstheme="minorHAnsi"/>
          <w:szCs w:val="24"/>
        </w:rPr>
      </w:pPr>
      <w:r w:rsidRPr="00587B52">
        <w:rPr>
          <w:rFonts w:eastAsiaTheme="majorEastAsia" w:cstheme="minorHAnsi"/>
          <w:szCs w:val="24"/>
        </w:rPr>
        <w:t xml:space="preserve">W niniejszym punkcie Studium </w:t>
      </w:r>
      <w:r w:rsidR="004216A5">
        <w:rPr>
          <w:rFonts w:eastAsiaTheme="majorEastAsia" w:cstheme="minorHAnsi"/>
          <w:szCs w:val="24"/>
        </w:rPr>
        <w:t xml:space="preserve">Wykonalności </w:t>
      </w:r>
      <w:r w:rsidRPr="00587B52">
        <w:rPr>
          <w:rFonts w:eastAsiaTheme="majorEastAsia" w:cstheme="minorHAnsi"/>
          <w:szCs w:val="24"/>
        </w:rPr>
        <w:t>należy krótko opisać zidentyfikowane źródła przychodów projektu oraz opisać założenia przyjęte do szacowania ich wielkości w okresie odniesienia.</w:t>
      </w:r>
    </w:p>
    <w:p w14:paraId="2C472F1F" w14:textId="77777777" w:rsidR="001E1FCC" w:rsidRPr="00587B52" w:rsidRDefault="001E1FCC" w:rsidP="006424BB">
      <w:pPr>
        <w:rPr>
          <w:rFonts w:eastAsiaTheme="majorEastAsia" w:cstheme="minorHAnsi"/>
          <w:szCs w:val="24"/>
        </w:rPr>
      </w:pPr>
      <w:r w:rsidRPr="00587B52">
        <w:rPr>
          <w:rFonts w:eastAsiaTheme="majorEastAsia" w:cstheme="minorHAnsi"/>
          <w:szCs w:val="24"/>
        </w:rPr>
        <w:lastRenderedPageBreak/>
        <w:t>Szacowanie przychodów operacyjnych należy przedstawić (w zależności od charakteru projektu) w podziale na rodzaj produktów/usług/towarów lub grupy odbiorców. Obliczony poziom przychodów musi wynikać wprost z planowanej ilości świadczonych usług oraz wysokości przyjętych opłat.</w:t>
      </w:r>
    </w:p>
    <w:p w14:paraId="41E793F9" w14:textId="77777777" w:rsidR="001E1FCC" w:rsidRPr="00587B52" w:rsidRDefault="001E1FCC" w:rsidP="006424BB">
      <w:pPr>
        <w:rPr>
          <w:rFonts w:eastAsiaTheme="majorEastAsia" w:cstheme="minorHAnsi"/>
          <w:szCs w:val="24"/>
        </w:rPr>
      </w:pPr>
      <w:r w:rsidRPr="00587B52">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249DE2" w14:textId="77777777" w:rsidR="001E1FCC" w:rsidRPr="00587B52" w:rsidRDefault="001E1FCC" w:rsidP="006424BB">
      <w:pPr>
        <w:rPr>
          <w:rFonts w:eastAsiaTheme="majorEastAsia" w:cstheme="minorHAnsi"/>
          <w:szCs w:val="24"/>
        </w:rPr>
      </w:pPr>
      <w:r w:rsidRPr="00587B52">
        <w:rPr>
          <w:rFonts w:eastAsiaTheme="majorEastAsia" w:cstheme="minorHAnsi"/>
          <w:szCs w:val="24"/>
        </w:rPr>
        <w:t>Właściwym do uwzględniania wszystkich źródeł przychodów etapem analizy finansowej jest etap analizy trwałości finansowej projektu.</w:t>
      </w:r>
    </w:p>
    <w:p w14:paraId="53C9CC8E" w14:textId="7EB72363" w:rsidR="001E1FCC" w:rsidRPr="00587B52" w:rsidRDefault="001E1FCC" w:rsidP="00FF511F">
      <w:pPr>
        <w:pStyle w:val="Nagwek2"/>
        <w:numPr>
          <w:ilvl w:val="1"/>
          <w:numId w:val="3"/>
        </w:numPr>
        <w:spacing w:before="0"/>
        <w:jc w:val="left"/>
        <w:rPr>
          <w:rFonts w:cstheme="minorHAnsi"/>
          <w:szCs w:val="24"/>
        </w:rPr>
      </w:pPr>
      <w:bookmarkStart w:id="72" w:name="_Toc130906768"/>
      <w:bookmarkStart w:id="73" w:name="_Toc131502049"/>
      <w:bookmarkStart w:id="74" w:name="_Toc160614685"/>
      <w:r w:rsidRPr="00587B52">
        <w:rPr>
          <w:rFonts w:cstheme="minorHAnsi"/>
          <w:szCs w:val="24"/>
        </w:rPr>
        <w:t>Koszty operacyjne projektu</w:t>
      </w:r>
      <w:bookmarkEnd w:id="72"/>
      <w:bookmarkEnd w:id="73"/>
      <w:bookmarkEnd w:id="74"/>
    </w:p>
    <w:p w14:paraId="7FB93B53" w14:textId="1106A5EF" w:rsidR="001E1FCC" w:rsidRPr="00587B52" w:rsidRDefault="001E1FCC" w:rsidP="006424BB">
      <w:pPr>
        <w:rPr>
          <w:rFonts w:eastAsiaTheme="majorEastAsia" w:cstheme="minorHAnsi"/>
          <w:szCs w:val="24"/>
        </w:rPr>
      </w:pPr>
      <w:r w:rsidRPr="00587B52">
        <w:rPr>
          <w:rFonts w:eastAsiaTheme="majorEastAsia" w:cstheme="minorHAnsi"/>
          <w:szCs w:val="24"/>
        </w:rPr>
        <w:t>Szacowanie kosztów eksploatacji (operacyjnych) należy przeprowadzić w arkuszu kalkulacyjnym według układu rodzajowego kosztów z uprzednim określeniem założeń w niniejszej części Studium</w:t>
      </w:r>
      <w:r w:rsidR="004216A5">
        <w:rPr>
          <w:rFonts w:eastAsiaTheme="majorEastAsia" w:cstheme="minorHAnsi"/>
          <w:szCs w:val="24"/>
        </w:rPr>
        <w:t xml:space="preserve"> Wykonalności</w:t>
      </w:r>
      <w:r w:rsidRPr="00587B52">
        <w:rPr>
          <w:rFonts w:eastAsiaTheme="majorEastAsia" w:cstheme="minorHAnsi"/>
          <w:szCs w:val="24"/>
        </w:rPr>
        <w:t>. W razie braku danych należy korzystać z ostatniego dostępnego okresu lub wiedzy konsultantów i danych rynkowych. Kluczowe jest podanie źródła informacji. Szacowanie kosztów należy odnosić do cen rynkowych i przyjętej koncepcji technicznej.</w:t>
      </w:r>
    </w:p>
    <w:p w14:paraId="0025D3E5" w14:textId="77777777" w:rsidR="001E1FCC" w:rsidRPr="00587B52" w:rsidRDefault="001E1FCC" w:rsidP="006424BB">
      <w:pPr>
        <w:rPr>
          <w:rFonts w:eastAsiaTheme="majorEastAsia" w:cstheme="minorHAnsi"/>
          <w:szCs w:val="24"/>
        </w:rPr>
      </w:pPr>
      <w:r w:rsidRPr="00587B52">
        <w:rPr>
          <w:rFonts w:eastAsiaTheme="majorEastAsia" w:cstheme="minorHAnsi"/>
          <w:szCs w:val="24"/>
        </w:rPr>
        <w:t>Proszę opisać poszczególne koszty w odniesieniu do zgłoszonego projektu:</w:t>
      </w:r>
    </w:p>
    <w:p w14:paraId="463EABAB" w14:textId="77777777" w:rsidR="001E1FCC" w:rsidRPr="00587B52" w:rsidRDefault="001E1FCC" w:rsidP="004C2B17">
      <w:pPr>
        <w:numPr>
          <w:ilvl w:val="0"/>
          <w:numId w:val="13"/>
        </w:numPr>
        <w:contextualSpacing/>
        <w:rPr>
          <w:rFonts w:cstheme="minorHAnsi"/>
          <w:szCs w:val="24"/>
        </w:rPr>
      </w:pPr>
      <w:r w:rsidRPr="00587B52">
        <w:rPr>
          <w:rFonts w:cstheme="minorHAnsi"/>
          <w:szCs w:val="24"/>
        </w:rPr>
        <w:t>amortyzacja;</w:t>
      </w:r>
    </w:p>
    <w:p w14:paraId="6D4C90CB" w14:textId="77777777" w:rsidR="001E1FCC" w:rsidRPr="00587B52" w:rsidRDefault="001E1FCC" w:rsidP="004C2B17">
      <w:pPr>
        <w:numPr>
          <w:ilvl w:val="0"/>
          <w:numId w:val="13"/>
        </w:numPr>
        <w:contextualSpacing/>
        <w:rPr>
          <w:rFonts w:cstheme="minorHAnsi"/>
          <w:szCs w:val="24"/>
        </w:rPr>
      </w:pPr>
      <w:r w:rsidRPr="00587B52">
        <w:rPr>
          <w:rFonts w:cstheme="minorHAnsi"/>
          <w:szCs w:val="24"/>
        </w:rPr>
        <w:t>usługi obce;</w:t>
      </w:r>
    </w:p>
    <w:p w14:paraId="2D5BA386" w14:textId="77777777" w:rsidR="001E1FCC" w:rsidRPr="00587B52" w:rsidRDefault="001E1FCC" w:rsidP="004C2B17">
      <w:pPr>
        <w:numPr>
          <w:ilvl w:val="0"/>
          <w:numId w:val="13"/>
        </w:numPr>
        <w:contextualSpacing/>
        <w:rPr>
          <w:rFonts w:cstheme="minorHAnsi"/>
          <w:szCs w:val="24"/>
        </w:rPr>
      </w:pPr>
      <w:r w:rsidRPr="00587B52">
        <w:rPr>
          <w:rFonts w:cstheme="minorHAnsi"/>
          <w:szCs w:val="24"/>
        </w:rPr>
        <w:t>zużycie materiałów i energii;</w:t>
      </w:r>
    </w:p>
    <w:p w14:paraId="2F9D1530" w14:textId="77777777" w:rsidR="001E1FCC" w:rsidRPr="00587B52" w:rsidRDefault="001E1FCC" w:rsidP="004C2B17">
      <w:pPr>
        <w:numPr>
          <w:ilvl w:val="0"/>
          <w:numId w:val="13"/>
        </w:numPr>
        <w:contextualSpacing/>
        <w:rPr>
          <w:rFonts w:cstheme="minorHAnsi"/>
          <w:szCs w:val="24"/>
        </w:rPr>
      </w:pPr>
      <w:r w:rsidRPr="00587B52">
        <w:rPr>
          <w:rFonts w:cstheme="minorHAnsi"/>
          <w:szCs w:val="24"/>
        </w:rPr>
        <w:t>wynagrodzenia;</w:t>
      </w:r>
    </w:p>
    <w:p w14:paraId="38428D2F" w14:textId="77777777" w:rsidR="001E1FCC" w:rsidRPr="00587B52" w:rsidRDefault="001E1FCC" w:rsidP="004C2B17">
      <w:pPr>
        <w:numPr>
          <w:ilvl w:val="0"/>
          <w:numId w:val="13"/>
        </w:numPr>
        <w:contextualSpacing/>
        <w:rPr>
          <w:rFonts w:cstheme="minorHAnsi"/>
          <w:szCs w:val="24"/>
        </w:rPr>
      </w:pPr>
      <w:r w:rsidRPr="00587B52">
        <w:rPr>
          <w:rFonts w:cstheme="minorHAnsi"/>
          <w:szCs w:val="24"/>
        </w:rPr>
        <w:t>ubezpieczenia społeczne i inne świadczenia;</w:t>
      </w:r>
    </w:p>
    <w:p w14:paraId="6C2F0722" w14:textId="77777777" w:rsidR="001E1FCC" w:rsidRPr="00587B52" w:rsidRDefault="001E1FCC" w:rsidP="004C2B17">
      <w:pPr>
        <w:numPr>
          <w:ilvl w:val="0"/>
          <w:numId w:val="13"/>
        </w:numPr>
        <w:contextualSpacing/>
        <w:rPr>
          <w:rFonts w:cstheme="minorHAnsi"/>
          <w:szCs w:val="24"/>
        </w:rPr>
      </w:pPr>
      <w:r w:rsidRPr="00587B52">
        <w:rPr>
          <w:rFonts w:cstheme="minorHAnsi"/>
          <w:szCs w:val="24"/>
        </w:rPr>
        <w:t>podatki i opłaty;</w:t>
      </w:r>
    </w:p>
    <w:p w14:paraId="7FE10CFC" w14:textId="4B5CFBDC" w:rsidR="001E1FCC" w:rsidRPr="00587B52" w:rsidRDefault="001E1FCC" w:rsidP="004C2B17">
      <w:pPr>
        <w:numPr>
          <w:ilvl w:val="0"/>
          <w:numId w:val="13"/>
        </w:numPr>
        <w:ind w:left="714" w:hanging="357"/>
        <w:contextualSpacing/>
        <w:rPr>
          <w:rFonts w:eastAsiaTheme="majorEastAsia" w:cstheme="minorHAnsi"/>
          <w:szCs w:val="24"/>
        </w:rPr>
      </w:pPr>
      <w:r w:rsidRPr="00587B52">
        <w:rPr>
          <w:rFonts w:cstheme="minorHAnsi"/>
          <w:szCs w:val="24"/>
        </w:rPr>
        <w:t>pozostałe koszty rodzajowe</w:t>
      </w:r>
      <w:r w:rsidRPr="00587B52">
        <w:rPr>
          <w:rFonts w:eastAsiaTheme="majorEastAsia" w:cstheme="minorHAnsi"/>
          <w:szCs w:val="24"/>
        </w:rPr>
        <w:t>.</w:t>
      </w:r>
    </w:p>
    <w:p w14:paraId="49370615" w14:textId="77777777" w:rsidR="00E307AB" w:rsidRPr="00587B52" w:rsidRDefault="00E307AB" w:rsidP="006424BB">
      <w:pPr>
        <w:ind w:left="714"/>
        <w:contextualSpacing/>
        <w:rPr>
          <w:rFonts w:eastAsiaTheme="majorEastAsia" w:cstheme="minorHAnsi"/>
          <w:szCs w:val="24"/>
        </w:rPr>
      </w:pPr>
    </w:p>
    <w:p w14:paraId="77BC2345" w14:textId="5A218D65" w:rsidR="001E1FCC" w:rsidRPr="00587B52" w:rsidRDefault="001E1FCC" w:rsidP="006424BB">
      <w:pPr>
        <w:rPr>
          <w:rFonts w:eastAsiaTheme="majorEastAsia" w:cstheme="minorHAnsi"/>
          <w:szCs w:val="24"/>
        </w:rPr>
      </w:pPr>
      <w:r w:rsidRPr="00587B52">
        <w:rPr>
          <w:rFonts w:eastAsiaTheme="majorEastAsia" w:cstheme="minorHAnsi"/>
          <w:szCs w:val="24"/>
        </w:rPr>
        <w:t>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podstawę szacowania oszczędności.</w:t>
      </w:r>
    </w:p>
    <w:p w14:paraId="07A1F47F" w14:textId="110E62D9" w:rsidR="001E1FCC" w:rsidRPr="00587B52" w:rsidRDefault="001E1FCC" w:rsidP="00FF511F">
      <w:pPr>
        <w:pStyle w:val="Nagwek2"/>
        <w:numPr>
          <w:ilvl w:val="1"/>
          <w:numId w:val="3"/>
        </w:numPr>
        <w:spacing w:before="0"/>
        <w:jc w:val="left"/>
        <w:rPr>
          <w:rFonts w:cstheme="minorHAnsi"/>
          <w:szCs w:val="24"/>
        </w:rPr>
      </w:pPr>
      <w:bookmarkStart w:id="75" w:name="_Toc130906769"/>
      <w:bookmarkStart w:id="76" w:name="_Toc131502050"/>
      <w:bookmarkStart w:id="77" w:name="_Toc160614686"/>
      <w:r w:rsidRPr="00587B52">
        <w:rPr>
          <w:rFonts w:cstheme="minorHAnsi"/>
          <w:szCs w:val="24"/>
        </w:rPr>
        <w:t>Wskaźniki efektywności finansowej</w:t>
      </w:r>
      <w:bookmarkEnd w:id="75"/>
      <w:bookmarkEnd w:id="76"/>
      <w:bookmarkEnd w:id="77"/>
    </w:p>
    <w:p w14:paraId="6B2D6B4D" w14:textId="65F77A82" w:rsidR="001E1FCC" w:rsidRPr="00587B52" w:rsidRDefault="001E1FCC" w:rsidP="006424BB">
      <w:pPr>
        <w:rPr>
          <w:rFonts w:eastAsiaTheme="majorEastAsia" w:cstheme="minorHAnsi"/>
          <w:iCs/>
          <w:szCs w:val="24"/>
        </w:rPr>
      </w:pPr>
      <w:r w:rsidRPr="00587B52">
        <w:rPr>
          <w:rFonts w:eastAsiaTheme="majorEastAsia" w:cstheme="minorHAnsi"/>
          <w:iCs/>
          <w:szCs w:val="24"/>
        </w:rPr>
        <w:t xml:space="preserve">Zgodnie z </w:t>
      </w:r>
      <w:r w:rsidR="00413F73">
        <w:rPr>
          <w:rFonts w:eastAsiaTheme="majorEastAsia" w:cstheme="minorHAnsi"/>
          <w:iCs/>
          <w:szCs w:val="24"/>
        </w:rPr>
        <w:t>artykułem</w:t>
      </w:r>
      <w:r w:rsidRPr="00587B52">
        <w:rPr>
          <w:rFonts w:eastAsiaTheme="majorEastAsia" w:cstheme="minorHAnsi"/>
          <w:iCs/>
          <w:szCs w:val="24"/>
        </w:rPr>
        <w:t xml:space="preserve"> 73 ust</w:t>
      </w:r>
      <w:r w:rsidR="005F2BDD">
        <w:rPr>
          <w:rFonts w:eastAsiaTheme="majorEastAsia" w:cstheme="minorHAnsi"/>
          <w:iCs/>
          <w:szCs w:val="24"/>
        </w:rPr>
        <w:t>ępem</w:t>
      </w:r>
      <w:r w:rsidRPr="00587B52">
        <w:rPr>
          <w:rFonts w:eastAsiaTheme="majorEastAsia" w:cstheme="minorHAnsi"/>
          <w:iCs/>
          <w:szCs w:val="24"/>
        </w:rPr>
        <w:t xml:space="preserve"> 2 lit</w:t>
      </w:r>
      <w:r w:rsidR="005F2BDD">
        <w:rPr>
          <w:rFonts w:eastAsiaTheme="majorEastAsia" w:cstheme="minorHAnsi"/>
          <w:iCs/>
          <w:szCs w:val="24"/>
        </w:rPr>
        <w:t>erą</w:t>
      </w:r>
      <w:r w:rsidRPr="00587B52">
        <w:rPr>
          <w:rFonts w:eastAsiaTheme="majorEastAsia" w:cstheme="minorHAnsi"/>
          <w:iCs/>
          <w:szCs w:val="24"/>
        </w:rPr>
        <w:t xml:space="preserve"> c rozporządzenia nr 2021/1060, projekty wybrane do wsparcia powinny charakteryzować się najkorzystniejszą relacją między kwotą wsparcia, podejmowanymi działaniami i celami, które mają być osiągnięte w wyniku ich realizacji.</w:t>
      </w:r>
    </w:p>
    <w:p w14:paraId="487A4788" w14:textId="77777777" w:rsidR="001E1FCC" w:rsidRPr="00587B52" w:rsidRDefault="001E1FCC" w:rsidP="006424BB">
      <w:pPr>
        <w:rPr>
          <w:rFonts w:eastAsiaTheme="majorEastAsia" w:cstheme="minorHAnsi"/>
          <w:szCs w:val="24"/>
        </w:rPr>
      </w:pPr>
      <w:r w:rsidRPr="00587B52">
        <w:rPr>
          <w:rFonts w:eastAsiaTheme="majorEastAsia" w:cstheme="minorHAnsi"/>
          <w:iCs/>
          <w:szCs w:val="24"/>
        </w:rPr>
        <w:t>W celu oceny tego warunku w</w:t>
      </w:r>
      <w:r w:rsidRPr="00587B52">
        <w:rPr>
          <w:rFonts w:eastAsiaTheme="majorEastAsia" w:cstheme="minorHAnsi"/>
          <w:szCs w:val="24"/>
        </w:rPr>
        <w:t xml:space="preserve"> arkuszu obliczeniowym należy obliczyć następujące wskaźniki:</w:t>
      </w:r>
    </w:p>
    <w:p w14:paraId="16170F3D" w14:textId="77777777" w:rsidR="001E1FCC" w:rsidRPr="00587B52" w:rsidRDefault="001E1FCC" w:rsidP="004C2B17">
      <w:pPr>
        <w:numPr>
          <w:ilvl w:val="0"/>
          <w:numId w:val="11"/>
        </w:numPr>
        <w:rPr>
          <w:rFonts w:eastAsiaTheme="majorEastAsia" w:cstheme="minorHAnsi"/>
          <w:szCs w:val="24"/>
        </w:rPr>
      </w:pPr>
      <w:r w:rsidRPr="00587B52">
        <w:rPr>
          <w:rFonts w:eastAsiaTheme="majorEastAsia" w:cstheme="minorHAnsi"/>
          <w:szCs w:val="24"/>
        </w:rPr>
        <w:t>finansowa bieżąca wartość netto inwestycji (FNPV/C),</w:t>
      </w:r>
    </w:p>
    <w:p w14:paraId="0DB0610B" w14:textId="77777777" w:rsidR="001E1FCC" w:rsidRPr="00587B52" w:rsidRDefault="001E1FCC" w:rsidP="004C2B17">
      <w:pPr>
        <w:numPr>
          <w:ilvl w:val="0"/>
          <w:numId w:val="11"/>
        </w:numPr>
        <w:rPr>
          <w:rFonts w:eastAsiaTheme="majorEastAsia" w:cstheme="minorHAnsi"/>
          <w:szCs w:val="24"/>
        </w:rPr>
      </w:pPr>
      <w:r w:rsidRPr="00587B52">
        <w:rPr>
          <w:rFonts w:eastAsiaTheme="majorEastAsia" w:cstheme="minorHAnsi"/>
          <w:szCs w:val="24"/>
        </w:rPr>
        <w:t>finansowa wewnętrzna stopa zwrotu z inwestycji (FRR/C),</w:t>
      </w:r>
    </w:p>
    <w:p w14:paraId="42879A38" w14:textId="6BAEA379" w:rsidR="001E1FCC" w:rsidRPr="00587B52" w:rsidRDefault="001E1FCC" w:rsidP="006424BB">
      <w:pPr>
        <w:rPr>
          <w:rFonts w:eastAsiaTheme="majorEastAsia" w:cstheme="minorHAnsi"/>
          <w:szCs w:val="24"/>
        </w:rPr>
      </w:pPr>
      <w:r w:rsidRPr="00587B52">
        <w:rPr>
          <w:rFonts w:eastAsiaTheme="majorEastAsia" w:cstheme="minorHAnsi"/>
          <w:szCs w:val="24"/>
        </w:rPr>
        <w:t>a w niniejszej części opisowej Studium</w:t>
      </w:r>
      <w:r w:rsidR="004216A5">
        <w:rPr>
          <w:rFonts w:eastAsiaTheme="majorEastAsia" w:cstheme="minorHAnsi"/>
          <w:szCs w:val="24"/>
        </w:rPr>
        <w:t xml:space="preserve"> Wykonalności</w:t>
      </w:r>
      <w:r w:rsidRPr="00587B52">
        <w:rPr>
          <w:rFonts w:eastAsiaTheme="majorEastAsia" w:cstheme="minorHAnsi"/>
          <w:szCs w:val="24"/>
        </w:rPr>
        <w:t xml:space="preserve"> krótko skomentować otrzymane wyniki.</w:t>
      </w:r>
    </w:p>
    <w:p w14:paraId="67342B29" w14:textId="3647697A" w:rsidR="001E1FCC" w:rsidRPr="00587B52" w:rsidRDefault="001E1FCC" w:rsidP="006424BB">
      <w:pPr>
        <w:rPr>
          <w:rFonts w:eastAsiaTheme="majorEastAsia" w:cstheme="minorHAnsi"/>
          <w:szCs w:val="24"/>
        </w:rPr>
      </w:pPr>
      <w:r w:rsidRPr="00587B52">
        <w:rPr>
          <w:rFonts w:eastAsiaTheme="majorEastAsia" w:cstheme="minorHAnsi"/>
          <w:szCs w:val="24"/>
        </w:rPr>
        <w:lastRenderedPageBreak/>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w:t>
      </w:r>
      <w:r w:rsidR="00413F73">
        <w:rPr>
          <w:rFonts w:eastAsiaTheme="majorEastAsia" w:cstheme="minorHAnsi"/>
          <w:szCs w:val="24"/>
        </w:rPr>
        <w:t>to jest</w:t>
      </w:r>
      <w:r w:rsidRPr="00587B52">
        <w:rPr>
          <w:rFonts w:eastAsiaTheme="majorEastAsia" w:cstheme="minorHAnsi"/>
          <w:szCs w:val="24"/>
        </w:rPr>
        <w:t xml:space="preserve"> rok poniesienia pierwszych nakładów powinien być dyskontowany współczynnikiem 1).</w:t>
      </w:r>
    </w:p>
    <w:p w14:paraId="5768B569" w14:textId="77777777" w:rsidR="001E1FCC" w:rsidRPr="00587B52" w:rsidRDefault="001E1FCC" w:rsidP="006424BB">
      <w:pPr>
        <w:rPr>
          <w:rFonts w:eastAsiaTheme="majorEastAsia" w:cstheme="minorHAnsi"/>
          <w:szCs w:val="24"/>
        </w:rPr>
      </w:pPr>
      <w:r w:rsidRPr="00587B52">
        <w:rPr>
          <w:rFonts w:eastAsiaTheme="majorEastAsia" w:cstheme="minorHAnsi"/>
          <w:szCs w:val="24"/>
        </w:rPr>
        <w:t>Należy zastosować okres prognozy zgodny z pozostałą częścią analizy finansowej, a w uzasadnionych przypadkach może być przyjęty dłuższy okres, wówczas należy przedstawić uzasadnienie.</w:t>
      </w:r>
    </w:p>
    <w:p w14:paraId="67045E1A" w14:textId="141537A0" w:rsidR="001E1FCC" w:rsidRPr="00587B52" w:rsidRDefault="001E1FCC" w:rsidP="00FF511F">
      <w:pPr>
        <w:pStyle w:val="Nagwek2"/>
        <w:numPr>
          <w:ilvl w:val="1"/>
          <w:numId w:val="3"/>
        </w:numPr>
        <w:spacing w:before="0"/>
        <w:jc w:val="left"/>
        <w:rPr>
          <w:rFonts w:cstheme="minorHAnsi"/>
          <w:szCs w:val="24"/>
        </w:rPr>
      </w:pPr>
      <w:bookmarkStart w:id="78" w:name="_Toc130906770"/>
      <w:bookmarkStart w:id="79" w:name="_Toc131502051"/>
      <w:bookmarkStart w:id="80" w:name="_Toc160614687"/>
      <w:r w:rsidRPr="00587B52">
        <w:rPr>
          <w:rFonts w:cstheme="minorHAnsi"/>
          <w:szCs w:val="24"/>
        </w:rPr>
        <w:t>Trwałość finansowa</w:t>
      </w:r>
      <w:bookmarkEnd w:id="78"/>
      <w:bookmarkEnd w:id="79"/>
      <w:bookmarkEnd w:id="80"/>
      <w:r w:rsidRPr="00587B52">
        <w:rPr>
          <w:rFonts w:cstheme="minorHAnsi"/>
          <w:szCs w:val="24"/>
        </w:rPr>
        <w:t xml:space="preserve"> </w:t>
      </w:r>
    </w:p>
    <w:p w14:paraId="2D9AE6EF" w14:textId="536C4069" w:rsidR="001E1FCC" w:rsidRPr="00587B52" w:rsidRDefault="001E1FCC" w:rsidP="006424BB">
      <w:pPr>
        <w:rPr>
          <w:rFonts w:eastAsiaTheme="majorEastAsia" w:cstheme="minorHAnsi"/>
          <w:szCs w:val="24"/>
        </w:rPr>
      </w:pPr>
      <w:r w:rsidRPr="00587B52">
        <w:rPr>
          <w:rFonts w:eastAsiaTheme="majorEastAsia" w:cstheme="minorHAnsi"/>
          <w:szCs w:val="24"/>
        </w:rPr>
        <w:t xml:space="preserve">Zgodnie z </w:t>
      </w:r>
      <w:r w:rsidR="00413F73">
        <w:rPr>
          <w:rFonts w:eastAsiaTheme="majorEastAsia" w:cstheme="minorHAnsi"/>
          <w:szCs w:val="24"/>
        </w:rPr>
        <w:t>artykułem</w:t>
      </w:r>
      <w:r w:rsidRPr="00587B52">
        <w:rPr>
          <w:rFonts w:eastAsiaTheme="majorEastAsia" w:cstheme="minorHAnsi"/>
          <w:szCs w:val="24"/>
        </w:rPr>
        <w:t xml:space="preserve"> 73 ust</w:t>
      </w:r>
      <w:r w:rsidR="005F2BDD">
        <w:rPr>
          <w:rFonts w:eastAsiaTheme="majorEastAsia" w:cstheme="minorHAnsi"/>
          <w:szCs w:val="24"/>
        </w:rPr>
        <w:t>ępem</w:t>
      </w:r>
      <w:r w:rsidRPr="00587B52">
        <w:rPr>
          <w:rFonts w:eastAsiaTheme="majorEastAsia" w:cstheme="minorHAnsi"/>
          <w:szCs w:val="24"/>
        </w:rPr>
        <w:t xml:space="preserve"> 2 lit</w:t>
      </w:r>
      <w:r w:rsidR="005F2BDD">
        <w:rPr>
          <w:rFonts w:eastAsiaTheme="majorEastAsia" w:cstheme="minorHAnsi"/>
          <w:szCs w:val="24"/>
        </w:rPr>
        <w:t>erą</w:t>
      </w:r>
      <w:r w:rsidRPr="00587B52">
        <w:rPr>
          <w:rFonts w:eastAsiaTheme="majorEastAsia" w:cstheme="minorHAnsi"/>
          <w:szCs w:val="24"/>
        </w:rPr>
        <w:t xml:space="preserve"> d rozporządzenia nr 2021/1060 analiza trwałości finansowej projektu polega na wykazaniu, że Wnioskodawca dysponuje niezbędnymi zasobami, aby pokryć koszty eksploatacji i utrzymania inwestycji realizowanej w ramach projektu zarówno na etapie inwestycyjnym, jak i operacyjnym.</w:t>
      </w:r>
    </w:p>
    <w:p w14:paraId="2A9A3059" w14:textId="12FB572C" w:rsidR="001E1FCC" w:rsidRPr="00587B52" w:rsidRDefault="001E1FCC" w:rsidP="006424BB">
      <w:pPr>
        <w:rPr>
          <w:rFonts w:eastAsiaTheme="majorEastAsia" w:cstheme="minorHAnsi"/>
          <w:szCs w:val="24"/>
        </w:rPr>
      </w:pPr>
      <w:r w:rsidRPr="00587B52">
        <w:rPr>
          <w:rFonts w:eastAsiaTheme="majorEastAsia" w:cstheme="minorHAnsi"/>
          <w:szCs w:val="24"/>
        </w:rPr>
        <w:t xml:space="preserve">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w:t>
      </w:r>
      <w:r w:rsidR="004216A5">
        <w:rPr>
          <w:rFonts w:eastAsiaTheme="majorEastAsia" w:cstheme="minorHAnsi"/>
          <w:szCs w:val="24"/>
        </w:rPr>
        <w:t xml:space="preserve">Wykonalności, </w:t>
      </w:r>
      <w:r w:rsidRPr="00587B52">
        <w:rPr>
          <w:rFonts w:eastAsiaTheme="majorEastAsia" w:cstheme="minorHAnsi"/>
          <w:szCs w:val="24"/>
        </w:rPr>
        <w:t>krótko skomentować analizę.</w:t>
      </w:r>
    </w:p>
    <w:p w14:paraId="783D91C8" w14:textId="77777777" w:rsidR="001E1FCC" w:rsidRPr="00587B52" w:rsidRDefault="001E1FCC" w:rsidP="006424BB">
      <w:pPr>
        <w:rPr>
          <w:rFonts w:eastAsiaTheme="majorEastAsia" w:cstheme="minorHAnsi"/>
          <w:szCs w:val="24"/>
        </w:rPr>
      </w:pPr>
      <w:r w:rsidRPr="00587B52">
        <w:rPr>
          <w:rFonts w:eastAsiaTheme="majorEastAsia" w:cstheme="minorHAnsi"/>
          <w:szCs w:val="24"/>
        </w:rPr>
        <w:t>Projekt uznaje się za trwały finansowo, jeżeli stan środków pieniężnych jest większy bądź równy zeru we wszystkich latach objętych analizą – czyli projekt ma zapewnioną płynność finansową.</w:t>
      </w:r>
    </w:p>
    <w:p w14:paraId="6D0EA27C" w14:textId="77777777" w:rsidR="001E1FCC" w:rsidRPr="00587B52" w:rsidRDefault="001E1FCC" w:rsidP="006424BB">
      <w:pPr>
        <w:rPr>
          <w:rFonts w:eastAsiaTheme="majorEastAsia" w:cstheme="minorHAnsi"/>
          <w:szCs w:val="24"/>
        </w:rPr>
      </w:pPr>
      <w:r w:rsidRPr="00587B52">
        <w:rPr>
          <w:rFonts w:eastAsiaTheme="majorEastAsia" w:cstheme="minorHAnsi"/>
          <w:szCs w:val="24"/>
        </w:rPr>
        <w:t xml:space="preserve"> Należy przygotować projekcję wielkości finansowych obejmujących:</w:t>
      </w:r>
    </w:p>
    <w:p w14:paraId="657C6090" w14:textId="77777777" w:rsidR="001E1FCC" w:rsidRPr="00587B52" w:rsidRDefault="001E1FCC" w:rsidP="004C2B17">
      <w:pPr>
        <w:numPr>
          <w:ilvl w:val="0"/>
          <w:numId w:val="14"/>
        </w:numPr>
        <w:rPr>
          <w:rFonts w:eastAsiaTheme="majorEastAsia" w:cstheme="minorHAnsi"/>
          <w:b/>
          <w:szCs w:val="24"/>
        </w:rPr>
      </w:pPr>
      <w:r w:rsidRPr="00587B52">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6F915558" w14:textId="38077DE9" w:rsidR="001E1FCC" w:rsidRPr="00587B52" w:rsidRDefault="001E1FCC" w:rsidP="004C2B17">
      <w:pPr>
        <w:numPr>
          <w:ilvl w:val="0"/>
          <w:numId w:val="14"/>
        </w:numPr>
        <w:rPr>
          <w:rFonts w:eastAsiaTheme="majorEastAsia" w:cstheme="minorHAnsi"/>
          <w:szCs w:val="24"/>
        </w:rPr>
      </w:pPr>
      <w:r w:rsidRPr="00587B52">
        <w:rPr>
          <w:rFonts w:eastAsiaTheme="majorEastAsia" w:cstheme="minorHAnsi"/>
          <w:szCs w:val="24"/>
        </w:rPr>
        <w:t xml:space="preserve">analizę sytuacji finansowej </w:t>
      </w:r>
      <w:r w:rsidR="00EC450C">
        <w:rPr>
          <w:rFonts w:eastAsiaTheme="majorEastAsia" w:cstheme="minorHAnsi"/>
          <w:szCs w:val="24"/>
        </w:rPr>
        <w:t>Wnioskodawcy/O</w:t>
      </w:r>
      <w:r w:rsidRPr="00587B52">
        <w:rPr>
          <w:rFonts w:eastAsiaTheme="majorEastAsia" w:cstheme="minorHAnsi"/>
          <w:szCs w:val="24"/>
        </w:rPr>
        <w:t>peratora</w:t>
      </w:r>
      <w:r w:rsidR="0058519C">
        <w:rPr>
          <w:rFonts w:eastAsiaTheme="majorEastAsia" w:cstheme="minorHAnsi"/>
          <w:szCs w:val="24"/>
        </w:rPr>
        <w:t>/Partnera</w:t>
      </w:r>
      <w:r w:rsidRPr="00587B52">
        <w:rPr>
          <w:rFonts w:eastAsiaTheme="majorEastAsia" w:cstheme="minorHAnsi"/>
          <w:szCs w:val="24"/>
        </w:rPr>
        <w:t xml:space="preserve">. Weryfikacja polega na zbadaniu trwałości finansowej </w:t>
      </w:r>
      <w:r w:rsidR="00EC450C">
        <w:rPr>
          <w:rFonts w:eastAsiaTheme="majorEastAsia" w:cstheme="minorHAnsi"/>
          <w:szCs w:val="24"/>
        </w:rPr>
        <w:t>Wnioskodawcy</w:t>
      </w:r>
      <w:r w:rsidRPr="00587B52">
        <w:rPr>
          <w:rFonts w:eastAsiaTheme="majorEastAsia" w:cstheme="minorHAnsi"/>
          <w:szCs w:val="24"/>
        </w:rPr>
        <w:t>/</w:t>
      </w:r>
      <w:r w:rsidR="00EC450C">
        <w:rPr>
          <w:rFonts w:eastAsiaTheme="majorEastAsia" w:cstheme="minorHAnsi"/>
          <w:szCs w:val="24"/>
        </w:rPr>
        <w:t>O</w:t>
      </w:r>
      <w:r w:rsidRPr="00587B52">
        <w:rPr>
          <w:rFonts w:eastAsiaTheme="majorEastAsia" w:cstheme="minorHAnsi"/>
          <w:szCs w:val="24"/>
        </w:rPr>
        <w:t>peratora</w:t>
      </w:r>
      <w:r w:rsidR="0058519C">
        <w:rPr>
          <w:rFonts w:eastAsiaTheme="majorEastAsia" w:cstheme="minorHAnsi"/>
          <w:szCs w:val="24"/>
        </w:rPr>
        <w:t>/Partnera</w:t>
      </w:r>
      <w:r w:rsidRPr="00587B52">
        <w:rPr>
          <w:rFonts w:eastAsiaTheme="majorEastAsia" w:cstheme="minorHAnsi"/>
          <w:szCs w:val="24"/>
        </w:rPr>
        <w:t xml:space="preserve"> z projektem. Analiza przepływów pieniężnych powinna wykazać, że </w:t>
      </w:r>
      <w:r w:rsidR="00EC450C">
        <w:rPr>
          <w:rFonts w:eastAsiaTheme="majorEastAsia" w:cstheme="minorHAnsi"/>
          <w:szCs w:val="24"/>
        </w:rPr>
        <w:t>Wnioskodawca/O</w:t>
      </w:r>
      <w:r w:rsidRPr="00587B52">
        <w:rPr>
          <w:rFonts w:eastAsiaTheme="majorEastAsia" w:cstheme="minorHAnsi"/>
          <w:szCs w:val="24"/>
        </w:rPr>
        <w:t>perator</w:t>
      </w:r>
      <w:r w:rsidR="0058519C">
        <w:rPr>
          <w:rFonts w:eastAsiaTheme="majorEastAsia" w:cstheme="minorHAnsi"/>
          <w:szCs w:val="24"/>
        </w:rPr>
        <w:t>/Partner</w:t>
      </w:r>
      <w:r w:rsidRPr="00587B52">
        <w:rPr>
          <w:rFonts w:eastAsiaTheme="majorEastAsia" w:cstheme="minorHAnsi"/>
          <w:szCs w:val="24"/>
        </w:rPr>
        <w:t xml:space="preserve"> z projektem ma dodatnie roczne saldo skumulowanych przepływów pieniężnych na koniec każdego roku, we wszystkich latach objętych analizą.</w:t>
      </w:r>
    </w:p>
    <w:p w14:paraId="3583F36D" w14:textId="0CB28189" w:rsidR="001E1FCC" w:rsidRDefault="001E1FCC" w:rsidP="006424BB">
      <w:pPr>
        <w:rPr>
          <w:rFonts w:eastAsiaTheme="majorEastAsia" w:cstheme="minorHAnsi"/>
          <w:szCs w:val="24"/>
        </w:rPr>
      </w:pPr>
      <w:r w:rsidRPr="00587B52">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5F2BDD">
        <w:rPr>
          <w:rFonts w:eastAsiaTheme="majorEastAsia" w:cstheme="minorHAnsi"/>
          <w:szCs w:val="24"/>
        </w:rPr>
        <w:t>to znaczy</w:t>
      </w:r>
      <w:r w:rsidRPr="00587B52">
        <w:rPr>
          <w:rFonts w:eastAsiaTheme="majorEastAsia" w:cstheme="minorHAnsi"/>
          <w:szCs w:val="24"/>
        </w:rPr>
        <w:t xml:space="preserve"> ujęcie przepływów wcześniej wyliczonych dla podmiotów zaangażowanych w realizację projektu i wyeliminowanie wzajemnych rozliczeń między </w:t>
      </w:r>
      <w:r w:rsidRPr="00587B52">
        <w:rPr>
          <w:rFonts w:eastAsiaTheme="majorEastAsia" w:cstheme="minorHAnsi"/>
          <w:szCs w:val="24"/>
        </w:rPr>
        <w:lastRenderedPageBreak/>
        <w:t>nimi, związanych z realizacją projektu). Dla potrzeb dalszych analiz (analizy ekonomicznej oraz analizy ryzyka i wrażliwości) należy wykorzystywać wyniki analizy skonsolidowanej.</w:t>
      </w:r>
    </w:p>
    <w:p w14:paraId="70828923" w14:textId="2C5C6D1A" w:rsidR="0081560D" w:rsidRPr="009D5A48" w:rsidRDefault="00C65992" w:rsidP="008924A9">
      <w:pPr>
        <w:pStyle w:val="Nagwek1"/>
      </w:pPr>
      <w:bookmarkStart w:id="81" w:name="_Toc160614688"/>
      <w:r w:rsidRPr="009D5A48">
        <w:t>Rekompensata</w:t>
      </w:r>
      <w:bookmarkEnd w:id="81"/>
    </w:p>
    <w:p w14:paraId="21B355D9" w14:textId="20CEF6F9" w:rsidR="009A14A2" w:rsidRDefault="009A14A2" w:rsidP="00B950EA">
      <w:pPr>
        <w:rPr>
          <w:rFonts w:eastAsiaTheme="majorEastAsia" w:cstheme="minorHAnsi"/>
          <w:szCs w:val="24"/>
        </w:rPr>
      </w:pPr>
      <w:r>
        <w:rPr>
          <w:rFonts w:eastAsiaTheme="majorEastAsia" w:cstheme="minorHAnsi"/>
          <w:szCs w:val="24"/>
        </w:rPr>
        <w:t xml:space="preserve">W </w:t>
      </w:r>
      <w:r w:rsidRPr="00661F21">
        <w:rPr>
          <w:rFonts w:eastAsiaTheme="majorEastAsia" w:cstheme="minorHAnsi"/>
          <w:szCs w:val="24"/>
        </w:rPr>
        <w:t>przypadku</w:t>
      </w:r>
      <w:r w:rsidR="0081560D" w:rsidRPr="00661F21">
        <w:rPr>
          <w:rFonts w:eastAsiaTheme="majorEastAsia" w:cstheme="minorHAnsi"/>
          <w:szCs w:val="24"/>
        </w:rPr>
        <w:t xml:space="preserve"> projekt</w:t>
      </w:r>
      <w:r w:rsidRPr="00661F21">
        <w:rPr>
          <w:rFonts w:eastAsiaTheme="majorEastAsia" w:cstheme="minorHAnsi"/>
          <w:szCs w:val="24"/>
        </w:rPr>
        <w:t>ów</w:t>
      </w:r>
      <w:r w:rsidR="0081560D" w:rsidRPr="00661F21">
        <w:rPr>
          <w:rFonts w:eastAsiaTheme="majorEastAsia" w:cstheme="minorHAnsi"/>
          <w:szCs w:val="24"/>
        </w:rPr>
        <w:t>, których dofinansowanie stanowi element rekompensaty</w:t>
      </w:r>
      <w:r w:rsidR="0081560D" w:rsidRPr="0081560D">
        <w:rPr>
          <w:rFonts w:eastAsiaTheme="majorEastAsia" w:cstheme="minorHAnsi"/>
          <w:szCs w:val="24"/>
        </w:rPr>
        <w:t xml:space="preserve"> wypłacanej operatorowi świadczącemu usługi w zakresie usług w ogólnym interesie gospodarczym w transporcie zbiorowym – poziom dofinansowania powinien być ustalony tak</w:t>
      </w:r>
      <w:r>
        <w:rPr>
          <w:rFonts w:eastAsiaTheme="majorEastAsia" w:cstheme="minorHAnsi"/>
          <w:szCs w:val="24"/>
        </w:rPr>
        <w:t>, a</w:t>
      </w:r>
      <w:r w:rsidR="0081560D" w:rsidRPr="0081560D">
        <w:rPr>
          <w:rFonts w:eastAsiaTheme="majorEastAsia" w:cstheme="minorHAnsi"/>
          <w:szCs w:val="24"/>
        </w:rPr>
        <w:t>by rekompensata przyznawana operatorowi (z uwzględnieniem rozsądnego zysku) nie była nadmierna (zgodnie z rozporządzeniem 1370/2007). Poziom dofinansowani</w:t>
      </w:r>
      <w:r>
        <w:rPr>
          <w:rFonts w:eastAsiaTheme="majorEastAsia" w:cstheme="minorHAnsi"/>
          <w:szCs w:val="24"/>
        </w:rPr>
        <w:t>a</w:t>
      </w:r>
      <w:r w:rsidR="0081560D" w:rsidRPr="0081560D">
        <w:rPr>
          <w:rFonts w:eastAsiaTheme="majorEastAsia" w:cstheme="minorHAnsi"/>
          <w:szCs w:val="24"/>
        </w:rPr>
        <w:t xml:space="preserve"> nie może przekraczać maksymalnej intensywności pomocy określonej </w:t>
      </w:r>
      <w:r w:rsidR="000B21F4">
        <w:rPr>
          <w:rFonts w:eastAsiaTheme="majorEastAsia" w:cstheme="minorHAnsi"/>
          <w:szCs w:val="24"/>
        </w:rPr>
        <w:t>w regulaminie</w:t>
      </w:r>
      <w:r w:rsidR="004C3C87">
        <w:rPr>
          <w:rFonts w:eastAsiaTheme="majorEastAsia" w:cstheme="minorHAnsi"/>
          <w:color w:val="FF0000"/>
          <w:szCs w:val="24"/>
        </w:rPr>
        <w:t xml:space="preserve"> </w:t>
      </w:r>
      <w:r w:rsidR="004C3C87" w:rsidRPr="004C3C87">
        <w:rPr>
          <w:rFonts w:eastAsiaTheme="majorEastAsia" w:cstheme="minorHAnsi"/>
          <w:szCs w:val="24"/>
        </w:rPr>
        <w:t xml:space="preserve">wyboru. </w:t>
      </w:r>
    </w:p>
    <w:p w14:paraId="07EB7412" w14:textId="031232AF" w:rsidR="00693A82" w:rsidRDefault="0081560D" w:rsidP="00787B38">
      <w:pPr>
        <w:rPr>
          <w:rFonts w:eastAsiaTheme="majorEastAsia" w:cstheme="minorHAnsi"/>
          <w:szCs w:val="24"/>
        </w:rPr>
      </w:pPr>
      <w:r w:rsidRPr="0081560D">
        <w:rPr>
          <w:rFonts w:eastAsiaTheme="majorEastAsia" w:cstheme="minorHAnsi"/>
          <w:szCs w:val="24"/>
        </w:rPr>
        <w:t>Uwaga: w niniejszym przypadku analiza powinna zawierać prognozę wysokości rekompensaty przyznawanej operatorowi usług (wariant z dofinansowaniem i bez) w okresie odniesienia projektu oraz weryfikację czy przyznana rekompensata nie będzie skutkować przekroczeniem poziomu „rozsądnego zysku” dla operatora świadczącego usługi.</w:t>
      </w:r>
      <w:r w:rsidR="00DE1ADA">
        <w:rPr>
          <w:rFonts w:eastAsiaTheme="majorEastAsia" w:cstheme="minorHAnsi"/>
          <w:szCs w:val="24"/>
        </w:rPr>
        <w:t xml:space="preserve"> Obliczenia należy </w:t>
      </w:r>
      <w:r w:rsidR="009A14A2">
        <w:rPr>
          <w:rFonts w:eastAsiaTheme="majorEastAsia" w:cstheme="minorHAnsi"/>
          <w:szCs w:val="24"/>
        </w:rPr>
        <w:t xml:space="preserve">przeprowadzić </w:t>
      </w:r>
      <w:r w:rsidR="00DE1ADA">
        <w:rPr>
          <w:rFonts w:eastAsiaTheme="majorEastAsia" w:cstheme="minorHAnsi"/>
          <w:szCs w:val="24"/>
        </w:rPr>
        <w:t xml:space="preserve">w </w:t>
      </w:r>
      <w:r w:rsidR="009A14A2">
        <w:rPr>
          <w:rFonts w:eastAsiaTheme="majorEastAsia" w:cstheme="minorHAnsi"/>
          <w:szCs w:val="24"/>
        </w:rPr>
        <w:t>arkuszu kalkulacyjnym „Rekompensata</w:t>
      </w:r>
      <w:r w:rsidR="00246D97">
        <w:rPr>
          <w:rFonts w:eastAsiaTheme="majorEastAsia" w:cstheme="minorHAnsi"/>
          <w:szCs w:val="24"/>
        </w:rPr>
        <w:t>”</w:t>
      </w:r>
      <w:r w:rsidR="00DE1ADA">
        <w:rPr>
          <w:rFonts w:eastAsiaTheme="majorEastAsia" w:cstheme="minorHAnsi"/>
          <w:szCs w:val="24"/>
        </w:rPr>
        <w:t xml:space="preserve">, </w:t>
      </w:r>
      <w:r w:rsidR="009A14A2">
        <w:rPr>
          <w:rFonts w:eastAsiaTheme="majorEastAsia" w:cstheme="minorHAnsi"/>
          <w:szCs w:val="24"/>
        </w:rPr>
        <w:t xml:space="preserve">a </w:t>
      </w:r>
      <w:r w:rsidR="00DE1ADA">
        <w:rPr>
          <w:rFonts w:eastAsiaTheme="majorEastAsia" w:cstheme="minorHAnsi"/>
          <w:szCs w:val="24"/>
        </w:rPr>
        <w:t xml:space="preserve">w części opisowej należy </w:t>
      </w:r>
      <w:r w:rsidR="009A14A2">
        <w:rPr>
          <w:rFonts w:eastAsiaTheme="majorEastAsia" w:cstheme="minorHAnsi"/>
          <w:szCs w:val="24"/>
        </w:rPr>
        <w:t xml:space="preserve">przedstawić </w:t>
      </w:r>
      <w:r w:rsidR="00DE1ADA">
        <w:rPr>
          <w:rFonts w:eastAsiaTheme="majorEastAsia" w:cstheme="minorHAnsi"/>
          <w:szCs w:val="24"/>
        </w:rPr>
        <w:t>wyniki i wnioski z przeprowadzonej analizy.</w:t>
      </w:r>
    </w:p>
    <w:p w14:paraId="2CDDB8F6" w14:textId="3E15ECA5" w:rsidR="00893A31" w:rsidRPr="007E14F8" w:rsidRDefault="00032312" w:rsidP="00893A31">
      <w:pPr>
        <w:rPr>
          <w:rFonts w:eastAsiaTheme="majorEastAsia" w:cstheme="minorHAnsi"/>
          <w:szCs w:val="24"/>
        </w:rPr>
      </w:pPr>
      <w:r w:rsidRPr="00476EC7">
        <w:rPr>
          <w:rFonts w:eastAsiaTheme="majorEastAsia" w:cstheme="minorHAnsi"/>
          <w:szCs w:val="24"/>
        </w:rPr>
        <w:t xml:space="preserve">W tym punkcie </w:t>
      </w:r>
      <w:r w:rsidR="00F7706E" w:rsidRPr="00476EC7">
        <w:rPr>
          <w:rFonts w:eastAsiaTheme="majorEastAsia" w:cstheme="minorHAnsi"/>
          <w:szCs w:val="24"/>
        </w:rPr>
        <w:t xml:space="preserve">należy </w:t>
      </w:r>
      <w:r w:rsidR="001E622F" w:rsidRPr="00476EC7">
        <w:rPr>
          <w:rFonts w:eastAsiaTheme="majorEastAsia" w:cstheme="minorHAnsi"/>
          <w:szCs w:val="24"/>
        </w:rPr>
        <w:t xml:space="preserve">dodatkowo </w:t>
      </w:r>
      <w:r w:rsidR="00F7706E" w:rsidRPr="00476EC7">
        <w:rPr>
          <w:rFonts w:eastAsiaTheme="majorEastAsia" w:cstheme="minorHAnsi"/>
          <w:szCs w:val="24"/>
        </w:rPr>
        <w:t xml:space="preserve">przedstawić </w:t>
      </w:r>
      <w:r w:rsidR="001E622F" w:rsidRPr="00476EC7">
        <w:rPr>
          <w:rFonts w:eastAsiaTheme="majorEastAsia" w:cstheme="minorHAnsi"/>
          <w:szCs w:val="24"/>
        </w:rPr>
        <w:t xml:space="preserve">następujące </w:t>
      </w:r>
      <w:r w:rsidR="00F7706E" w:rsidRPr="00476EC7">
        <w:rPr>
          <w:rFonts w:eastAsiaTheme="majorEastAsia" w:cstheme="minorHAnsi"/>
          <w:szCs w:val="24"/>
        </w:rPr>
        <w:t>informacje</w:t>
      </w:r>
      <w:r w:rsidR="001E622F" w:rsidRPr="00476EC7">
        <w:rPr>
          <w:rFonts w:eastAsiaTheme="majorEastAsia" w:cstheme="minorHAnsi"/>
          <w:szCs w:val="24"/>
        </w:rPr>
        <w:t>:</w:t>
      </w:r>
    </w:p>
    <w:p w14:paraId="510D84DE" w14:textId="2F5344AC" w:rsidR="00893A31" w:rsidRPr="007E14F8" w:rsidRDefault="00893A31" w:rsidP="00893A31">
      <w:pPr>
        <w:pStyle w:val="Akapitzlist"/>
        <w:numPr>
          <w:ilvl w:val="0"/>
          <w:numId w:val="29"/>
        </w:numPr>
        <w:rPr>
          <w:rFonts w:eastAsiaTheme="majorEastAsia" w:cstheme="minorHAnsi"/>
          <w:szCs w:val="24"/>
        </w:rPr>
      </w:pPr>
      <w:r w:rsidRPr="007E14F8">
        <w:rPr>
          <w:rFonts w:eastAsiaTheme="majorEastAsia" w:cstheme="minorHAnsi"/>
          <w:szCs w:val="24"/>
        </w:rPr>
        <w:t xml:space="preserve">czy dofinansowanie pozyskiwane jest przez operatora czy organizatora; </w:t>
      </w:r>
    </w:p>
    <w:p w14:paraId="0EAF07C7" w14:textId="21EF6DB3" w:rsidR="00893A31" w:rsidRPr="007E14F8" w:rsidRDefault="00893A31" w:rsidP="00893A31">
      <w:pPr>
        <w:pStyle w:val="Akapitzlist"/>
        <w:numPr>
          <w:ilvl w:val="0"/>
          <w:numId w:val="29"/>
        </w:numPr>
        <w:rPr>
          <w:rFonts w:eastAsiaTheme="majorEastAsia" w:cstheme="minorHAnsi"/>
          <w:szCs w:val="24"/>
        </w:rPr>
      </w:pPr>
      <w:r w:rsidRPr="007E14F8">
        <w:rPr>
          <w:rFonts w:eastAsiaTheme="majorEastAsia" w:cstheme="minorHAnsi"/>
          <w:szCs w:val="24"/>
        </w:rPr>
        <w:t>kto będzie właścicielem infrastrukt</w:t>
      </w:r>
      <w:r w:rsidR="008415F2" w:rsidRPr="007E14F8">
        <w:rPr>
          <w:rFonts w:eastAsiaTheme="majorEastAsia" w:cstheme="minorHAnsi"/>
          <w:szCs w:val="24"/>
        </w:rPr>
        <w:t xml:space="preserve">ury powstałej w wyniku projektu, </w:t>
      </w:r>
      <w:r w:rsidRPr="007E14F8">
        <w:rPr>
          <w:rFonts w:eastAsiaTheme="majorEastAsia" w:cstheme="minorHAnsi"/>
          <w:szCs w:val="24"/>
        </w:rPr>
        <w:t>organizator czy operator;</w:t>
      </w:r>
    </w:p>
    <w:p w14:paraId="6BCA0993" w14:textId="77777777" w:rsidR="00893A31" w:rsidRPr="007E14F8" w:rsidRDefault="00893A31" w:rsidP="00893A31">
      <w:pPr>
        <w:pStyle w:val="Akapitzlist"/>
        <w:numPr>
          <w:ilvl w:val="0"/>
          <w:numId w:val="29"/>
        </w:numPr>
        <w:rPr>
          <w:rFonts w:eastAsiaTheme="majorEastAsia" w:cstheme="minorHAnsi"/>
          <w:szCs w:val="24"/>
        </w:rPr>
      </w:pPr>
      <w:r w:rsidRPr="007E14F8">
        <w:rPr>
          <w:rFonts w:eastAsiaTheme="majorEastAsia" w:cstheme="minorHAnsi"/>
          <w:szCs w:val="24"/>
        </w:rPr>
        <w:t>kto będzie ponosił koszty amortyzacji;</w:t>
      </w:r>
    </w:p>
    <w:p w14:paraId="40DE33A7" w14:textId="18330E54" w:rsidR="00893A31" w:rsidRPr="007E14F8" w:rsidRDefault="00893A31" w:rsidP="00893A31">
      <w:pPr>
        <w:pStyle w:val="Akapitzlist"/>
        <w:numPr>
          <w:ilvl w:val="0"/>
          <w:numId w:val="29"/>
        </w:numPr>
        <w:rPr>
          <w:rFonts w:eastAsiaTheme="majorEastAsia" w:cstheme="minorHAnsi"/>
          <w:szCs w:val="24"/>
        </w:rPr>
      </w:pPr>
      <w:r w:rsidRPr="007E14F8">
        <w:rPr>
          <w:rFonts w:eastAsiaTheme="majorEastAsia" w:cstheme="minorHAnsi"/>
          <w:szCs w:val="24"/>
        </w:rPr>
        <w:t>sposób wyboru operatora</w:t>
      </w:r>
      <w:r w:rsidR="00D9529C" w:rsidRPr="007E14F8">
        <w:rPr>
          <w:rFonts w:eastAsiaTheme="majorEastAsia" w:cstheme="minorHAnsi"/>
          <w:szCs w:val="24"/>
        </w:rPr>
        <w:t xml:space="preserve"> świadczącego usługę</w:t>
      </w:r>
      <w:r w:rsidRPr="007E14F8">
        <w:rPr>
          <w:rFonts w:eastAsiaTheme="majorEastAsia" w:cstheme="minorHAnsi"/>
          <w:szCs w:val="24"/>
        </w:rPr>
        <w:t xml:space="preserve">; </w:t>
      </w:r>
    </w:p>
    <w:p w14:paraId="27707333" w14:textId="3E141588" w:rsidR="00893A31" w:rsidRPr="007E14F8" w:rsidRDefault="00893A31" w:rsidP="00893A31">
      <w:pPr>
        <w:pStyle w:val="Akapitzlist"/>
        <w:numPr>
          <w:ilvl w:val="0"/>
          <w:numId w:val="29"/>
        </w:numPr>
        <w:rPr>
          <w:rFonts w:eastAsiaTheme="majorEastAsia" w:cstheme="minorHAnsi"/>
          <w:szCs w:val="24"/>
        </w:rPr>
      </w:pPr>
      <w:r w:rsidRPr="007E14F8">
        <w:rPr>
          <w:rFonts w:eastAsiaTheme="majorEastAsia" w:cstheme="minorHAnsi"/>
          <w:szCs w:val="24"/>
        </w:rPr>
        <w:t>okres powierzenia usługi;</w:t>
      </w:r>
    </w:p>
    <w:p w14:paraId="200023BA" w14:textId="5A0C05AD" w:rsidR="00893A31" w:rsidRPr="007E14F8" w:rsidRDefault="00893A31" w:rsidP="00893A31">
      <w:pPr>
        <w:pStyle w:val="Akapitzlist"/>
        <w:numPr>
          <w:ilvl w:val="0"/>
          <w:numId w:val="29"/>
        </w:numPr>
        <w:rPr>
          <w:rFonts w:eastAsiaTheme="majorEastAsia" w:cstheme="minorHAnsi"/>
          <w:szCs w:val="24"/>
        </w:rPr>
      </w:pPr>
      <w:r w:rsidRPr="007E14F8">
        <w:rPr>
          <w:rFonts w:eastAsiaTheme="majorEastAsia" w:cstheme="minorHAnsi"/>
          <w:szCs w:val="24"/>
        </w:rPr>
        <w:t xml:space="preserve">kto pokrywa wkład własny </w:t>
      </w:r>
      <w:r w:rsidR="00D9529C" w:rsidRPr="007E14F8">
        <w:rPr>
          <w:rFonts w:eastAsiaTheme="majorEastAsia" w:cstheme="minorHAnsi"/>
          <w:szCs w:val="24"/>
        </w:rPr>
        <w:t xml:space="preserve">tej </w:t>
      </w:r>
      <w:r w:rsidR="008415F2" w:rsidRPr="007E14F8">
        <w:rPr>
          <w:rFonts w:eastAsiaTheme="majorEastAsia" w:cstheme="minorHAnsi"/>
          <w:szCs w:val="24"/>
        </w:rPr>
        <w:t>częśc</w:t>
      </w:r>
      <w:r w:rsidR="006F1C74" w:rsidRPr="007E14F8">
        <w:rPr>
          <w:rFonts w:eastAsiaTheme="majorEastAsia" w:cstheme="minorHAnsi"/>
          <w:szCs w:val="24"/>
        </w:rPr>
        <w:t>i projektu</w:t>
      </w:r>
      <w:r w:rsidR="00EC450C">
        <w:rPr>
          <w:rFonts w:eastAsiaTheme="majorEastAsia" w:cstheme="minorHAnsi"/>
          <w:szCs w:val="24"/>
        </w:rPr>
        <w:t>,</w:t>
      </w:r>
      <w:r w:rsidR="008415F2" w:rsidRPr="007E14F8">
        <w:rPr>
          <w:rFonts w:eastAsiaTheme="majorEastAsia" w:cstheme="minorHAnsi"/>
          <w:szCs w:val="24"/>
        </w:rPr>
        <w:t xml:space="preserve"> </w:t>
      </w:r>
      <w:r w:rsidR="006F1C74" w:rsidRPr="007E14F8">
        <w:rPr>
          <w:rFonts w:eastAsiaTheme="majorEastAsia" w:cstheme="minorHAnsi"/>
          <w:szCs w:val="24"/>
        </w:rPr>
        <w:t xml:space="preserve">dla </w:t>
      </w:r>
      <w:r w:rsidR="008415F2" w:rsidRPr="00661F21">
        <w:rPr>
          <w:rFonts w:eastAsiaTheme="majorEastAsia" w:cstheme="minorHAnsi"/>
          <w:szCs w:val="24"/>
        </w:rPr>
        <w:t>której dofinansowanie stanowi element</w:t>
      </w:r>
      <w:r w:rsidR="008415F2" w:rsidRPr="007E14F8">
        <w:rPr>
          <w:rFonts w:eastAsiaTheme="majorEastAsia" w:cstheme="minorHAnsi"/>
          <w:szCs w:val="24"/>
        </w:rPr>
        <w:t xml:space="preserve"> rekompensaty. </w:t>
      </w:r>
    </w:p>
    <w:p w14:paraId="6C2F1207" w14:textId="57337C0C" w:rsidR="00893A31" w:rsidRPr="00DC45E3" w:rsidRDefault="00893A31" w:rsidP="00787B38">
      <w:pPr>
        <w:pStyle w:val="Akapitzlist"/>
        <w:numPr>
          <w:ilvl w:val="0"/>
          <w:numId w:val="29"/>
        </w:numPr>
        <w:rPr>
          <w:rFonts w:eastAsiaTheme="majorEastAsia" w:cstheme="minorHAnsi"/>
          <w:szCs w:val="24"/>
        </w:rPr>
      </w:pPr>
      <w:r w:rsidRPr="007E14F8">
        <w:rPr>
          <w:rFonts w:eastAsiaTheme="majorEastAsia" w:cstheme="minorHAnsi"/>
          <w:szCs w:val="24"/>
        </w:rPr>
        <w:t xml:space="preserve">czy w projekcie występują jakieś dodatkowe przysporzenia dla operatora jak preferencyjne udostępnienie gruntu, </w:t>
      </w:r>
      <w:r w:rsidR="007E14F8" w:rsidRPr="007E14F8">
        <w:rPr>
          <w:rFonts w:eastAsiaTheme="majorEastAsia" w:cstheme="minorHAnsi"/>
          <w:szCs w:val="24"/>
        </w:rPr>
        <w:t xml:space="preserve">sprzętu, preferencyjne pożyczki. </w:t>
      </w:r>
    </w:p>
    <w:p w14:paraId="03DB0D93" w14:textId="77A3799F" w:rsidR="001E1FCC" w:rsidRPr="00587B52" w:rsidRDefault="001B1243" w:rsidP="008924A9">
      <w:pPr>
        <w:pStyle w:val="Nagwek1"/>
      </w:pPr>
      <w:bookmarkStart w:id="82" w:name="_Toc131502052"/>
      <w:r>
        <w:t xml:space="preserve"> </w:t>
      </w:r>
      <w:bookmarkStart w:id="83" w:name="_Toc160614689"/>
      <w:r w:rsidR="001E1FCC" w:rsidRPr="00587B52">
        <w:t>Analiza ekonomiczna</w:t>
      </w:r>
      <w:bookmarkStart w:id="84" w:name="_Toc131499732"/>
      <w:bookmarkStart w:id="85" w:name="_Toc131499787"/>
      <w:bookmarkStart w:id="86" w:name="_Toc131499892"/>
      <w:bookmarkStart w:id="87" w:name="_Toc131499952"/>
      <w:bookmarkStart w:id="88" w:name="_Toc131500183"/>
      <w:bookmarkStart w:id="89" w:name="_Toc131496754"/>
      <w:bookmarkStart w:id="90" w:name="_Toc131498182"/>
      <w:bookmarkStart w:id="91" w:name="_Toc131499088"/>
      <w:bookmarkStart w:id="92" w:name="_Toc131499146"/>
      <w:bookmarkStart w:id="93" w:name="_Toc131499733"/>
      <w:bookmarkStart w:id="94" w:name="_Toc131499788"/>
      <w:bookmarkStart w:id="95" w:name="_Toc131499893"/>
      <w:bookmarkStart w:id="96" w:name="_Toc131499953"/>
      <w:bookmarkStart w:id="97" w:name="_Toc131500184"/>
      <w:bookmarkStart w:id="98" w:name="_Toc131496755"/>
      <w:bookmarkStart w:id="99" w:name="_Toc131498183"/>
      <w:bookmarkStart w:id="100" w:name="_Toc131499089"/>
      <w:bookmarkStart w:id="101" w:name="_Toc131499147"/>
      <w:bookmarkStart w:id="102" w:name="_Toc131499734"/>
      <w:bookmarkStart w:id="103" w:name="_Toc131499789"/>
      <w:bookmarkStart w:id="104" w:name="_Toc131499894"/>
      <w:bookmarkStart w:id="105" w:name="_Toc131499954"/>
      <w:bookmarkStart w:id="106" w:name="_Toc131500185"/>
      <w:bookmarkStart w:id="107" w:name="_Toc131502054"/>
      <w:bookmarkStart w:id="108" w:name="_Toc131062166"/>
      <w:bookmarkStart w:id="109" w:name="_Toc131062241"/>
      <w:bookmarkStart w:id="110" w:name="_Toc131492632"/>
      <w:bookmarkStart w:id="111" w:name="_Toc131492672"/>
      <w:bookmarkStart w:id="112" w:name="_Toc131494584"/>
      <w:bookmarkStart w:id="113" w:name="_Toc131494798"/>
      <w:bookmarkStart w:id="114" w:name="_Toc131495905"/>
      <w:bookmarkStart w:id="115" w:name="_Toc131495986"/>
      <w:bookmarkStart w:id="116" w:name="_Toc131496525"/>
      <w:bookmarkStart w:id="117" w:name="_Toc131496756"/>
      <w:bookmarkStart w:id="118" w:name="_Toc131498184"/>
      <w:bookmarkStart w:id="119" w:name="_Toc131499090"/>
      <w:bookmarkStart w:id="120" w:name="_Toc131499148"/>
      <w:bookmarkStart w:id="121" w:name="_Toc131499735"/>
      <w:bookmarkStart w:id="122" w:name="_Toc131499790"/>
      <w:bookmarkStart w:id="123" w:name="_Toc131499895"/>
      <w:bookmarkStart w:id="124" w:name="_Toc131499955"/>
      <w:bookmarkStart w:id="125" w:name="_Toc131500186"/>
      <w:bookmarkStart w:id="126" w:name="_Toc131502055"/>
      <w:bookmarkStart w:id="127" w:name="_Toc131062167"/>
      <w:bookmarkStart w:id="128" w:name="_Toc131062242"/>
      <w:bookmarkStart w:id="129" w:name="_Toc131492633"/>
      <w:bookmarkStart w:id="130" w:name="_Toc131492673"/>
      <w:bookmarkStart w:id="131" w:name="_Toc131494585"/>
      <w:bookmarkStart w:id="132" w:name="_Toc131494799"/>
      <w:bookmarkStart w:id="133" w:name="_Toc131495906"/>
      <w:bookmarkStart w:id="134" w:name="_Toc131495987"/>
      <w:bookmarkStart w:id="135" w:name="_Toc131496526"/>
      <w:bookmarkStart w:id="136" w:name="_Toc131496757"/>
      <w:bookmarkStart w:id="137" w:name="_Toc131498185"/>
      <w:bookmarkStart w:id="138" w:name="_Toc131499091"/>
      <w:bookmarkStart w:id="139" w:name="_Toc131499149"/>
      <w:bookmarkStart w:id="140" w:name="_Toc131499736"/>
      <w:bookmarkStart w:id="141" w:name="_Toc131499791"/>
      <w:bookmarkStart w:id="142" w:name="_Toc131499896"/>
      <w:bookmarkStart w:id="143" w:name="_Toc131499956"/>
      <w:bookmarkStart w:id="144" w:name="_Toc131500187"/>
      <w:bookmarkStart w:id="145" w:name="_Toc131502056"/>
      <w:bookmarkStart w:id="146" w:name="_Toc131062168"/>
      <w:bookmarkStart w:id="147" w:name="_Toc131062243"/>
      <w:bookmarkStart w:id="148" w:name="_Toc131492634"/>
      <w:bookmarkStart w:id="149" w:name="_Toc131492674"/>
      <w:bookmarkStart w:id="150" w:name="_Toc131494586"/>
      <w:bookmarkStart w:id="151" w:name="_Toc131494800"/>
      <w:bookmarkStart w:id="152" w:name="_Toc131495907"/>
      <w:bookmarkStart w:id="153" w:name="_Toc131495988"/>
      <w:bookmarkStart w:id="154" w:name="_Toc131496527"/>
      <w:bookmarkStart w:id="155" w:name="_Toc131496758"/>
      <w:bookmarkStart w:id="156" w:name="_Toc131498186"/>
      <w:bookmarkStart w:id="157" w:name="_Toc131499092"/>
      <w:bookmarkStart w:id="158" w:name="_Toc131499150"/>
      <w:bookmarkStart w:id="159" w:name="_Toc131499737"/>
      <w:bookmarkStart w:id="160" w:name="_Toc131499792"/>
      <w:bookmarkStart w:id="161" w:name="_Toc131499897"/>
      <w:bookmarkStart w:id="162" w:name="_Toc131499957"/>
      <w:bookmarkStart w:id="163" w:name="_Toc131500188"/>
      <w:bookmarkStart w:id="164" w:name="_Toc131502057"/>
      <w:bookmarkStart w:id="165" w:name="_Toc131062169"/>
      <w:bookmarkStart w:id="166" w:name="_Toc131062244"/>
      <w:bookmarkStart w:id="167" w:name="_Toc131492635"/>
      <w:bookmarkStart w:id="168" w:name="_Toc131492675"/>
      <w:bookmarkStart w:id="169" w:name="_Toc131494587"/>
      <w:bookmarkStart w:id="170" w:name="_Toc131494801"/>
      <w:bookmarkStart w:id="171" w:name="_Toc131495908"/>
      <w:bookmarkStart w:id="172" w:name="_Toc131495989"/>
      <w:bookmarkStart w:id="173" w:name="_Toc131496528"/>
      <w:bookmarkStart w:id="174" w:name="_Toc131496759"/>
      <w:bookmarkStart w:id="175" w:name="_Toc131498187"/>
      <w:bookmarkStart w:id="176" w:name="_Toc131499093"/>
      <w:bookmarkStart w:id="177" w:name="_Toc131499151"/>
      <w:bookmarkStart w:id="178" w:name="_Toc131499738"/>
      <w:bookmarkStart w:id="179" w:name="_Toc131499793"/>
      <w:bookmarkStart w:id="180" w:name="_Toc131499898"/>
      <w:bookmarkStart w:id="181" w:name="_Toc131499958"/>
      <w:bookmarkStart w:id="182" w:name="_Toc131500189"/>
      <w:bookmarkStart w:id="183" w:name="_Toc131502058"/>
      <w:bookmarkStart w:id="184" w:name="_Toc131062170"/>
      <w:bookmarkStart w:id="185" w:name="_Toc131062245"/>
      <w:bookmarkStart w:id="186" w:name="_Toc131492636"/>
      <w:bookmarkStart w:id="187" w:name="_Toc131492676"/>
      <w:bookmarkStart w:id="188" w:name="_Toc131494588"/>
      <w:bookmarkStart w:id="189" w:name="_Toc131494802"/>
      <w:bookmarkStart w:id="190" w:name="_Toc131495909"/>
      <w:bookmarkStart w:id="191" w:name="_Toc131495990"/>
      <w:bookmarkStart w:id="192" w:name="_Toc131496529"/>
      <w:bookmarkStart w:id="193" w:name="_Toc131496760"/>
      <w:bookmarkStart w:id="194" w:name="_Toc131498188"/>
      <w:bookmarkStart w:id="195" w:name="_Toc131499094"/>
      <w:bookmarkStart w:id="196" w:name="_Toc131499152"/>
      <w:bookmarkStart w:id="197" w:name="_Toc131499739"/>
      <w:bookmarkStart w:id="198" w:name="_Toc131499794"/>
      <w:bookmarkStart w:id="199" w:name="_Toc131499899"/>
      <w:bookmarkStart w:id="200" w:name="_Toc131499959"/>
      <w:bookmarkStart w:id="201" w:name="_Toc131500190"/>
      <w:bookmarkStart w:id="202" w:name="_Toc131502059"/>
      <w:bookmarkStart w:id="203" w:name="_Toc131062171"/>
      <w:bookmarkStart w:id="204" w:name="_Toc131062246"/>
      <w:bookmarkStart w:id="205" w:name="_Toc131492637"/>
      <w:bookmarkStart w:id="206" w:name="_Toc131492677"/>
      <w:bookmarkStart w:id="207" w:name="_Toc131494589"/>
      <w:bookmarkStart w:id="208" w:name="_Toc131494803"/>
      <w:bookmarkStart w:id="209" w:name="_Toc131495910"/>
      <w:bookmarkStart w:id="210" w:name="_Toc131495991"/>
      <w:bookmarkStart w:id="211" w:name="_Toc131496530"/>
      <w:bookmarkStart w:id="212" w:name="_Toc131496761"/>
      <w:bookmarkStart w:id="213" w:name="_Toc131498189"/>
      <w:bookmarkStart w:id="214" w:name="_Toc131499095"/>
      <w:bookmarkStart w:id="215" w:name="_Toc131499153"/>
      <w:bookmarkStart w:id="216" w:name="_Toc131499740"/>
      <w:bookmarkStart w:id="217" w:name="_Toc131499795"/>
      <w:bookmarkStart w:id="218" w:name="_Toc131499900"/>
      <w:bookmarkStart w:id="219" w:name="_Toc131499960"/>
      <w:bookmarkStart w:id="220" w:name="_Toc131500191"/>
      <w:bookmarkStart w:id="221" w:name="_Toc131502060"/>
      <w:bookmarkStart w:id="222" w:name="_Toc131062172"/>
      <w:bookmarkStart w:id="223" w:name="_Toc131062247"/>
      <w:bookmarkStart w:id="224" w:name="_Toc131492638"/>
      <w:bookmarkStart w:id="225" w:name="_Toc131492678"/>
      <w:bookmarkStart w:id="226" w:name="_Toc131494590"/>
      <w:bookmarkStart w:id="227" w:name="_Toc131494804"/>
      <w:bookmarkStart w:id="228" w:name="_Toc131495911"/>
      <w:bookmarkStart w:id="229" w:name="_Toc131495992"/>
      <w:bookmarkStart w:id="230" w:name="_Toc131496531"/>
      <w:bookmarkStart w:id="231" w:name="_Toc131496762"/>
      <w:bookmarkStart w:id="232" w:name="_Toc131498190"/>
      <w:bookmarkStart w:id="233" w:name="_Toc131499096"/>
      <w:bookmarkStart w:id="234" w:name="_Toc131499154"/>
      <w:bookmarkStart w:id="235" w:name="_Toc131499741"/>
      <w:bookmarkStart w:id="236" w:name="_Toc131499796"/>
      <w:bookmarkStart w:id="237" w:name="_Toc131499901"/>
      <w:bookmarkStart w:id="238" w:name="_Toc131499961"/>
      <w:bookmarkStart w:id="239" w:name="_Toc131500192"/>
      <w:bookmarkStart w:id="240" w:name="_Toc13150206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01AA3C4" w14:textId="7AA6236D" w:rsidR="00C057C6" w:rsidRDefault="00335B6B" w:rsidP="00C057C6">
      <w:pPr>
        <w:rPr>
          <w:rFonts w:cstheme="minorHAnsi"/>
          <w:szCs w:val="24"/>
        </w:rPr>
      </w:pPr>
      <w:r>
        <w:rPr>
          <w:rFonts w:cstheme="minorHAnsi"/>
          <w:szCs w:val="24"/>
        </w:rPr>
        <w:t>A</w:t>
      </w:r>
      <w:r w:rsidR="00C057C6">
        <w:rPr>
          <w:rFonts w:cstheme="minorHAnsi"/>
          <w:szCs w:val="24"/>
        </w:rPr>
        <w:t>nalizę ekonomiczną</w:t>
      </w:r>
      <w:r w:rsidR="003A34A0">
        <w:rPr>
          <w:rFonts w:cstheme="minorHAnsi"/>
          <w:szCs w:val="24"/>
        </w:rPr>
        <w:t xml:space="preserve"> (analiz</w:t>
      </w:r>
      <w:r w:rsidR="009A14A2">
        <w:rPr>
          <w:rFonts w:cstheme="minorHAnsi"/>
          <w:szCs w:val="24"/>
        </w:rPr>
        <w:t>ę</w:t>
      </w:r>
      <w:r w:rsidR="003A34A0">
        <w:rPr>
          <w:rFonts w:cstheme="minorHAnsi"/>
          <w:szCs w:val="24"/>
        </w:rPr>
        <w:t xml:space="preserve"> społeczno-ekonomiczn</w:t>
      </w:r>
      <w:r w:rsidR="004E630B">
        <w:rPr>
          <w:rFonts w:cstheme="minorHAnsi"/>
          <w:szCs w:val="24"/>
        </w:rPr>
        <w:t>ą</w:t>
      </w:r>
      <w:r w:rsidR="003A34A0">
        <w:rPr>
          <w:rFonts w:cstheme="minorHAnsi"/>
          <w:szCs w:val="24"/>
        </w:rPr>
        <w:t>)</w:t>
      </w:r>
      <w:r w:rsidR="00C057C6">
        <w:rPr>
          <w:rFonts w:cstheme="minorHAnsi"/>
          <w:szCs w:val="24"/>
        </w:rPr>
        <w:t xml:space="preserve"> należy przeprowadzić w oparciu o </w:t>
      </w:r>
      <w:r w:rsidR="00EA4ECC" w:rsidRPr="00143C20">
        <w:rPr>
          <w:rFonts w:cstheme="minorHAnsi"/>
          <w:szCs w:val="24"/>
        </w:rPr>
        <w:t>instrukcje</w:t>
      </w:r>
      <w:r w:rsidR="00C057C6" w:rsidRPr="00143C20">
        <w:rPr>
          <w:rFonts w:cstheme="minorHAnsi"/>
          <w:szCs w:val="24"/>
        </w:rPr>
        <w:t xml:space="preserve"> zawarte w podręczniku </w:t>
      </w:r>
      <w:r w:rsidR="00C057C6" w:rsidRPr="0021334E">
        <w:rPr>
          <w:rFonts w:cstheme="minorHAnsi"/>
          <w:szCs w:val="24"/>
        </w:rPr>
        <w:t>Niebieska Księga – Sektor transportu publicznego w miastach, aglomeracjach i regionach</w:t>
      </w:r>
      <w:r w:rsidR="00C057C6" w:rsidRPr="00143C20">
        <w:rPr>
          <w:rFonts w:cstheme="minorHAnsi"/>
          <w:szCs w:val="24"/>
        </w:rPr>
        <w:t xml:space="preserve"> (Jaspers, 2023). </w:t>
      </w:r>
      <w:r w:rsidR="00143C20" w:rsidRPr="00143C20">
        <w:rPr>
          <w:rFonts w:cstheme="minorHAnsi"/>
          <w:szCs w:val="24"/>
        </w:rPr>
        <w:t>Obliczenia w postaci docelowych analiz należy przeprowadzić w arkuszu „Obliczenia - Niebieska Księga”</w:t>
      </w:r>
      <w:r w:rsidR="00143C20">
        <w:rPr>
          <w:rFonts w:cstheme="minorHAnsi"/>
          <w:szCs w:val="24"/>
        </w:rPr>
        <w:t>.</w:t>
      </w:r>
    </w:p>
    <w:p w14:paraId="52AA1797" w14:textId="5C626C0E" w:rsidR="002B19C1" w:rsidRPr="00143C20" w:rsidRDefault="002B19C1" w:rsidP="00C057C6">
      <w:pPr>
        <w:rPr>
          <w:rFonts w:cstheme="minorHAnsi"/>
          <w:szCs w:val="24"/>
        </w:rPr>
      </w:pPr>
      <w:r>
        <w:rPr>
          <w:rFonts w:cstheme="minorHAnsi"/>
          <w:szCs w:val="24"/>
        </w:rPr>
        <w:t xml:space="preserve">Najważniejsze wymagane elementy zostały przedstawione poniżej. </w:t>
      </w:r>
    </w:p>
    <w:p w14:paraId="6E3611F3" w14:textId="445A1096" w:rsidR="003A34A0" w:rsidRPr="003A34A0" w:rsidRDefault="003A34A0" w:rsidP="003A34A0">
      <w:pPr>
        <w:contextualSpacing/>
        <w:rPr>
          <w:szCs w:val="24"/>
        </w:rPr>
      </w:pPr>
      <w:bookmarkStart w:id="241" w:name="_Toc132186628"/>
      <w:bookmarkStart w:id="242" w:name="_Toc132193915"/>
      <w:bookmarkStart w:id="243" w:name="_Toc132194000"/>
      <w:bookmarkStart w:id="244" w:name="_Toc132194080"/>
      <w:bookmarkStart w:id="245" w:name="_Toc132194127"/>
      <w:bookmarkStart w:id="246" w:name="_Toc132194175"/>
      <w:bookmarkStart w:id="247" w:name="_Toc132194276"/>
      <w:bookmarkStart w:id="248" w:name="_Toc132194316"/>
      <w:bookmarkStart w:id="249" w:name="_Toc132195192"/>
      <w:bookmarkStart w:id="250" w:name="_Toc132195286"/>
      <w:bookmarkStart w:id="251" w:name="_Toc132195326"/>
      <w:bookmarkStart w:id="252" w:name="_Toc132195362"/>
      <w:bookmarkStart w:id="253" w:name="_Toc131501847"/>
      <w:bookmarkStart w:id="254" w:name="_Toc131501848"/>
      <w:bookmarkStart w:id="255" w:name="_Toc131501849"/>
      <w:bookmarkStart w:id="256" w:name="_Toc131501850"/>
      <w:bookmarkStart w:id="257" w:name="_Toc131501851"/>
      <w:bookmarkStart w:id="258" w:name="_Toc131501852"/>
      <w:bookmarkStart w:id="259" w:name="_Toc131501853"/>
      <w:bookmarkStart w:id="260" w:name="_Toc131501854"/>
      <w:bookmarkStart w:id="261" w:name="_Toc131501855"/>
      <w:bookmarkStart w:id="262" w:name="_Toc13150185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3A34A0">
        <w:rPr>
          <w:szCs w:val="24"/>
        </w:rPr>
        <w:t>Analiza ekonomiczna przeprowadzana jest w drodze skorygowania wyników analizy finansowej o efekty fiskalne, efekty zewnętrzne oraz ceny rozrachunkowe. Do oszacowania kosztów i korzyści ekonomicznych stosowana jest, podobnie jak w analizie finansowej, metoda DCF. Analizę ekonomiczną przeprowadza się w cenach stałych. Społeczna stopa dyskontowa (społeczny wskaźnik waloryzacji), jaką należy p</w:t>
      </w:r>
      <w:r w:rsidR="00465F31">
        <w:rPr>
          <w:szCs w:val="24"/>
        </w:rPr>
        <w:t xml:space="preserve">rzyjąć w analizie ekonomicznej </w:t>
      </w:r>
      <w:r w:rsidRPr="003A34A0">
        <w:rPr>
          <w:szCs w:val="24"/>
        </w:rPr>
        <w:t>wynosi 3%.</w:t>
      </w:r>
    </w:p>
    <w:p w14:paraId="2B5B7C95" w14:textId="77777777" w:rsidR="003A34A0" w:rsidRPr="003A34A0" w:rsidRDefault="003A34A0" w:rsidP="003A34A0">
      <w:pPr>
        <w:rPr>
          <w:szCs w:val="24"/>
        </w:rPr>
      </w:pPr>
      <w:r w:rsidRPr="003A34A0">
        <w:rPr>
          <w:szCs w:val="24"/>
        </w:rPr>
        <w:lastRenderedPageBreak/>
        <w:t>Podstawą do przeprowadzenia analizy ekonomicznej są przepływy środków pieniężnych określone w analizie finansowej. Przy określaniu ekonomicznych wskaźników efektywności należy jednak dokonać niezbędnych korekt dotyczących:</w:t>
      </w:r>
    </w:p>
    <w:p w14:paraId="6FC729C8" w14:textId="77777777" w:rsidR="003A34A0" w:rsidRPr="003A34A0" w:rsidRDefault="003A34A0" w:rsidP="00E601FD">
      <w:pPr>
        <w:numPr>
          <w:ilvl w:val="0"/>
          <w:numId w:val="25"/>
        </w:numPr>
        <w:contextualSpacing/>
        <w:rPr>
          <w:szCs w:val="24"/>
        </w:rPr>
      </w:pPr>
      <w:r w:rsidRPr="003A34A0">
        <w:rPr>
          <w:rFonts w:cs="ArialMT"/>
          <w:szCs w:val="24"/>
        </w:rPr>
        <w:t>efektów fiskalnych</w:t>
      </w:r>
      <w:r w:rsidRPr="003A34A0">
        <w:rPr>
          <w:szCs w:val="24"/>
        </w:rPr>
        <w:t xml:space="preserve"> (transferów),</w:t>
      </w:r>
    </w:p>
    <w:p w14:paraId="469ACCB3" w14:textId="77777777" w:rsidR="003A34A0" w:rsidRPr="003A34A0" w:rsidRDefault="003A34A0" w:rsidP="00E601FD">
      <w:pPr>
        <w:numPr>
          <w:ilvl w:val="0"/>
          <w:numId w:val="25"/>
        </w:numPr>
        <w:contextualSpacing/>
        <w:rPr>
          <w:szCs w:val="24"/>
        </w:rPr>
      </w:pPr>
      <w:r w:rsidRPr="003A34A0">
        <w:rPr>
          <w:szCs w:val="24"/>
        </w:rPr>
        <w:t>efektów zewnętrznych,</w:t>
      </w:r>
    </w:p>
    <w:p w14:paraId="49653163" w14:textId="0F2060D2" w:rsidR="003A34A0" w:rsidRPr="00DC45E3" w:rsidRDefault="003A34A0" w:rsidP="003A34A0">
      <w:pPr>
        <w:numPr>
          <w:ilvl w:val="0"/>
          <w:numId w:val="25"/>
        </w:numPr>
        <w:contextualSpacing/>
        <w:rPr>
          <w:szCs w:val="24"/>
        </w:rPr>
      </w:pPr>
      <w:r w:rsidRPr="003A34A0">
        <w:rPr>
          <w:szCs w:val="24"/>
        </w:rPr>
        <w:t>przekształceń z cen rynkowych na ceny rozrachunkowe.</w:t>
      </w:r>
    </w:p>
    <w:p w14:paraId="4A24863F" w14:textId="77777777" w:rsidR="003A34A0" w:rsidRPr="003A34A0" w:rsidRDefault="003A34A0" w:rsidP="003A34A0">
      <w:pPr>
        <w:contextualSpacing/>
        <w:rPr>
          <w:szCs w:val="24"/>
        </w:rPr>
      </w:pPr>
      <w:r w:rsidRPr="003A34A0">
        <w:rPr>
          <w:szCs w:val="24"/>
        </w:rPr>
        <w:t>Korekty fiskalne polegają, między innymi na skorygowaniu następujących pozycji:</w:t>
      </w:r>
    </w:p>
    <w:p w14:paraId="763EEC36" w14:textId="77777777" w:rsidR="003A34A0" w:rsidRPr="003A34A0" w:rsidRDefault="003A34A0" w:rsidP="00E601FD">
      <w:pPr>
        <w:numPr>
          <w:ilvl w:val="0"/>
          <w:numId w:val="24"/>
        </w:numPr>
        <w:contextualSpacing/>
        <w:rPr>
          <w:szCs w:val="24"/>
        </w:rPr>
      </w:pPr>
      <w:r w:rsidRPr="003A34A0">
        <w:rPr>
          <w:szCs w:val="24"/>
        </w:rPr>
        <w:t>odliczeniu podatków pośrednich (na przykład: VAT, który w analizie finansowej był uwzględniany w cenach, czy też podatku akcyzowego),</w:t>
      </w:r>
    </w:p>
    <w:p w14:paraId="66F8BED6" w14:textId="77777777" w:rsidR="003A34A0" w:rsidRPr="003A34A0" w:rsidRDefault="003A34A0" w:rsidP="00E601FD">
      <w:pPr>
        <w:numPr>
          <w:ilvl w:val="0"/>
          <w:numId w:val="24"/>
        </w:numPr>
        <w:contextualSpacing/>
        <w:rPr>
          <w:szCs w:val="24"/>
        </w:rPr>
      </w:pPr>
      <w:r w:rsidRPr="003A34A0">
        <w:rPr>
          <w:szCs w:val="24"/>
        </w:rPr>
        <w:t>odliczeniu subwencji i wpłat, mających charakter wyłącznie przekazu pieniężnego – tak zwanych ”czystych” płatności transferowych przekazywanych przez podmioty publiczne na rzecz osób fizycznych (na przykład: płatności z tytułu ubezpieczeń społecznych),</w:t>
      </w:r>
    </w:p>
    <w:p w14:paraId="6FBE153F" w14:textId="77777777" w:rsidR="003A34A0" w:rsidRPr="003A34A0" w:rsidRDefault="003A34A0" w:rsidP="00E601FD">
      <w:pPr>
        <w:numPr>
          <w:ilvl w:val="0"/>
          <w:numId w:val="24"/>
        </w:numPr>
        <w:contextualSpacing/>
        <w:rPr>
          <w:szCs w:val="24"/>
        </w:rPr>
      </w:pPr>
      <w:r w:rsidRPr="003A34A0">
        <w:rPr>
          <w:szCs w:val="24"/>
        </w:rPr>
        <w:t>uwzględnieniu w cenie tych konkretnych podatków pośrednich / subwencji /dotacji, które mają za zadanie zmienić efekty zewnętrzne. Jednakże należy pamiętać, aby w trakcie analizy nie liczyć ich podwójnie (przykładowo jako podatek włączony do danej ceny oraz jako szacunkowy zewnętrzny koszt środowiskowy).</w:t>
      </w:r>
    </w:p>
    <w:p w14:paraId="6A41F53D" w14:textId="77777777" w:rsidR="003A34A0" w:rsidRPr="003A34A0" w:rsidRDefault="003A34A0" w:rsidP="003147E9">
      <w:pPr>
        <w:spacing w:before="120"/>
        <w:rPr>
          <w:szCs w:val="24"/>
        </w:rPr>
      </w:pPr>
      <w:r w:rsidRPr="003A34A0">
        <w:rPr>
          <w:szCs w:val="24"/>
        </w:rPr>
        <w:t>Korekta dotycząca efektów zewnętrznych ma na celu ustalenie wartości negatywnych 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oceny jakościowej. Należy wówczas wyraźnie zaznaczyć, że nie zostały one ujęte przy obliczaniu wskaźników analizy ekonomicznej.</w:t>
      </w:r>
    </w:p>
    <w:p w14:paraId="5E815D4A" w14:textId="77777777" w:rsidR="001E43B7" w:rsidRDefault="003A34A0" w:rsidP="003A34A0">
      <w:pPr>
        <w:rPr>
          <w:szCs w:val="24"/>
        </w:rPr>
      </w:pPr>
      <w:r w:rsidRPr="003A34A0">
        <w:rPr>
          <w:szCs w:val="24"/>
        </w:rPr>
        <w:t xml:space="preserve">Przekształcenie z cen rynkowych w ceny rozrachunkowe (ukryte) ma na celu uwzględnienie czynników mogących oderwać ceny od równowagi konkurencyjnej (to jest skutecznego rynku), takich jak: niedoskonałości rynku, monopole, bariery handlowe, regulacje w zakresie prawa pracy, niepełna informacja i tym podobne. Przeliczanie cen rynkowych na rozrachunkowe ma na celu zapewnienie, że te ostatnie będą odzwierciedlały koszt alternatywny wkładu w projekt oraz gotowość klienta do zapłaty za produkt końcowy. W szczególności, w przypadku gdy wynagrodzenie finansowe nie odzwierciedla alternatywnego kosztu pracy, należy skorygować je do poziomu wynagrodzenia ukrytego (ang. </w:t>
      </w:r>
      <w:proofErr w:type="spellStart"/>
      <w:r w:rsidRPr="003A34A0">
        <w:rPr>
          <w:szCs w:val="24"/>
        </w:rPr>
        <w:t>shadow</w:t>
      </w:r>
      <w:proofErr w:type="spellEnd"/>
      <w:r w:rsidRPr="003A34A0">
        <w:rPr>
          <w:szCs w:val="24"/>
        </w:rPr>
        <w:t xml:space="preserve"> </w:t>
      </w:r>
      <w:proofErr w:type="spellStart"/>
      <w:r w:rsidRPr="003A34A0">
        <w:rPr>
          <w:szCs w:val="24"/>
        </w:rPr>
        <w:t>wage</w:t>
      </w:r>
      <w:proofErr w:type="spellEnd"/>
      <w:r w:rsidRPr="003A34A0">
        <w:rPr>
          <w:szCs w:val="24"/>
        </w:rPr>
        <w:t xml:space="preserve">). </w:t>
      </w:r>
    </w:p>
    <w:p w14:paraId="7F6A1FF7" w14:textId="494E5E38" w:rsidR="003A34A0" w:rsidRPr="003A34A0" w:rsidRDefault="003A34A0" w:rsidP="003A34A0">
      <w:pPr>
        <w:rPr>
          <w:szCs w:val="24"/>
        </w:rPr>
      </w:pPr>
      <w:r w:rsidRPr="003A34A0">
        <w:rPr>
          <w:szCs w:val="24"/>
        </w:rPr>
        <w:t>Szczegółowe informacje na temat przekształcania cen rynkowych na ceny rozrachunkowe</w:t>
      </w:r>
      <w:r w:rsidR="00465F31">
        <w:rPr>
          <w:szCs w:val="24"/>
        </w:rPr>
        <w:t>, wraz z współczynnikami konwersji</w:t>
      </w:r>
      <w:r w:rsidRPr="003A34A0">
        <w:rPr>
          <w:szCs w:val="24"/>
        </w:rPr>
        <w:t xml:space="preserve"> </w:t>
      </w:r>
      <w:r w:rsidR="00465F31">
        <w:rPr>
          <w:szCs w:val="24"/>
        </w:rPr>
        <w:t xml:space="preserve">zostały zawarte w rozdziale 2.3.2 </w:t>
      </w:r>
      <w:r w:rsidR="00465F31" w:rsidRPr="00143C20">
        <w:rPr>
          <w:rFonts w:cstheme="minorHAnsi"/>
          <w:szCs w:val="24"/>
        </w:rPr>
        <w:t>podręcznik</w:t>
      </w:r>
      <w:r w:rsidR="00465F31">
        <w:rPr>
          <w:rFonts w:cstheme="minorHAnsi"/>
          <w:szCs w:val="24"/>
        </w:rPr>
        <w:t>a</w:t>
      </w:r>
      <w:r w:rsidR="00465F31" w:rsidRPr="00143C20">
        <w:rPr>
          <w:rFonts w:cstheme="minorHAnsi"/>
          <w:szCs w:val="24"/>
        </w:rPr>
        <w:t xml:space="preserve"> </w:t>
      </w:r>
      <w:r w:rsidR="00465F31" w:rsidRPr="0021334E">
        <w:rPr>
          <w:rFonts w:cstheme="minorHAnsi"/>
          <w:szCs w:val="24"/>
        </w:rPr>
        <w:t>Niebieska Księga – Sektor transportu publicznego w miastach, aglomeracjach i regionach</w:t>
      </w:r>
      <w:r w:rsidR="00465F31" w:rsidRPr="00143C20">
        <w:rPr>
          <w:rFonts w:cstheme="minorHAnsi"/>
          <w:szCs w:val="24"/>
        </w:rPr>
        <w:t xml:space="preserve"> (Jaspers, 2023).</w:t>
      </w:r>
    </w:p>
    <w:p w14:paraId="25593BC5" w14:textId="77777777" w:rsidR="003A34A0" w:rsidRPr="003A34A0" w:rsidRDefault="003A34A0" w:rsidP="003A34A0">
      <w:pPr>
        <w:rPr>
          <w:szCs w:val="24"/>
        </w:rPr>
      </w:pPr>
      <w:r w:rsidRPr="003A34A0">
        <w:rPr>
          <w:szCs w:val="24"/>
        </w:rPr>
        <w:t>W celu dokonania oceny ekonomicznej projektu należy posłużyć się następującymi ekonomicznymi wskaźnikami efektywności:</w:t>
      </w:r>
    </w:p>
    <w:p w14:paraId="6B56C3EA" w14:textId="77777777" w:rsidR="003A34A0" w:rsidRPr="003A34A0" w:rsidRDefault="003A34A0" w:rsidP="00E601FD">
      <w:pPr>
        <w:numPr>
          <w:ilvl w:val="0"/>
          <w:numId w:val="26"/>
        </w:numPr>
        <w:contextualSpacing/>
        <w:rPr>
          <w:szCs w:val="24"/>
        </w:rPr>
      </w:pPr>
      <w:r w:rsidRPr="003A34A0">
        <w:rPr>
          <w:szCs w:val="24"/>
        </w:rPr>
        <w:t>ENPV, która powinna być większa od zera,</w:t>
      </w:r>
    </w:p>
    <w:p w14:paraId="7AA6CF8E" w14:textId="77777777" w:rsidR="003A34A0" w:rsidRPr="003A34A0" w:rsidRDefault="003A34A0" w:rsidP="00E601FD">
      <w:pPr>
        <w:numPr>
          <w:ilvl w:val="0"/>
          <w:numId w:val="26"/>
        </w:numPr>
        <w:contextualSpacing/>
        <w:rPr>
          <w:szCs w:val="24"/>
        </w:rPr>
      </w:pPr>
      <w:r w:rsidRPr="003A34A0">
        <w:rPr>
          <w:szCs w:val="24"/>
        </w:rPr>
        <w:t>ERR, która powinna przewyższać przyjętą stopę dyskontową,</w:t>
      </w:r>
    </w:p>
    <w:p w14:paraId="6C757BFC" w14:textId="77777777" w:rsidR="003A34A0" w:rsidRPr="003A34A0" w:rsidRDefault="003A34A0" w:rsidP="00E601FD">
      <w:pPr>
        <w:numPr>
          <w:ilvl w:val="0"/>
          <w:numId w:val="26"/>
        </w:numPr>
        <w:contextualSpacing/>
        <w:rPr>
          <w:szCs w:val="24"/>
        </w:rPr>
      </w:pPr>
      <w:r w:rsidRPr="003A34A0">
        <w:rPr>
          <w:szCs w:val="24"/>
        </w:rPr>
        <w:lastRenderedPageBreak/>
        <w:t>relacją zdyskontowanych korzyści do zdyskontowanych kosztów (B/C), która powinna być wyższa od jedności.</w:t>
      </w:r>
    </w:p>
    <w:p w14:paraId="7222670F" w14:textId="77777777" w:rsidR="003A34A0" w:rsidRPr="003A34A0" w:rsidRDefault="003A34A0" w:rsidP="003A34A0">
      <w:pPr>
        <w:rPr>
          <w:szCs w:val="24"/>
        </w:rPr>
      </w:pPr>
      <w:r w:rsidRPr="003A34A0">
        <w:rPr>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p>
    <w:p w14:paraId="2CD895AC" w14:textId="77777777" w:rsidR="003A34A0" w:rsidRPr="003A34A0" w:rsidRDefault="003A34A0" w:rsidP="003A34A0">
      <w:pPr>
        <w:rPr>
          <w:szCs w:val="24"/>
        </w:rPr>
      </w:pPr>
      <w:r w:rsidRPr="003A34A0">
        <w:rPr>
          <w:szCs w:val="24"/>
        </w:rPr>
        <w:t>Ekonomiczna stopa zwrotu (ERR) określa ekonomiczny zwrot z projektu. W przypadku, gdy wartość ENPV wynosi zero, to znaczy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w:t>
      </w:r>
    </w:p>
    <w:p w14:paraId="0BF2BEA1" w14:textId="77777777" w:rsidR="003A34A0" w:rsidRPr="003A34A0" w:rsidRDefault="003A34A0" w:rsidP="003A34A0">
      <w:pPr>
        <w:rPr>
          <w:szCs w:val="24"/>
        </w:rPr>
      </w:pPr>
      <w:r w:rsidRPr="003A34A0">
        <w:rPr>
          <w:szCs w:val="24"/>
        </w:rPr>
        <w:t>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w:t>
      </w:r>
    </w:p>
    <w:p w14:paraId="26ECB57B" w14:textId="2B6CDEE5" w:rsidR="00693A82" w:rsidRPr="00587B52" w:rsidRDefault="003A34A0" w:rsidP="006424BB">
      <w:pPr>
        <w:rPr>
          <w:rFonts w:eastAsiaTheme="majorEastAsia" w:cstheme="minorHAnsi"/>
          <w:szCs w:val="24"/>
        </w:rPr>
      </w:pPr>
      <w:r w:rsidRPr="003A34A0">
        <w:rPr>
          <w:szCs w:val="24"/>
        </w:rPr>
        <w:t>Wzory do obliczenia powyższych wskaźników zostały przedstawione w Załączniku 1 do Wytycznych dotyczących zagadnień związanych z przygotowaniem projektów inwestycyjnych, w tym hybrydowych na lata 2021-2027.</w:t>
      </w:r>
    </w:p>
    <w:p w14:paraId="1328F115" w14:textId="6D82946A" w:rsidR="001E1FCC" w:rsidRPr="00587B52" w:rsidRDefault="001B1243" w:rsidP="008924A9">
      <w:pPr>
        <w:pStyle w:val="Nagwek1"/>
      </w:pPr>
      <w:bookmarkStart w:id="263" w:name="_Toc131499743"/>
      <w:bookmarkStart w:id="264" w:name="_Toc131499798"/>
      <w:bookmarkStart w:id="265" w:name="_Toc131499903"/>
      <w:bookmarkStart w:id="266" w:name="_Toc131499963"/>
      <w:bookmarkStart w:id="267" w:name="_Toc131500194"/>
      <w:bookmarkStart w:id="268" w:name="_Toc131425538"/>
      <w:bookmarkStart w:id="269" w:name="_Toc131502063"/>
      <w:bookmarkEnd w:id="263"/>
      <w:bookmarkEnd w:id="264"/>
      <w:bookmarkEnd w:id="265"/>
      <w:bookmarkEnd w:id="266"/>
      <w:bookmarkEnd w:id="267"/>
      <w:r>
        <w:t xml:space="preserve"> </w:t>
      </w:r>
      <w:bookmarkStart w:id="270" w:name="_Toc160614690"/>
      <w:r w:rsidR="001E1FCC" w:rsidRPr="00587B52">
        <w:t>Analiza wrażliwości i ryzyka</w:t>
      </w:r>
      <w:bookmarkEnd w:id="268"/>
      <w:bookmarkEnd w:id="269"/>
      <w:bookmarkEnd w:id="270"/>
      <w:r w:rsidR="001E1FCC" w:rsidRPr="00587B52">
        <w:t xml:space="preserve"> </w:t>
      </w:r>
    </w:p>
    <w:p w14:paraId="56B43638" w14:textId="088E96B7" w:rsidR="0090241A" w:rsidRPr="00587B52" w:rsidRDefault="00335B6B" w:rsidP="003A34A0">
      <w:pPr>
        <w:rPr>
          <w:rFonts w:cstheme="minorHAnsi"/>
          <w:szCs w:val="24"/>
        </w:rPr>
      </w:pPr>
      <w:r>
        <w:rPr>
          <w:rFonts w:cstheme="minorHAnsi"/>
          <w:szCs w:val="24"/>
        </w:rPr>
        <w:t>A</w:t>
      </w:r>
      <w:r w:rsidR="003A34A0">
        <w:rPr>
          <w:rFonts w:cstheme="minorHAnsi"/>
          <w:szCs w:val="24"/>
        </w:rPr>
        <w:t xml:space="preserve">nalizę wrażliwości i ryzyka należy przeprowadzić w oparciu o </w:t>
      </w:r>
      <w:r w:rsidR="00EA4ECC">
        <w:rPr>
          <w:rFonts w:cstheme="minorHAnsi"/>
          <w:szCs w:val="24"/>
        </w:rPr>
        <w:t>instrukcje</w:t>
      </w:r>
      <w:r w:rsidR="003A34A0">
        <w:rPr>
          <w:rFonts w:cstheme="minorHAnsi"/>
          <w:szCs w:val="24"/>
        </w:rPr>
        <w:t xml:space="preserve"> zawarte w podręczniku </w:t>
      </w:r>
      <w:r w:rsidR="003A34A0" w:rsidRPr="0021334E">
        <w:rPr>
          <w:rFonts w:cstheme="minorHAnsi"/>
          <w:szCs w:val="24"/>
        </w:rPr>
        <w:t>Niebieska Księga – Sektor transportu publicznego w miastach, aglomeracjach i regionach</w:t>
      </w:r>
      <w:r w:rsidR="003A34A0" w:rsidRPr="00143C20">
        <w:rPr>
          <w:rFonts w:cstheme="minorHAnsi"/>
          <w:szCs w:val="24"/>
        </w:rPr>
        <w:t xml:space="preserve"> (Jaspers, 2023).</w:t>
      </w:r>
      <w:r w:rsidR="003A34A0">
        <w:rPr>
          <w:rFonts w:cstheme="minorHAnsi"/>
          <w:szCs w:val="24"/>
        </w:rPr>
        <w:t xml:space="preserve"> </w:t>
      </w:r>
      <w:r w:rsidR="00143C20" w:rsidRPr="00143C20">
        <w:rPr>
          <w:rFonts w:cstheme="minorHAnsi"/>
          <w:szCs w:val="24"/>
        </w:rPr>
        <w:t>Obliczenia w postaci docelowych analiz należy przeprowadzić w arkuszu „Obliczenia - Niebieska Księga”</w:t>
      </w:r>
      <w:r w:rsidR="00143C20">
        <w:rPr>
          <w:rFonts w:cstheme="minorHAnsi"/>
          <w:szCs w:val="24"/>
        </w:rPr>
        <w:t>.</w:t>
      </w:r>
      <w:r w:rsidR="00D25734">
        <w:rPr>
          <w:rFonts w:cstheme="minorHAnsi"/>
          <w:szCs w:val="24"/>
        </w:rPr>
        <w:t xml:space="preserve"> </w:t>
      </w:r>
    </w:p>
    <w:sectPr w:rsidR="0090241A" w:rsidRPr="00587B52" w:rsidSect="005A2418">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7839" w14:textId="77777777" w:rsidR="00ED7025" w:rsidRDefault="00ED7025" w:rsidP="00D36D60">
      <w:pPr>
        <w:spacing w:after="0" w:line="240" w:lineRule="auto"/>
      </w:pPr>
      <w:r>
        <w:separator/>
      </w:r>
    </w:p>
  </w:endnote>
  <w:endnote w:type="continuationSeparator" w:id="0">
    <w:p w14:paraId="24C45457" w14:textId="77777777" w:rsidR="00ED7025" w:rsidRDefault="00ED7025"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0CCA0814" w:rsidR="008C28E5" w:rsidRDefault="008C28E5">
        <w:pPr>
          <w:pStyle w:val="Stopka"/>
          <w:jc w:val="right"/>
        </w:pPr>
        <w:r>
          <w:fldChar w:fldCharType="begin"/>
        </w:r>
        <w:r>
          <w:instrText>PAGE   \* MERGEFORMAT</w:instrText>
        </w:r>
        <w:r>
          <w:fldChar w:fldCharType="separate"/>
        </w:r>
        <w:r w:rsidR="00424B39">
          <w:rPr>
            <w:noProof/>
          </w:rPr>
          <w:t>4</w:t>
        </w:r>
        <w:r>
          <w:fldChar w:fldCharType="end"/>
        </w:r>
      </w:p>
    </w:sdtContent>
  </w:sdt>
  <w:p w14:paraId="7AAF575E" w14:textId="77777777" w:rsidR="008C28E5" w:rsidRDefault="008C28E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0602" w14:textId="77777777" w:rsidR="00ED7025" w:rsidRDefault="00ED7025" w:rsidP="00D36D60">
      <w:pPr>
        <w:spacing w:after="0" w:line="240" w:lineRule="auto"/>
      </w:pPr>
      <w:r>
        <w:separator/>
      </w:r>
    </w:p>
  </w:footnote>
  <w:footnote w:type="continuationSeparator" w:id="0">
    <w:p w14:paraId="7E6C306B" w14:textId="77777777" w:rsidR="00ED7025" w:rsidRDefault="00ED7025"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1E24CDE1" w:rsidR="008C28E5" w:rsidRDefault="008C28E5" w:rsidP="005157BB">
    <w:pPr>
      <w:pStyle w:val="Nagwek"/>
      <w:jc w:val="center"/>
    </w:pPr>
    <w:r w:rsidRPr="005278C0">
      <w:rPr>
        <w:noProof/>
        <w:lang w:eastAsia="pl-PL"/>
      </w:rPr>
      <w:drawing>
        <wp:inline distT="0" distB="0" distL="0" distR="0" wp14:anchorId="04FAE977" wp14:editId="28DB1A9A">
          <wp:extent cx="5760720" cy="553085"/>
          <wp:effectExtent l="0" t="0" r="0" b="0"/>
          <wp:docPr id="2" name="Obraz 2"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82E18"/>
    <w:multiLevelType w:val="multilevel"/>
    <w:tmpl w:val="FF3EB1B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50FEC"/>
    <w:multiLevelType w:val="hybridMultilevel"/>
    <w:tmpl w:val="636CB2E4"/>
    <w:lvl w:ilvl="0" w:tplc="770A3DBC">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A196E"/>
    <w:multiLevelType w:val="hybridMultilevel"/>
    <w:tmpl w:val="13B0A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2A013D"/>
    <w:multiLevelType w:val="hybridMultilevel"/>
    <w:tmpl w:val="5678D590"/>
    <w:lvl w:ilvl="0" w:tplc="CF7A252E">
      <w:start w:val="1"/>
      <w:numFmt w:val="lowerLetter"/>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06A4B"/>
    <w:multiLevelType w:val="hybridMultilevel"/>
    <w:tmpl w:val="197AA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07401"/>
    <w:multiLevelType w:val="hybridMultilevel"/>
    <w:tmpl w:val="18D2B636"/>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C9E0ACC"/>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5E3D64"/>
    <w:multiLevelType w:val="hybridMultilevel"/>
    <w:tmpl w:val="7760065C"/>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D75B3D"/>
    <w:multiLevelType w:val="multilevel"/>
    <w:tmpl w:val="07B04D90"/>
    <w:lvl w:ilvl="0">
      <w:start w:val="1"/>
      <w:numFmt w:val="decimal"/>
      <w:pStyle w:val="Nagwek1"/>
      <w:lvlText w:val="%1."/>
      <w:lvlJc w:val="left"/>
      <w:pPr>
        <w:ind w:left="360" w:hanging="360"/>
      </w:pPr>
      <w:rPr>
        <w:rFonts w:hint="default"/>
      </w:rPr>
    </w:lvl>
    <w:lvl w:ilvl="1">
      <w:start w:val="1"/>
      <w:numFmt w:val="decimal"/>
      <w:lvlText w:val="%1.%2."/>
      <w:lvlJc w:val="center"/>
      <w:pPr>
        <w:ind w:left="794" w:hanging="434"/>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CA19A6"/>
    <w:multiLevelType w:val="hybridMultilevel"/>
    <w:tmpl w:val="37A4F710"/>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5F24351"/>
    <w:multiLevelType w:val="multilevel"/>
    <w:tmpl w:val="5CA807AE"/>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lowerLetter"/>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6D25F86"/>
    <w:multiLevelType w:val="hybridMultilevel"/>
    <w:tmpl w:val="E60299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007138"/>
    <w:multiLevelType w:val="multilevel"/>
    <w:tmpl w:val="7D1E5B24"/>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lowerLetter"/>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1CE3708"/>
    <w:multiLevelType w:val="hybridMultilevel"/>
    <w:tmpl w:val="97843DC2"/>
    <w:lvl w:ilvl="0" w:tplc="CB10C5F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5D1DE9"/>
    <w:multiLevelType w:val="hybridMultilevel"/>
    <w:tmpl w:val="44C0C7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810338"/>
    <w:multiLevelType w:val="hybridMultilevel"/>
    <w:tmpl w:val="6C882C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C970F8"/>
    <w:multiLevelType w:val="hybridMultilevel"/>
    <w:tmpl w:val="E43EE1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E23320"/>
    <w:multiLevelType w:val="multilevel"/>
    <w:tmpl w:val="23946B6E"/>
    <w:lvl w:ilvl="0">
      <w:start w:val="1"/>
      <w:numFmt w:val="decimal"/>
      <w:lvlText w:val="%1.1."/>
      <w:lvlJc w:val="left"/>
      <w:pPr>
        <w:ind w:left="794" w:hanging="434"/>
      </w:pPr>
      <w:rPr>
        <w:rFonts w:hint="default"/>
      </w:rPr>
    </w:lvl>
    <w:lvl w:ilvl="1">
      <w:start w:val="1"/>
      <w:numFmt w:val="decimal"/>
      <w:lvlText w:val="%1.%2."/>
      <w:lvlJc w:val="left"/>
      <w:pPr>
        <w:ind w:left="1152" w:hanging="432"/>
      </w:pPr>
      <w:rPr>
        <w:rFonts w:hint="default"/>
      </w:rPr>
    </w:lvl>
    <w:lvl w:ilvl="2">
      <w:start w:val="1"/>
      <w:numFmt w:val="lowerLetter"/>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A49655D"/>
    <w:multiLevelType w:val="hybridMultilevel"/>
    <w:tmpl w:val="9DC053F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AE0B7A"/>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3C0A43"/>
    <w:multiLevelType w:val="hybridMultilevel"/>
    <w:tmpl w:val="99500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2B54E4"/>
    <w:multiLevelType w:val="hybridMultilevel"/>
    <w:tmpl w:val="EA50876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E6129B"/>
    <w:multiLevelType w:val="hybridMultilevel"/>
    <w:tmpl w:val="64765C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3D532A"/>
    <w:multiLevelType w:val="hybridMultilevel"/>
    <w:tmpl w:val="50C4003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69775012"/>
    <w:multiLevelType w:val="multilevel"/>
    <w:tmpl w:val="FF3EB1B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3455DE"/>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E66107"/>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EF21E1"/>
    <w:multiLevelType w:val="hybridMultilevel"/>
    <w:tmpl w:val="C4940D14"/>
    <w:lvl w:ilvl="0" w:tplc="62FCC85C">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D7C55"/>
    <w:multiLevelType w:val="hybridMultilevel"/>
    <w:tmpl w:val="6C882C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7062930">
    <w:abstractNumId w:val="26"/>
  </w:num>
  <w:num w:numId="2" w16cid:durableId="748424434">
    <w:abstractNumId w:val="16"/>
  </w:num>
  <w:num w:numId="3" w16cid:durableId="1991057772">
    <w:abstractNumId w:val="9"/>
  </w:num>
  <w:num w:numId="4" w16cid:durableId="61874247">
    <w:abstractNumId w:val="22"/>
  </w:num>
  <w:num w:numId="5" w16cid:durableId="1057439880">
    <w:abstractNumId w:val="34"/>
  </w:num>
  <w:num w:numId="6" w16cid:durableId="1451782405">
    <w:abstractNumId w:val="30"/>
  </w:num>
  <w:num w:numId="7" w16cid:durableId="162860679">
    <w:abstractNumId w:val="18"/>
  </w:num>
  <w:num w:numId="8" w16cid:durableId="200215670">
    <w:abstractNumId w:val="10"/>
  </w:num>
  <w:num w:numId="9" w16cid:durableId="1730032872">
    <w:abstractNumId w:val="29"/>
  </w:num>
  <w:num w:numId="10" w16cid:durableId="175076358">
    <w:abstractNumId w:val="8"/>
  </w:num>
  <w:num w:numId="11" w16cid:durableId="1718506444">
    <w:abstractNumId w:val="25"/>
  </w:num>
  <w:num w:numId="12" w16cid:durableId="149490096">
    <w:abstractNumId w:val="31"/>
  </w:num>
  <w:num w:numId="13" w16cid:durableId="1523938789">
    <w:abstractNumId w:val="12"/>
  </w:num>
  <w:num w:numId="14" w16cid:durableId="1553692211">
    <w:abstractNumId w:val="0"/>
  </w:num>
  <w:num w:numId="15" w16cid:durableId="1020424684">
    <w:abstractNumId w:val="7"/>
  </w:num>
  <w:num w:numId="16" w16cid:durableId="1445804893">
    <w:abstractNumId w:val="2"/>
  </w:num>
  <w:num w:numId="17" w16cid:durableId="1708943012">
    <w:abstractNumId w:val="19"/>
  </w:num>
  <w:num w:numId="18" w16cid:durableId="555970107">
    <w:abstractNumId w:val="23"/>
  </w:num>
  <w:num w:numId="19" w16cid:durableId="1301302107">
    <w:abstractNumId w:val="17"/>
  </w:num>
  <w:num w:numId="20" w16cid:durableId="607544054">
    <w:abstractNumId w:val="11"/>
  </w:num>
  <w:num w:numId="21" w16cid:durableId="1524979559">
    <w:abstractNumId w:val="13"/>
  </w:num>
  <w:num w:numId="22" w16cid:durableId="1276210039">
    <w:abstractNumId w:val="28"/>
  </w:num>
  <w:num w:numId="23" w16cid:durableId="92676872">
    <w:abstractNumId w:val="14"/>
  </w:num>
  <w:num w:numId="24" w16cid:durableId="1749689781">
    <w:abstractNumId w:val="5"/>
  </w:num>
  <w:num w:numId="25" w16cid:durableId="840435261">
    <w:abstractNumId w:val="3"/>
  </w:num>
  <w:num w:numId="26" w16cid:durableId="1950162885">
    <w:abstractNumId w:val="15"/>
  </w:num>
  <w:num w:numId="27" w16cid:durableId="530143357">
    <w:abstractNumId w:val="20"/>
  </w:num>
  <w:num w:numId="28" w16cid:durableId="916017467">
    <w:abstractNumId w:val="33"/>
  </w:num>
  <w:num w:numId="29" w16cid:durableId="814184226">
    <w:abstractNumId w:val="4"/>
  </w:num>
  <w:num w:numId="30" w16cid:durableId="376706452">
    <w:abstractNumId w:val="21"/>
  </w:num>
  <w:num w:numId="31" w16cid:durableId="829953606">
    <w:abstractNumId w:val="27"/>
  </w:num>
  <w:num w:numId="32" w16cid:durableId="37631617">
    <w:abstractNumId w:val="6"/>
  </w:num>
  <w:num w:numId="33" w16cid:durableId="1509981373">
    <w:abstractNumId w:val="24"/>
  </w:num>
  <w:num w:numId="34" w16cid:durableId="1622153451">
    <w:abstractNumId w:val="32"/>
  </w:num>
  <w:num w:numId="35" w16cid:durableId="1702440116">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005F"/>
    <w:rsid w:val="00001FAD"/>
    <w:rsid w:val="00002749"/>
    <w:rsid w:val="00002C4F"/>
    <w:rsid w:val="00004626"/>
    <w:rsid w:val="00024BB8"/>
    <w:rsid w:val="00032312"/>
    <w:rsid w:val="000334C5"/>
    <w:rsid w:val="00033632"/>
    <w:rsid w:val="000364A7"/>
    <w:rsid w:val="00036D02"/>
    <w:rsid w:val="0004351B"/>
    <w:rsid w:val="00043AD5"/>
    <w:rsid w:val="00046C8E"/>
    <w:rsid w:val="00051AE0"/>
    <w:rsid w:val="000534BC"/>
    <w:rsid w:val="00053654"/>
    <w:rsid w:val="0005519D"/>
    <w:rsid w:val="000601FB"/>
    <w:rsid w:val="000643DA"/>
    <w:rsid w:val="000669C0"/>
    <w:rsid w:val="00067C35"/>
    <w:rsid w:val="00072B02"/>
    <w:rsid w:val="00075A87"/>
    <w:rsid w:val="00077850"/>
    <w:rsid w:val="00080672"/>
    <w:rsid w:val="00080F3E"/>
    <w:rsid w:val="00081799"/>
    <w:rsid w:val="00082138"/>
    <w:rsid w:val="00084BA7"/>
    <w:rsid w:val="00087744"/>
    <w:rsid w:val="00092888"/>
    <w:rsid w:val="00093B6B"/>
    <w:rsid w:val="00096CB5"/>
    <w:rsid w:val="000A3E78"/>
    <w:rsid w:val="000A6CED"/>
    <w:rsid w:val="000A6E2C"/>
    <w:rsid w:val="000B1446"/>
    <w:rsid w:val="000B1458"/>
    <w:rsid w:val="000B1F18"/>
    <w:rsid w:val="000B21F4"/>
    <w:rsid w:val="000C0009"/>
    <w:rsid w:val="000C0F5C"/>
    <w:rsid w:val="000C3315"/>
    <w:rsid w:val="000C51E3"/>
    <w:rsid w:val="000D191B"/>
    <w:rsid w:val="000D5349"/>
    <w:rsid w:val="000E6719"/>
    <w:rsid w:val="000E734E"/>
    <w:rsid w:val="000F3199"/>
    <w:rsid w:val="000F38E8"/>
    <w:rsid w:val="000F4F9A"/>
    <w:rsid w:val="000F6D34"/>
    <w:rsid w:val="0010143B"/>
    <w:rsid w:val="001055DB"/>
    <w:rsid w:val="001132BB"/>
    <w:rsid w:val="0011330E"/>
    <w:rsid w:val="001200A6"/>
    <w:rsid w:val="00127BD2"/>
    <w:rsid w:val="00127DFF"/>
    <w:rsid w:val="001319DD"/>
    <w:rsid w:val="001340A7"/>
    <w:rsid w:val="001379E7"/>
    <w:rsid w:val="00137B3E"/>
    <w:rsid w:val="001436BD"/>
    <w:rsid w:val="001438FB"/>
    <w:rsid w:val="00143C20"/>
    <w:rsid w:val="00147551"/>
    <w:rsid w:val="001519CF"/>
    <w:rsid w:val="0015488B"/>
    <w:rsid w:val="0016319B"/>
    <w:rsid w:val="0016395B"/>
    <w:rsid w:val="00166FC4"/>
    <w:rsid w:val="001728B7"/>
    <w:rsid w:val="00177928"/>
    <w:rsid w:val="00182F33"/>
    <w:rsid w:val="00184F23"/>
    <w:rsid w:val="00187CC7"/>
    <w:rsid w:val="00192979"/>
    <w:rsid w:val="00193F1C"/>
    <w:rsid w:val="00196135"/>
    <w:rsid w:val="001A0132"/>
    <w:rsid w:val="001A1BCB"/>
    <w:rsid w:val="001A3013"/>
    <w:rsid w:val="001A40BE"/>
    <w:rsid w:val="001A571B"/>
    <w:rsid w:val="001B1243"/>
    <w:rsid w:val="001B4E95"/>
    <w:rsid w:val="001B502E"/>
    <w:rsid w:val="001B5612"/>
    <w:rsid w:val="001C09AB"/>
    <w:rsid w:val="001C3590"/>
    <w:rsid w:val="001C62A8"/>
    <w:rsid w:val="001C76E9"/>
    <w:rsid w:val="001D0A55"/>
    <w:rsid w:val="001E0D27"/>
    <w:rsid w:val="001E15C7"/>
    <w:rsid w:val="001E1FCC"/>
    <w:rsid w:val="001E43B7"/>
    <w:rsid w:val="001E46D7"/>
    <w:rsid w:val="001E4FFB"/>
    <w:rsid w:val="001E5B7C"/>
    <w:rsid w:val="001E622F"/>
    <w:rsid w:val="001F0245"/>
    <w:rsid w:val="001F1F5F"/>
    <w:rsid w:val="001F31A9"/>
    <w:rsid w:val="00202F5B"/>
    <w:rsid w:val="002047E5"/>
    <w:rsid w:val="00207C44"/>
    <w:rsid w:val="00207C9A"/>
    <w:rsid w:val="0021334E"/>
    <w:rsid w:val="002140A4"/>
    <w:rsid w:val="00216EB3"/>
    <w:rsid w:val="00217455"/>
    <w:rsid w:val="002230FB"/>
    <w:rsid w:val="00231D66"/>
    <w:rsid w:val="002335EA"/>
    <w:rsid w:val="00234CC0"/>
    <w:rsid w:val="00235B20"/>
    <w:rsid w:val="00242667"/>
    <w:rsid w:val="0024406E"/>
    <w:rsid w:val="00244763"/>
    <w:rsid w:val="00246D97"/>
    <w:rsid w:val="00250224"/>
    <w:rsid w:val="00251D9E"/>
    <w:rsid w:val="00254235"/>
    <w:rsid w:val="0026067F"/>
    <w:rsid w:val="002613A1"/>
    <w:rsid w:val="0026798C"/>
    <w:rsid w:val="00267EC2"/>
    <w:rsid w:val="00271535"/>
    <w:rsid w:val="00281726"/>
    <w:rsid w:val="00283E6B"/>
    <w:rsid w:val="002856BD"/>
    <w:rsid w:val="002856F8"/>
    <w:rsid w:val="002911F6"/>
    <w:rsid w:val="00296694"/>
    <w:rsid w:val="002A0ABD"/>
    <w:rsid w:val="002A1EA1"/>
    <w:rsid w:val="002A3D51"/>
    <w:rsid w:val="002B19C1"/>
    <w:rsid w:val="002B1E35"/>
    <w:rsid w:val="002B2EA4"/>
    <w:rsid w:val="002C4A40"/>
    <w:rsid w:val="002D0281"/>
    <w:rsid w:val="002D201D"/>
    <w:rsid w:val="002D2E4A"/>
    <w:rsid w:val="002D38BC"/>
    <w:rsid w:val="002D66FF"/>
    <w:rsid w:val="002D67D7"/>
    <w:rsid w:val="002E20E2"/>
    <w:rsid w:val="002E3E79"/>
    <w:rsid w:val="002F077E"/>
    <w:rsid w:val="002F2458"/>
    <w:rsid w:val="002F6084"/>
    <w:rsid w:val="00303F30"/>
    <w:rsid w:val="00304933"/>
    <w:rsid w:val="003132B7"/>
    <w:rsid w:val="003147E9"/>
    <w:rsid w:val="00314F54"/>
    <w:rsid w:val="00316916"/>
    <w:rsid w:val="003204F6"/>
    <w:rsid w:val="00320C23"/>
    <w:rsid w:val="00321BC5"/>
    <w:rsid w:val="0032232A"/>
    <w:rsid w:val="003266D9"/>
    <w:rsid w:val="00326A7D"/>
    <w:rsid w:val="00327729"/>
    <w:rsid w:val="00327CE7"/>
    <w:rsid w:val="00335B6B"/>
    <w:rsid w:val="00337590"/>
    <w:rsid w:val="003432D3"/>
    <w:rsid w:val="00344CBC"/>
    <w:rsid w:val="0034635C"/>
    <w:rsid w:val="00351104"/>
    <w:rsid w:val="00351A31"/>
    <w:rsid w:val="00352DC6"/>
    <w:rsid w:val="00353F36"/>
    <w:rsid w:val="003548EC"/>
    <w:rsid w:val="00361188"/>
    <w:rsid w:val="00370C72"/>
    <w:rsid w:val="0037505F"/>
    <w:rsid w:val="003846D4"/>
    <w:rsid w:val="003859CD"/>
    <w:rsid w:val="00392CC2"/>
    <w:rsid w:val="0039349C"/>
    <w:rsid w:val="0039565E"/>
    <w:rsid w:val="003978A4"/>
    <w:rsid w:val="00397A81"/>
    <w:rsid w:val="003A0451"/>
    <w:rsid w:val="003A34A0"/>
    <w:rsid w:val="003B05C6"/>
    <w:rsid w:val="003B3ED1"/>
    <w:rsid w:val="003B5097"/>
    <w:rsid w:val="003B74B6"/>
    <w:rsid w:val="003C1DF0"/>
    <w:rsid w:val="003C1E84"/>
    <w:rsid w:val="003C6836"/>
    <w:rsid w:val="003C6EEE"/>
    <w:rsid w:val="003C7227"/>
    <w:rsid w:val="003C7E7A"/>
    <w:rsid w:val="003D1372"/>
    <w:rsid w:val="003D3F8F"/>
    <w:rsid w:val="003D5A4C"/>
    <w:rsid w:val="003D6F62"/>
    <w:rsid w:val="003D7762"/>
    <w:rsid w:val="003E0019"/>
    <w:rsid w:val="003E26D7"/>
    <w:rsid w:val="003E759B"/>
    <w:rsid w:val="003F40A1"/>
    <w:rsid w:val="003F4507"/>
    <w:rsid w:val="003F482A"/>
    <w:rsid w:val="00402D03"/>
    <w:rsid w:val="00403252"/>
    <w:rsid w:val="004050AD"/>
    <w:rsid w:val="00410903"/>
    <w:rsid w:val="00411361"/>
    <w:rsid w:val="00411B11"/>
    <w:rsid w:val="00413F73"/>
    <w:rsid w:val="00417192"/>
    <w:rsid w:val="004216A5"/>
    <w:rsid w:val="00423856"/>
    <w:rsid w:val="004238C0"/>
    <w:rsid w:val="00423B57"/>
    <w:rsid w:val="00424B39"/>
    <w:rsid w:val="004254AB"/>
    <w:rsid w:val="00426D5B"/>
    <w:rsid w:val="0043127B"/>
    <w:rsid w:val="00431A97"/>
    <w:rsid w:val="00431BB7"/>
    <w:rsid w:val="0043306B"/>
    <w:rsid w:val="00433986"/>
    <w:rsid w:val="00435B43"/>
    <w:rsid w:val="0043686A"/>
    <w:rsid w:val="00436DAD"/>
    <w:rsid w:val="00437E1F"/>
    <w:rsid w:val="0044307B"/>
    <w:rsid w:val="004454FD"/>
    <w:rsid w:val="004517EA"/>
    <w:rsid w:val="00453F20"/>
    <w:rsid w:val="00455525"/>
    <w:rsid w:val="0045606F"/>
    <w:rsid w:val="00463D83"/>
    <w:rsid w:val="00465F31"/>
    <w:rsid w:val="00472F02"/>
    <w:rsid w:val="0047535A"/>
    <w:rsid w:val="00476EC7"/>
    <w:rsid w:val="00477C6C"/>
    <w:rsid w:val="004928AB"/>
    <w:rsid w:val="00492B3A"/>
    <w:rsid w:val="004938CD"/>
    <w:rsid w:val="004945FF"/>
    <w:rsid w:val="004959DC"/>
    <w:rsid w:val="00495FC2"/>
    <w:rsid w:val="004A5AC5"/>
    <w:rsid w:val="004A6749"/>
    <w:rsid w:val="004B1144"/>
    <w:rsid w:val="004B4F38"/>
    <w:rsid w:val="004B5A8B"/>
    <w:rsid w:val="004B68F5"/>
    <w:rsid w:val="004C1E62"/>
    <w:rsid w:val="004C2B17"/>
    <w:rsid w:val="004C3C87"/>
    <w:rsid w:val="004C774D"/>
    <w:rsid w:val="004D1B94"/>
    <w:rsid w:val="004E630B"/>
    <w:rsid w:val="004F19D3"/>
    <w:rsid w:val="004F3E5E"/>
    <w:rsid w:val="004F644D"/>
    <w:rsid w:val="004F781C"/>
    <w:rsid w:val="00503355"/>
    <w:rsid w:val="005053A8"/>
    <w:rsid w:val="005157BB"/>
    <w:rsid w:val="00515AE6"/>
    <w:rsid w:val="00517390"/>
    <w:rsid w:val="00521EC6"/>
    <w:rsid w:val="00523D9E"/>
    <w:rsid w:val="00531D6C"/>
    <w:rsid w:val="00532BC5"/>
    <w:rsid w:val="00534162"/>
    <w:rsid w:val="00535289"/>
    <w:rsid w:val="005368AE"/>
    <w:rsid w:val="00545232"/>
    <w:rsid w:val="005514B3"/>
    <w:rsid w:val="00555D2A"/>
    <w:rsid w:val="00560352"/>
    <w:rsid w:val="0056268D"/>
    <w:rsid w:val="0056409D"/>
    <w:rsid w:val="00564BBE"/>
    <w:rsid w:val="005656E1"/>
    <w:rsid w:val="00570475"/>
    <w:rsid w:val="00571A0E"/>
    <w:rsid w:val="00577993"/>
    <w:rsid w:val="0058099B"/>
    <w:rsid w:val="0058139E"/>
    <w:rsid w:val="0058519C"/>
    <w:rsid w:val="005858E7"/>
    <w:rsid w:val="00585A46"/>
    <w:rsid w:val="00587B52"/>
    <w:rsid w:val="0059000A"/>
    <w:rsid w:val="00590044"/>
    <w:rsid w:val="0059240B"/>
    <w:rsid w:val="00593C8A"/>
    <w:rsid w:val="005A2418"/>
    <w:rsid w:val="005B1E18"/>
    <w:rsid w:val="005B3129"/>
    <w:rsid w:val="005B450A"/>
    <w:rsid w:val="005B45C9"/>
    <w:rsid w:val="005B4D44"/>
    <w:rsid w:val="005B7E7A"/>
    <w:rsid w:val="005C0F08"/>
    <w:rsid w:val="005C1834"/>
    <w:rsid w:val="005C510D"/>
    <w:rsid w:val="005C57C6"/>
    <w:rsid w:val="005C69F0"/>
    <w:rsid w:val="005C7564"/>
    <w:rsid w:val="005D40AC"/>
    <w:rsid w:val="005D59C3"/>
    <w:rsid w:val="005E0819"/>
    <w:rsid w:val="005E1FF6"/>
    <w:rsid w:val="005E2483"/>
    <w:rsid w:val="005E2721"/>
    <w:rsid w:val="005E27C3"/>
    <w:rsid w:val="005E7752"/>
    <w:rsid w:val="005E7B03"/>
    <w:rsid w:val="005F2BDD"/>
    <w:rsid w:val="00602FF4"/>
    <w:rsid w:val="00605B51"/>
    <w:rsid w:val="00610301"/>
    <w:rsid w:val="0061283D"/>
    <w:rsid w:val="00613E6E"/>
    <w:rsid w:val="00615FCC"/>
    <w:rsid w:val="00620B11"/>
    <w:rsid w:val="00630E56"/>
    <w:rsid w:val="00631D8C"/>
    <w:rsid w:val="006362CB"/>
    <w:rsid w:val="006376E4"/>
    <w:rsid w:val="00637E45"/>
    <w:rsid w:val="006424BB"/>
    <w:rsid w:val="00643DD2"/>
    <w:rsid w:val="00644426"/>
    <w:rsid w:val="00644E9B"/>
    <w:rsid w:val="00645A42"/>
    <w:rsid w:val="00646335"/>
    <w:rsid w:val="006468A6"/>
    <w:rsid w:val="006507B9"/>
    <w:rsid w:val="00656BB6"/>
    <w:rsid w:val="00661F21"/>
    <w:rsid w:val="00663162"/>
    <w:rsid w:val="00663255"/>
    <w:rsid w:val="006658E3"/>
    <w:rsid w:val="0067295D"/>
    <w:rsid w:val="00674C05"/>
    <w:rsid w:val="0068162B"/>
    <w:rsid w:val="006834CC"/>
    <w:rsid w:val="00684B3F"/>
    <w:rsid w:val="00687152"/>
    <w:rsid w:val="00693A82"/>
    <w:rsid w:val="00696446"/>
    <w:rsid w:val="006A12B6"/>
    <w:rsid w:val="006A18B5"/>
    <w:rsid w:val="006A3DBF"/>
    <w:rsid w:val="006A40C5"/>
    <w:rsid w:val="006A490E"/>
    <w:rsid w:val="006A5432"/>
    <w:rsid w:val="006B057A"/>
    <w:rsid w:val="006B4C8A"/>
    <w:rsid w:val="006B69BB"/>
    <w:rsid w:val="006C49D2"/>
    <w:rsid w:val="006C6113"/>
    <w:rsid w:val="006D3C0D"/>
    <w:rsid w:val="006D7733"/>
    <w:rsid w:val="006E0D32"/>
    <w:rsid w:val="006E1ED1"/>
    <w:rsid w:val="006E6728"/>
    <w:rsid w:val="006F1C74"/>
    <w:rsid w:val="006F22F0"/>
    <w:rsid w:val="006F43F4"/>
    <w:rsid w:val="00700446"/>
    <w:rsid w:val="007014BF"/>
    <w:rsid w:val="00703BF5"/>
    <w:rsid w:val="00704016"/>
    <w:rsid w:val="00706EE3"/>
    <w:rsid w:val="0071302C"/>
    <w:rsid w:val="00713445"/>
    <w:rsid w:val="0071731F"/>
    <w:rsid w:val="007178F0"/>
    <w:rsid w:val="007214AD"/>
    <w:rsid w:val="007219ED"/>
    <w:rsid w:val="00721B34"/>
    <w:rsid w:val="00732CCC"/>
    <w:rsid w:val="0073775D"/>
    <w:rsid w:val="00742484"/>
    <w:rsid w:val="007440FE"/>
    <w:rsid w:val="007448B3"/>
    <w:rsid w:val="007462F8"/>
    <w:rsid w:val="0075246E"/>
    <w:rsid w:val="00752BA6"/>
    <w:rsid w:val="00753C66"/>
    <w:rsid w:val="0075697F"/>
    <w:rsid w:val="00760950"/>
    <w:rsid w:val="00763370"/>
    <w:rsid w:val="00764AAF"/>
    <w:rsid w:val="007711D2"/>
    <w:rsid w:val="007752A2"/>
    <w:rsid w:val="00776226"/>
    <w:rsid w:val="00782E4E"/>
    <w:rsid w:val="007832F2"/>
    <w:rsid w:val="007840AF"/>
    <w:rsid w:val="00785A64"/>
    <w:rsid w:val="00786FE3"/>
    <w:rsid w:val="00787B38"/>
    <w:rsid w:val="0079097A"/>
    <w:rsid w:val="00791432"/>
    <w:rsid w:val="00792FC8"/>
    <w:rsid w:val="00793C60"/>
    <w:rsid w:val="00794963"/>
    <w:rsid w:val="00794A32"/>
    <w:rsid w:val="007977D1"/>
    <w:rsid w:val="007A0E79"/>
    <w:rsid w:val="007A2F71"/>
    <w:rsid w:val="007A50BF"/>
    <w:rsid w:val="007A748E"/>
    <w:rsid w:val="007A7675"/>
    <w:rsid w:val="007B23EA"/>
    <w:rsid w:val="007B3C6D"/>
    <w:rsid w:val="007B6C85"/>
    <w:rsid w:val="007C0E23"/>
    <w:rsid w:val="007D4D81"/>
    <w:rsid w:val="007E14F8"/>
    <w:rsid w:val="007E1FC0"/>
    <w:rsid w:val="007F0AE6"/>
    <w:rsid w:val="007F1275"/>
    <w:rsid w:val="007F56CD"/>
    <w:rsid w:val="007F61B6"/>
    <w:rsid w:val="007F61D2"/>
    <w:rsid w:val="007F70AF"/>
    <w:rsid w:val="00801637"/>
    <w:rsid w:val="0080300B"/>
    <w:rsid w:val="00804607"/>
    <w:rsid w:val="0080568F"/>
    <w:rsid w:val="00814CDD"/>
    <w:rsid w:val="0081560D"/>
    <w:rsid w:val="0082035D"/>
    <w:rsid w:val="00822115"/>
    <w:rsid w:val="00833C9E"/>
    <w:rsid w:val="008401CA"/>
    <w:rsid w:val="00840B8F"/>
    <w:rsid w:val="008415F2"/>
    <w:rsid w:val="00845974"/>
    <w:rsid w:val="008519F4"/>
    <w:rsid w:val="00855324"/>
    <w:rsid w:val="00857087"/>
    <w:rsid w:val="00863D16"/>
    <w:rsid w:val="00864E54"/>
    <w:rsid w:val="0086563E"/>
    <w:rsid w:val="00873844"/>
    <w:rsid w:val="008774CA"/>
    <w:rsid w:val="0088001A"/>
    <w:rsid w:val="008847A0"/>
    <w:rsid w:val="00885D68"/>
    <w:rsid w:val="008924A9"/>
    <w:rsid w:val="00892AC6"/>
    <w:rsid w:val="0089328E"/>
    <w:rsid w:val="00893A31"/>
    <w:rsid w:val="00895283"/>
    <w:rsid w:val="008A2C04"/>
    <w:rsid w:val="008A6C67"/>
    <w:rsid w:val="008A6E24"/>
    <w:rsid w:val="008B0E33"/>
    <w:rsid w:val="008B1ABB"/>
    <w:rsid w:val="008B2A88"/>
    <w:rsid w:val="008B3CD8"/>
    <w:rsid w:val="008B6A66"/>
    <w:rsid w:val="008B7B94"/>
    <w:rsid w:val="008C0AC5"/>
    <w:rsid w:val="008C28E5"/>
    <w:rsid w:val="008C739E"/>
    <w:rsid w:val="008D383F"/>
    <w:rsid w:val="008D41B7"/>
    <w:rsid w:val="008D5DA3"/>
    <w:rsid w:val="008D5ED2"/>
    <w:rsid w:val="008D6071"/>
    <w:rsid w:val="008E2F79"/>
    <w:rsid w:val="008E4B5D"/>
    <w:rsid w:val="008E6817"/>
    <w:rsid w:val="008F1DB6"/>
    <w:rsid w:val="008F2BF5"/>
    <w:rsid w:val="008F52FD"/>
    <w:rsid w:val="008F5A27"/>
    <w:rsid w:val="009006D7"/>
    <w:rsid w:val="0090241A"/>
    <w:rsid w:val="00905D8F"/>
    <w:rsid w:val="00906B6C"/>
    <w:rsid w:val="0091278E"/>
    <w:rsid w:val="009179CE"/>
    <w:rsid w:val="00922D89"/>
    <w:rsid w:val="009242DA"/>
    <w:rsid w:val="009376C6"/>
    <w:rsid w:val="00940701"/>
    <w:rsid w:val="00940BAB"/>
    <w:rsid w:val="00940DA1"/>
    <w:rsid w:val="00943D2E"/>
    <w:rsid w:val="0094672F"/>
    <w:rsid w:val="00951925"/>
    <w:rsid w:val="00953889"/>
    <w:rsid w:val="009572B5"/>
    <w:rsid w:val="00962B20"/>
    <w:rsid w:val="00962C0A"/>
    <w:rsid w:val="00965740"/>
    <w:rsid w:val="00971EE5"/>
    <w:rsid w:val="00972E0B"/>
    <w:rsid w:val="00973C9F"/>
    <w:rsid w:val="009758E8"/>
    <w:rsid w:val="00976019"/>
    <w:rsid w:val="0097700C"/>
    <w:rsid w:val="00977FC1"/>
    <w:rsid w:val="00980A41"/>
    <w:rsid w:val="00984858"/>
    <w:rsid w:val="00991DF0"/>
    <w:rsid w:val="00992092"/>
    <w:rsid w:val="009A14A2"/>
    <w:rsid w:val="009A455B"/>
    <w:rsid w:val="009A5857"/>
    <w:rsid w:val="009A6A66"/>
    <w:rsid w:val="009A7673"/>
    <w:rsid w:val="009B1743"/>
    <w:rsid w:val="009B23F8"/>
    <w:rsid w:val="009B2624"/>
    <w:rsid w:val="009B4A44"/>
    <w:rsid w:val="009B7EDE"/>
    <w:rsid w:val="009C335D"/>
    <w:rsid w:val="009D3CB5"/>
    <w:rsid w:val="009D5A48"/>
    <w:rsid w:val="009D730E"/>
    <w:rsid w:val="009E0A00"/>
    <w:rsid w:val="009E159F"/>
    <w:rsid w:val="009E27C1"/>
    <w:rsid w:val="009E4E49"/>
    <w:rsid w:val="009F0E05"/>
    <w:rsid w:val="009F407D"/>
    <w:rsid w:val="009F5263"/>
    <w:rsid w:val="009F589B"/>
    <w:rsid w:val="00A02690"/>
    <w:rsid w:val="00A05A2C"/>
    <w:rsid w:val="00A06B13"/>
    <w:rsid w:val="00A0796D"/>
    <w:rsid w:val="00A11566"/>
    <w:rsid w:val="00A12404"/>
    <w:rsid w:val="00A14E99"/>
    <w:rsid w:val="00A25543"/>
    <w:rsid w:val="00A27595"/>
    <w:rsid w:val="00A30089"/>
    <w:rsid w:val="00A31B88"/>
    <w:rsid w:val="00A34915"/>
    <w:rsid w:val="00A40DAB"/>
    <w:rsid w:val="00A41B07"/>
    <w:rsid w:val="00A4278F"/>
    <w:rsid w:val="00A43B24"/>
    <w:rsid w:val="00A4495F"/>
    <w:rsid w:val="00A54686"/>
    <w:rsid w:val="00A54AE4"/>
    <w:rsid w:val="00A627DE"/>
    <w:rsid w:val="00A633E5"/>
    <w:rsid w:val="00A72C2A"/>
    <w:rsid w:val="00A73AAC"/>
    <w:rsid w:val="00A74178"/>
    <w:rsid w:val="00A7493A"/>
    <w:rsid w:val="00A7569A"/>
    <w:rsid w:val="00A76048"/>
    <w:rsid w:val="00A76701"/>
    <w:rsid w:val="00A777B2"/>
    <w:rsid w:val="00A837FD"/>
    <w:rsid w:val="00A87390"/>
    <w:rsid w:val="00A87B0C"/>
    <w:rsid w:val="00A90FC0"/>
    <w:rsid w:val="00A91A20"/>
    <w:rsid w:val="00A93DB2"/>
    <w:rsid w:val="00A9601E"/>
    <w:rsid w:val="00A96052"/>
    <w:rsid w:val="00AA0872"/>
    <w:rsid w:val="00AA33D2"/>
    <w:rsid w:val="00AA3DA1"/>
    <w:rsid w:val="00AA7D54"/>
    <w:rsid w:val="00AB056E"/>
    <w:rsid w:val="00AB093D"/>
    <w:rsid w:val="00AB2273"/>
    <w:rsid w:val="00AB5FEA"/>
    <w:rsid w:val="00AC0DEE"/>
    <w:rsid w:val="00AC2432"/>
    <w:rsid w:val="00AC349A"/>
    <w:rsid w:val="00AC4C1F"/>
    <w:rsid w:val="00AD01FD"/>
    <w:rsid w:val="00AD05F3"/>
    <w:rsid w:val="00AD1208"/>
    <w:rsid w:val="00AD1673"/>
    <w:rsid w:val="00AD1B59"/>
    <w:rsid w:val="00AD276D"/>
    <w:rsid w:val="00AD344C"/>
    <w:rsid w:val="00AD46A1"/>
    <w:rsid w:val="00AD684D"/>
    <w:rsid w:val="00AD7A3C"/>
    <w:rsid w:val="00AF26FF"/>
    <w:rsid w:val="00AF7597"/>
    <w:rsid w:val="00B00D4A"/>
    <w:rsid w:val="00B14E07"/>
    <w:rsid w:val="00B22E56"/>
    <w:rsid w:val="00B243E7"/>
    <w:rsid w:val="00B24661"/>
    <w:rsid w:val="00B3094C"/>
    <w:rsid w:val="00B334B4"/>
    <w:rsid w:val="00B37747"/>
    <w:rsid w:val="00B43A82"/>
    <w:rsid w:val="00B50E29"/>
    <w:rsid w:val="00B534C9"/>
    <w:rsid w:val="00B5553D"/>
    <w:rsid w:val="00B56FFA"/>
    <w:rsid w:val="00B61176"/>
    <w:rsid w:val="00B721D0"/>
    <w:rsid w:val="00B72EC0"/>
    <w:rsid w:val="00B74F12"/>
    <w:rsid w:val="00B756DE"/>
    <w:rsid w:val="00B75B38"/>
    <w:rsid w:val="00B83FD7"/>
    <w:rsid w:val="00B85AC6"/>
    <w:rsid w:val="00B925E9"/>
    <w:rsid w:val="00B950EA"/>
    <w:rsid w:val="00B97898"/>
    <w:rsid w:val="00BA6470"/>
    <w:rsid w:val="00BA6D8A"/>
    <w:rsid w:val="00BB595B"/>
    <w:rsid w:val="00BB7B6A"/>
    <w:rsid w:val="00BC00C7"/>
    <w:rsid w:val="00BC026A"/>
    <w:rsid w:val="00BC12C2"/>
    <w:rsid w:val="00BC4056"/>
    <w:rsid w:val="00BC7472"/>
    <w:rsid w:val="00BC7688"/>
    <w:rsid w:val="00BD4848"/>
    <w:rsid w:val="00BD48E0"/>
    <w:rsid w:val="00BD5244"/>
    <w:rsid w:val="00BD5E9B"/>
    <w:rsid w:val="00BE3FDA"/>
    <w:rsid w:val="00BF1E18"/>
    <w:rsid w:val="00BF4BCF"/>
    <w:rsid w:val="00BF53C5"/>
    <w:rsid w:val="00BF7BF4"/>
    <w:rsid w:val="00C03D7D"/>
    <w:rsid w:val="00C04090"/>
    <w:rsid w:val="00C057C6"/>
    <w:rsid w:val="00C05918"/>
    <w:rsid w:val="00C06226"/>
    <w:rsid w:val="00C0736E"/>
    <w:rsid w:val="00C07F97"/>
    <w:rsid w:val="00C13377"/>
    <w:rsid w:val="00C15DB9"/>
    <w:rsid w:val="00C16CA4"/>
    <w:rsid w:val="00C17C0D"/>
    <w:rsid w:val="00C3077D"/>
    <w:rsid w:val="00C36839"/>
    <w:rsid w:val="00C3729C"/>
    <w:rsid w:val="00C40F92"/>
    <w:rsid w:val="00C44EBD"/>
    <w:rsid w:val="00C45046"/>
    <w:rsid w:val="00C46376"/>
    <w:rsid w:val="00C4766C"/>
    <w:rsid w:val="00C513F8"/>
    <w:rsid w:val="00C540A8"/>
    <w:rsid w:val="00C550E2"/>
    <w:rsid w:val="00C558B0"/>
    <w:rsid w:val="00C57673"/>
    <w:rsid w:val="00C60E34"/>
    <w:rsid w:val="00C61F63"/>
    <w:rsid w:val="00C62F42"/>
    <w:rsid w:val="00C63641"/>
    <w:rsid w:val="00C65992"/>
    <w:rsid w:val="00C66263"/>
    <w:rsid w:val="00C6772E"/>
    <w:rsid w:val="00C67D6C"/>
    <w:rsid w:val="00C81725"/>
    <w:rsid w:val="00C83BD1"/>
    <w:rsid w:val="00C91099"/>
    <w:rsid w:val="00C91799"/>
    <w:rsid w:val="00C9256A"/>
    <w:rsid w:val="00C95050"/>
    <w:rsid w:val="00C95F7D"/>
    <w:rsid w:val="00C97E68"/>
    <w:rsid w:val="00CA2587"/>
    <w:rsid w:val="00CB0895"/>
    <w:rsid w:val="00CB3194"/>
    <w:rsid w:val="00CB72B2"/>
    <w:rsid w:val="00CB7F84"/>
    <w:rsid w:val="00CC27E6"/>
    <w:rsid w:val="00CC3C4F"/>
    <w:rsid w:val="00CC761B"/>
    <w:rsid w:val="00CD0051"/>
    <w:rsid w:val="00CD3148"/>
    <w:rsid w:val="00CD51E5"/>
    <w:rsid w:val="00CD613A"/>
    <w:rsid w:val="00CE0647"/>
    <w:rsid w:val="00CE3E1C"/>
    <w:rsid w:val="00CE4F82"/>
    <w:rsid w:val="00CF08EB"/>
    <w:rsid w:val="00CF0E63"/>
    <w:rsid w:val="00CF2F3F"/>
    <w:rsid w:val="00CF6C12"/>
    <w:rsid w:val="00CF79D6"/>
    <w:rsid w:val="00D01FD4"/>
    <w:rsid w:val="00D02A32"/>
    <w:rsid w:val="00D02A62"/>
    <w:rsid w:val="00D06166"/>
    <w:rsid w:val="00D1120F"/>
    <w:rsid w:val="00D13BBC"/>
    <w:rsid w:val="00D1643C"/>
    <w:rsid w:val="00D164F2"/>
    <w:rsid w:val="00D2429F"/>
    <w:rsid w:val="00D25734"/>
    <w:rsid w:val="00D261CA"/>
    <w:rsid w:val="00D27651"/>
    <w:rsid w:val="00D342A8"/>
    <w:rsid w:val="00D36AE0"/>
    <w:rsid w:val="00D36D60"/>
    <w:rsid w:val="00D36EF6"/>
    <w:rsid w:val="00D424D5"/>
    <w:rsid w:val="00D4445A"/>
    <w:rsid w:val="00D45206"/>
    <w:rsid w:val="00D47FE8"/>
    <w:rsid w:val="00D516B2"/>
    <w:rsid w:val="00D523E0"/>
    <w:rsid w:val="00D54463"/>
    <w:rsid w:val="00D55675"/>
    <w:rsid w:val="00D55B6E"/>
    <w:rsid w:val="00D56507"/>
    <w:rsid w:val="00D71E0A"/>
    <w:rsid w:val="00D733B0"/>
    <w:rsid w:val="00D75272"/>
    <w:rsid w:val="00D77532"/>
    <w:rsid w:val="00D77B5E"/>
    <w:rsid w:val="00D85BF8"/>
    <w:rsid w:val="00D861BD"/>
    <w:rsid w:val="00D86819"/>
    <w:rsid w:val="00D868E1"/>
    <w:rsid w:val="00D8761D"/>
    <w:rsid w:val="00D90889"/>
    <w:rsid w:val="00D91575"/>
    <w:rsid w:val="00D917FD"/>
    <w:rsid w:val="00D9529C"/>
    <w:rsid w:val="00DA13A3"/>
    <w:rsid w:val="00DA409E"/>
    <w:rsid w:val="00DB6662"/>
    <w:rsid w:val="00DB6798"/>
    <w:rsid w:val="00DB6EB5"/>
    <w:rsid w:val="00DC0B31"/>
    <w:rsid w:val="00DC232A"/>
    <w:rsid w:val="00DC2CBF"/>
    <w:rsid w:val="00DC45E3"/>
    <w:rsid w:val="00DC65E0"/>
    <w:rsid w:val="00DD1647"/>
    <w:rsid w:val="00DD1A59"/>
    <w:rsid w:val="00DD4D31"/>
    <w:rsid w:val="00DD659B"/>
    <w:rsid w:val="00DD7635"/>
    <w:rsid w:val="00DD7B46"/>
    <w:rsid w:val="00DE1A4C"/>
    <w:rsid w:val="00DE1ADA"/>
    <w:rsid w:val="00DE4E0B"/>
    <w:rsid w:val="00DE73EF"/>
    <w:rsid w:val="00DF1E2E"/>
    <w:rsid w:val="00DF6975"/>
    <w:rsid w:val="00DF710C"/>
    <w:rsid w:val="00E002B3"/>
    <w:rsid w:val="00E0118C"/>
    <w:rsid w:val="00E01B32"/>
    <w:rsid w:val="00E13119"/>
    <w:rsid w:val="00E136B8"/>
    <w:rsid w:val="00E205FA"/>
    <w:rsid w:val="00E236CB"/>
    <w:rsid w:val="00E2741F"/>
    <w:rsid w:val="00E307AB"/>
    <w:rsid w:val="00E3221F"/>
    <w:rsid w:val="00E32A88"/>
    <w:rsid w:val="00E3634D"/>
    <w:rsid w:val="00E40657"/>
    <w:rsid w:val="00E42494"/>
    <w:rsid w:val="00E4353D"/>
    <w:rsid w:val="00E4556F"/>
    <w:rsid w:val="00E46137"/>
    <w:rsid w:val="00E508DB"/>
    <w:rsid w:val="00E525FF"/>
    <w:rsid w:val="00E53D3B"/>
    <w:rsid w:val="00E57044"/>
    <w:rsid w:val="00E601FD"/>
    <w:rsid w:val="00E607A7"/>
    <w:rsid w:val="00E610A9"/>
    <w:rsid w:val="00E64D3C"/>
    <w:rsid w:val="00E6610C"/>
    <w:rsid w:val="00E67E8D"/>
    <w:rsid w:val="00E72C3C"/>
    <w:rsid w:val="00E74C11"/>
    <w:rsid w:val="00E80D5C"/>
    <w:rsid w:val="00E8105F"/>
    <w:rsid w:val="00E8225F"/>
    <w:rsid w:val="00E86BFE"/>
    <w:rsid w:val="00E87DD5"/>
    <w:rsid w:val="00E92101"/>
    <w:rsid w:val="00E92EA1"/>
    <w:rsid w:val="00E9342D"/>
    <w:rsid w:val="00EA12ED"/>
    <w:rsid w:val="00EA2332"/>
    <w:rsid w:val="00EA4ECC"/>
    <w:rsid w:val="00EA5D0A"/>
    <w:rsid w:val="00EB033E"/>
    <w:rsid w:val="00EB0DC2"/>
    <w:rsid w:val="00EB3944"/>
    <w:rsid w:val="00EB7A0D"/>
    <w:rsid w:val="00EC0989"/>
    <w:rsid w:val="00EC371F"/>
    <w:rsid w:val="00EC450C"/>
    <w:rsid w:val="00ED0699"/>
    <w:rsid w:val="00ED0DE8"/>
    <w:rsid w:val="00ED40F1"/>
    <w:rsid w:val="00ED5B62"/>
    <w:rsid w:val="00ED7025"/>
    <w:rsid w:val="00ED74DB"/>
    <w:rsid w:val="00EE27A4"/>
    <w:rsid w:val="00EE773F"/>
    <w:rsid w:val="00EF054D"/>
    <w:rsid w:val="00EF1D3D"/>
    <w:rsid w:val="00EF42AE"/>
    <w:rsid w:val="00EF5AE8"/>
    <w:rsid w:val="00EF60C6"/>
    <w:rsid w:val="00F003BD"/>
    <w:rsid w:val="00F03ABD"/>
    <w:rsid w:val="00F06026"/>
    <w:rsid w:val="00F1374F"/>
    <w:rsid w:val="00F141F7"/>
    <w:rsid w:val="00F23FEF"/>
    <w:rsid w:val="00F263DC"/>
    <w:rsid w:val="00F273E8"/>
    <w:rsid w:val="00F27752"/>
    <w:rsid w:val="00F307C0"/>
    <w:rsid w:val="00F30C3F"/>
    <w:rsid w:val="00F30E27"/>
    <w:rsid w:val="00F4258F"/>
    <w:rsid w:val="00F4466D"/>
    <w:rsid w:val="00F45196"/>
    <w:rsid w:val="00F51C7B"/>
    <w:rsid w:val="00F603D4"/>
    <w:rsid w:val="00F60BD9"/>
    <w:rsid w:val="00F60E67"/>
    <w:rsid w:val="00F760B8"/>
    <w:rsid w:val="00F76587"/>
    <w:rsid w:val="00F7706E"/>
    <w:rsid w:val="00F804C0"/>
    <w:rsid w:val="00F870C3"/>
    <w:rsid w:val="00F87E5E"/>
    <w:rsid w:val="00F906CD"/>
    <w:rsid w:val="00F9363C"/>
    <w:rsid w:val="00F95543"/>
    <w:rsid w:val="00F96407"/>
    <w:rsid w:val="00F9658F"/>
    <w:rsid w:val="00FA5DB5"/>
    <w:rsid w:val="00FB0C24"/>
    <w:rsid w:val="00FB7DF2"/>
    <w:rsid w:val="00FB7FB2"/>
    <w:rsid w:val="00FC474F"/>
    <w:rsid w:val="00FC5690"/>
    <w:rsid w:val="00FC7A21"/>
    <w:rsid w:val="00FD2FC0"/>
    <w:rsid w:val="00FD4631"/>
    <w:rsid w:val="00FE45F7"/>
    <w:rsid w:val="00FF016D"/>
    <w:rsid w:val="00FF24F9"/>
    <w:rsid w:val="00FF306D"/>
    <w:rsid w:val="00FF511F"/>
    <w:rsid w:val="00FF657F"/>
    <w:rsid w:val="00FF71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4BB"/>
    <w:pPr>
      <w:spacing w:after="120" w:line="288" w:lineRule="auto"/>
    </w:pPr>
    <w:rPr>
      <w:sz w:val="24"/>
    </w:rPr>
  </w:style>
  <w:style w:type="paragraph" w:styleId="Nagwek1">
    <w:name w:val="heading 1"/>
    <w:basedOn w:val="Normalny"/>
    <w:next w:val="Normalny"/>
    <w:link w:val="Nagwek1Znak"/>
    <w:autoRedefine/>
    <w:uiPriority w:val="9"/>
    <w:qFormat/>
    <w:rsid w:val="008924A9"/>
    <w:pPr>
      <w:keepNext/>
      <w:keepLines/>
      <w:numPr>
        <w:numId w:val="3"/>
      </w:numP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6424BB"/>
    <w:pPr>
      <w:keepNext/>
      <w:keepLines/>
      <w:spacing w:before="120"/>
      <w:jc w:val="both"/>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spacing w:before="40"/>
      <w:outlineLvl w:val="2"/>
    </w:pPr>
    <w:rPr>
      <w:rFonts w:eastAsiaTheme="majorEastAsia"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EA12ED"/>
    <w:pPr>
      <w:numPr>
        <w:numId w:val="0"/>
      </w:numPr>
      <w:spacing w:line="360" w:lineRule="auto"/>
      <w:jc w:val="center"/>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8924A9"/>
    <w:rPr>
      <w:rFonts w:eastAsiaTheme="majorEastAsia" w:cstheme="majorBidi"/>
      <w:b/>
      <w:sz w:val="28"/>
      <w:szCs w:val="32"/>
    </w:rPr>
  </w:style>
  <w:style w:type="character" w:customStyle="1" w:styleId="SW-tytunagwek1Znak">
    <w:name w:val="SW - tytuł nagłówek 1 Znak"/>
    <w:basedOn w:val="Nagwek1Znak"/>
    <w:link w:val="SW-tytunagwek1"/>
    <w:rsid w:val="00EA12ED"/>
    <w:rPr>
      <w:rFonts w:eastAsiaTheme="majorEastAsia" w:cstheme="majorBidi"/>
      <w:b w:val="0"/>
      <w:sz w:val="32"/>
      <w:szCs w:val="32"/>
    </w:rPr>
  </w:style>
  <w:style w:type="paragraph" w:styleId="Spistreci1">
    <w:name w:val="toc 1"/>
    <w:basedOn w:val="Normalny"/>
    <w:next w:val="Normalny"/>
    <w:autoRedefine/>
    <w:uiPriority w:val="39"/>
    <w:unhideWhenUsed/>
    <w:rsid w:val="00EA4ECC"/>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424BB"/>
    <w:rPr>
      <w:rFonts w:eastAsiaTheme="majorEastAsia" w:cstheme="majorBidi"/>
      <w:sz w:val="24"/>
      <w:szCs w:val="26"/>
    </w:rPr>
  </w:style>
  <w:style w:type="paragraph" w:styleId="Spistreci2">
    <w:name w:val="toc 2"/>
    <w:basedOn w:val="Normalny"/>
    <w:next w:val="Normalny"/>
    <w:autoRedefine/>
    <w:uiPriority w:val="39"/>
    <w:unhideWhenUsed/>
    <w:rsid w:val="009376C6"/>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7B23E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7B23EA"/>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7B23EA"/>
    <w:rPr>
      <w:vertAlign w:val="superscript"/>
    </w:rPr>
  </w:style>
  <w:style w:type="paragraph" w:styleId="Poprawka">
    <w:name w:val="Revision"/>
    <w:hidden/>
    <w:uiPriority w:val="99"/>
    <w:semiHidden/>
    <w:rsid w:val="00196135"/>
    <w:pPr>
      <w:spacing w:after="0" w:line="240" w:lineRule="auto"/>
    </w:pPr>
  </w:style>
  <w:style w:type="character" w:styleId="UyteHipercze">
    <w:name w:val="FollowedHyperlink"/>
    <w:basedOn w:val="Domylnaczcionkaakapitu"/>
    <w:uiPriority w:val="99"/>
    <w:semiHidden/>
    <w:unhideWhenUsed/>
    <w:rsid w:val="00B3094C"/>
    <w:rPr>
      <w:color w:val="954F72" w:themeColor="followedHyperlink"/>
      <w:u w:val="single"/>
    </w:rPr>
  </w:style>
  <w:style w:type="paragraph" w:customStyle="1" w:styleId="Default">
    <w:name w:val="Default"/>
    <w:rsid w:val="00B85AC6"/>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B43A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3A82"/>
    <w:rPr>
      <w:sz w:val="20"/>
      <w:szCs w:val="20"/>
    </w:rPr>
  </w:style>
  <w:style w:type="character" w:styleId="Odwoanieprzypisukocowego">
    <w:name w:val="endnote reference"/>
    <w:basedOn w:val="Domylnaczcionkaakapitu"/>
    <w:uiPriority w:val="99"/>
    <w:semiHidden/>
    <w:unhideWhenUsed/>
    <w:rsid w:val="00B43A82"/>
    <w:rPr>
      <w:vertAlign w:val="superscript"/>
    </w:rPr>
  </w:style>
  <w:style w:type="table" w:styleId="Tabela-Siatka">
    <w:name w:val="Table Grid"/>
    <w:basedOn w:val="Standardowy"/>
    <w:uiPriority w:val="39"/>
    <w:rsid w:val="00A7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92551">
      <w:bodyDiv w:val="1"/>
      <w:marLeft w:val="0"/>
      <w:marRight w:val="0"/>
      <w:marTop w:val="0"/>
      <w:marBottom w:val="0"/>
      <w:divBdr>
        <w:top w:val="none" w:sz="0" w:space="0" w:color="auto"/>
        <w:left w:val="none" w:sz="0" w:space="0" w:color="auto"/>
        <w:bottom w:val="none" w:sz="0" w:space="0" w:color="auto"/>
        <w:right w:val="none" w:sz="0" w:space="0" w:color="auto"/>
      </w:divBdr>
    </w:div>
    <w:div w:id="1465199528">
      <w:bodyDiv w:val="1"/>
      <w:marLeft w:val="0"/>
      <w:marRight w:val="0"/>
      <w:marTop w:val="0"/>
      <w:marBottom w:val="0"/>
      <w:divBdr>
        <w:top w:val="none" w:sz="0" w:space="0" w:color="auto"/>
        <w:left w:val="none" w:sz="0" w:space="0" w:color="auto"/>
        <w:bottom w:val="none" w:sz="0" w:space="0" w:color="auto"/>
        <w:right w:val="none" w:sz="0" w:space="0" w:color="auto"/>
      </w:divBdr>
    </w:div>
    <w:div w:id="1552811856">
      <w:bodyDiv w:val="1"/>
      <w:marLeft w:val="0"/>
      <w:marRight w:val="0"/>
      <w:marTop w:val="0"/>
      <w:marBottom w:val="0"/>
      <w:divBdr>
        <w:top w:val="none" w:sz="0" w:space="0" w:color="auto"/>
        <w:left w:val="none" w:sz="0" w:space="0" w:color="auto"/>
        <w:bottom w:val="none" w:sz="0" w:space="0" w:color="auto"/>
        <w:right w:val="none" w:sz="0" w:space="0" w:color="auto"/>
      </w:divBdr>
    </w:div>
    <w:div w:id="1634286330">
      <w:bodyDiv w:val="1"/>
      <w:marLeft w:val="0"/>
      <w:marRight w:val="0"/>
      <w:marTop w:val="0"/>
      <w:marBottom w:val="0"/>
      <w:divBdr>
        <w:top w:val="none" w:sz="0" w:space="0" w:color="auto"/>
        <w:left w:val="none" w:sz="0" w:space="0" w:color="auto"/>
        <w:bottom w:val="none" w:sz="0" w:space="0" w:color="auto"/>
        <w:right w:val="none" w:sz="0" w:space="0" w:color="auto"/>
      </w:divBdr>
    </w:div>
    <w:div w:id="21005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PL/TXT/?uri=CELEX:32010D0048" TargetMode="External"/><Relationship Id="rId5" Type="http://schemas.openxmlformats.org/officeDocument/2006/relationships/webSettings" Target="webSettings.xml"/><Relationship Id="rId10" Type="http://schemas.openxmlformats.org/officeDocument/2006/relationships/hyperlink" Target="https://www.ppp.gov.pl/file.php?i=przegladarka-plikow/Nowa-ustawa-PZP-a-przygotowanie-PPP.pdf"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DBABF-6909-4EE0-93A0-4D7D5D83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9129</Words>
  <Characters>54779</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63781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Agnieszka Pazdur</cp:lastModifiedBy>
  <cp:revision>9</cp:revision>
  <cp:lastPrinted>2023-06-19T11:00:00Z</cp:lastPrinted>
  <dcterms:created xsi:type="dcterms:W3CDTF">2026-01-14T12:46:00Z</dcterms:created>
  <dcterms:modified xsi:type="dcterms:W3CDTF">2026-01-15T10:10:00Z</dcterms:modified>
</cp:coreProperties>
</file>