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12C3" w14:textId="4606F39F" w:rsidR="008853A1" w:rsidRDefault="008853A1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3B244A8" w14:textId="69DB439E" w:rsidR="007A336B" w:rsidRPr="00355418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nych w projekty </w:t>
      </w:r>
      <w:r w:rsidR="007A336B"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>realizowane w ramach FEW</w:t>
      </w:r>
      <w:r w:rsidR="00EF5F74"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355418">
        <w:rPr>
          <w:rFonts w:eastAsia="Arial" w:cstheme="minorHAnsi"/>
          <w:color w:val="000000"/>
          <w:sz w:val="20"/>
          <w:szCs w:val="20"/>
          <w:lang w:eastAsia="pl-PL"/>
        </w:rPr>
        <w:t>(w tym uczestników proje</w:t>
      </w:r>
      <w:bookmarkStart w:id="0" w:name="_GoBack"/>
      <w:bookmarkEnd w:id="0"/>
      <w:r w:rsidR="00EF5F74" w:rsidRPr="00355418">
        <w:rPr>
          <w:rFonts w:eastAsia="Arial" w:cstheme="minorHAnsi"/>
          <w:color w:val="000000"/>
          <w:sz w:val="20"/>
          <w:szCs w:val="20"/>
          <w:lang w:eastAsia="pl-PL"/>
        </w:rPr>
        <w:t>ktu)</w:t>
      </w:r>
      <w:r w:rsidR="007A336B"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68690859" w:rsidR="00EF5F74" w:rsidRDefault="00EF5F74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>Nr projektu ……………………………………………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13253AE5" w:rsidR="00671A97" w:rsidRPr="00A76BB9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Państwa dane osobowe udostępnione zostały przez Beneficjenta ……………</w:t>
      </w:r>
      <w:r w:rsidRPr="003F353F">
        <w:rPr>
          <w:rFonts w:eastAsia="Arial" w:cstheme="minorHAnsi"/>
          <w:color w:val="FF0000"/>
          <w:sz w:val="20"/>
          <w:szCs w:val="20"/>
          <w:lang w:eastAsia="pl-PL"/>
        </w:rPr>
        <w:t xml:space="preserve">(nazwa Beneficjenta) </w:t>
      </w:r>
      <w:r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3"/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…………… 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br/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14:paraId="2BA7E6C8" w14:textId="77777777" w:rsidR="00A76BB9" w:rsidRDefault="00A76BB9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A76BB9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D6C04" w14:textId="77777777" w:rsidR="00227BB0" w:rsidRDefault="00227BB0" w:rsidP="003750B9">
      <w:pPr>
        <w:spacing w:after="0" w:line="240" w:lineRule="auto"/>
      </w:pPr>
      <w:r>
        <w:separator/>
      </w:r>
    </w:p>
  </w:endnote>
  <w:endnote w:type="continuationSeparator" w:id="0">
    <w:p w14:paraId="1EB6B076" w14:textId="77777777" w:rsidR="00227BB0" w:rsidRDefault="00227BB0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05F50" w14:textId="77777777" w:rsidR="00227BB0" w:rsidRDefault="00227BB0" w:rsidP="003750B9">
      <w:pPr>
        <w:spacing w:after="0" w:line="240" w:lineRule="auto"/>
      </w:pPr>
      <w:r>
        <w:separator/>
      </w:r>
    </w:p>
  </w:footnote>
  <w:footnote w:type="continuationSeparator" w:id="0">
    <w:p w14:paraId="2AE4E7F5" w14:textId="77777777" w:rsidR="00227BB0" w:rsidRDefault="00227BB0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6D7C21EC" w14:textId="3FA3928C" w:rsidR="00671A97" w:rsidRDefault="0067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sz w:val="16"/>
          <w:szCs w:val="16"/>
        </w:rPr>
        <w:t>Uzupełnia Beneficjent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1B1C0" w14:textId="7B070DDB" w:rsidR="00E13BFE" w:rsidRDefault="00097E5E">
    <w:pPr>
      <w:pStyle w:val="Nagwek"/>
    </w:pPr>
    <w:r>
      <w:rPr>
        <w:noProof/>
        <w:lang w:eastAsia="pl-PL"/>
      </w:rPr>
      <w:drawing>
        <wp:inline distT="0" distB="0" distL="0" distR="0" wp14:anchorId="1036F8B3" wp14:editId="0FDF7102">
          <wp:extent cx="5761355" cy="585470"/>
          <wp:effectExtent l="0" t="0" r="0" b="508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E532B"/>
    <w:rsid w:val="00227BB0"/>
    <w:rsid w:val="00265148"/>
    <w:rsid w:val="002829B4"/>
    <w:rsid w:val="002E08E4"/>
    <w:rsid w:val="00334EFB"/>
    <w:rsid w:val="00354529"/>
    <w:rsid w:val="00355418"/>
    <w:rsid w:val="0036294F"/>
    <w:rsid w:val="003750B9"/>
    <w:rsid w:val="003A5EEC"/>
    <w:rsid w:val="003F353F"/>
    <w:rsid w:val="004958D7"/>
    <w:rsid w:val="004B313C"/>
    <w:rsid w:val="004F5D8C"/>
    <w:rsid w:val="004F6D92"/>
    <w:rsid w:val="005520FF"/>
    <w:rsid w:val="00612E5A"/>
    <w:rsid w:val="00671A97"/>
    <w:rsid w:val="00671C02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964BC"/>
    <w:rsid w:val="009F440B"/>
    <w:rsid w:val="00A76BB9"/>
    <w:rsid w:val="00AA47B1"/>
    <w:rsid w:val="00BF10B2"/>
    <w:rsid w:val="00C1011C"/>
    <w:rsid w:val="00CC3A94"/>
    <w:rsid w:val="00CC7C57"/>
    <w:rsid w:val="00DB4ADF"/>
    <w:rsid w:val="00E13BFE"/>
    <w:rsid w:val="00E562A6"/>
    <w:rsid w:val="00E575B4"/>
    <w:rsid w:val="00EF5F74"/>
    <w:rsid w:val="00F22B12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88F2-24AC-486C-BED6-55911689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Lewicz Paulina</cp:lastModifiedBy>
  <cp:revision>9</cp:revision>
  <cp:lastPrinted>2022-10-04T05:29:00Z</cp:lastPrinted>
  <dcterms:created xsi:type="dcterms:W3CDTF">2023-04-17T11:04:00Z</dcterms:created>
  <dcterms:modified xsi:type="dcterms:W3CDTF">2024-04-03T06:13:00Z</dcterms:modified>
</cp:coreProperties>
</file>