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700" w:rsidRPr="00757491" w:rsidRDefault="00450EA5" w:rsidP="00930EDB">
      <w:pPr>
        <w:autoSpaceDE w:val="0"/>
        <w:autoSpaceDN w:val="0"/>
        <w:adjustRightInd w:val="0"/>
        <w:spacing w:line="276" w:lineRule="auto"/>
        <w:ind w:left="6372"/>
        <w:rPr>
          <w:rFonts w:asciiTheme="minorHAnsi" w:hAnsiTheme="minorHAnsi" w:cstheme="minorHAnsi"/>
          <w:sz w:val="20"/>
          <w:szCs w:val="20"/>
        </w:rPr>
      </w:pPr>
      <w:r w:rsidRPr="00757491">
        <w:rPr>
          <w:rFonts w:asciiTheme="minorHAnsi" w:hAnsiTheme="minorHAnsi" w:cstheme="minorHAnsi"/>
          <w:sz w:val="20"/>
          <w:szCs w:val="20"/>
        </w:rPr>
        <w:t>Załącznik nr 1 do Uchwały nr</w:t>
      </w:r>
      <w:r w:rsidR="00D37809" w:rsidRPr="00757491">
        <w:rPr>
          <w:rFonts w:asciiTheme="minorHAnsi" w:hAnsiTheme="minorHAnsi" w:cstheme="minorHAnsi"/>
          <w:sz w:val="20"/>
          <w:szCs w:val="20"/>
        </w:rPr>
        <w:t xml:space="preserve"> </w:t>
      </w:r>
      <w:r w:rsidR="00920198" w:rsidRPr="00757491">
        <w:rPr>
          <w:rFonts w:asciiTheme="minorHAnsi" w:hAnsiTheme="minorHAnsi" w:cstheme="minorHAnsi"/>
          <w:sz w:val="20"/>
          <w:szCs w:val="20"/>
        </w:rPr>
        <w:t>……..</w:t>
      </w:r>
      <w:r w:rsidRPr="00757491">
        <w:rPr>
          <w:rFonts w:asciiTheme="minorHAnsi" w:hAnsiTheme="minorHAnsi" w:cstheme="minorHAnsi"/>
          <w:sz w:val="20"/>
          <w:szCs w:val="20"/>
        </w:rPr>
        <w:t>/</w:t>
      </w:r>
      <w:r w:rsidR="00920198" w:rsidRPr="00757491">
        <w:rPr>
          <w:rFonts w:asciiTheme="minorHAnsi" w:hAnsiTheme="minorHAnsi" w:cstheme="minorHAnsi"/>
          <w:sz w:val="20"/>
          <w:szCs w:val="20"/>
        </w:rPr>
        <w:t>……..</w:t>
      </w:r>
    </w:p>
    <w:p w:rsidR="00101700" w:rsidRPr="00757491" w:rsidRDefault="00450EA5" w:rsidP="00930EDB">
      <w:pPr>
        <w:autoSpaceDE w:val="0"/>
        <w:autoSpaceDN w:val="0"/>
        <w:adjustRightInd w:val="0"/>
        <w:spacing w:line="276" w:lineRule="auto"/>
        <w:ind w:left="6372"/>
        <w:rPr>
          <w:rFonts w:asciiTheme="minorHAnsi" w:hAnsiTheme="minorHAnsi" w:cstheme="minorHAnsi"/>
          <w:sz w:val="20"/>
          <w:szCs w:val="20"/>
        </w:rPr>
      </w:pPr>
      <w:r w:rsidRPr="00757491">
        <w:rPr>
          <w:rFonts w:asciiTheme="minorHAnsi" w:hAnsiTheme="minorHAnsi" w:cstheme="minorHAnsi"/>
          <w:sz w:val="20"/>
          <w:szCs w:val="20"/>
        </w:rPr>
        <w:t>Zarządu Województwa Wielkopolskiego</w:t>
      </w:r>
      <w:r w:rsidR="00101700" w:rsidRPr="00757491">
        <w:rPr>
          <w:rFonts w:asciiTheme="minorHAnsi" w:hAnsiTheme="minorHAnsi" w:cstheme="minorHAnsi"/>
          <w:sz w:val="20"/>
          <w:szCs w:val="20"/>
        </w:rPr>
        <w:t xml:space="preserve"> </w:t>
      </w:r>
    </w:p>
    <w:p w:rsidR="00450EA5" w:rsidRPr="00C77245" w:rsidRDefault="00450EA5" w:rsidP="00930EDB">
      <w:pPr>
        <w:autoSpaceDE w:val="0"/>
        <w:autoSpaceDN w:val="0"/>
        <w:adjustRightInd w:val="0"/>
        <w:spacing w:line="276" w:lineRule="auto"/>
        <w:ind w:left="6372"/>
        <w:rPr>
          <w:rFonts w:asciiTheme="minorHAnsi" w:hAnsiTheme="minorHAnsi" w:cstheme="minorHAnsi"/>
          <w:i/>
        </w:rPr>
      </w:pPr>
      <w:r w:rsidRPr="00757491">
        <w:rPr>
          <w:rFonts w:asciiTheme="minorHAnsi" w:hAnsiTheme="minorHAnsi" w:cstheme="minorHAnsi"/>
          <w:sz w:val="20"/>
          <w:szCs w:val="20"/>
        </w:rPr>
        <w:t>z dnia</w:t>
      </w:r>
      <w:r w:rsidR="00D37809" w:rsidRPr="00757491">
        <w:rPr>
          <w:rFonts w:asciiTheme="minorHAnsi" w:hAnsiTheme="minorHAnsi" w:cstheme="minorHAnsi"/>
          <w:sz w:val="20"/>
          <w:szCs w:val="20"/>
        </w:rPr>
        <w:t xml:space="preserve"> </w:t>
      </w:r>
      <w:r w:rsidR="00920198" w:rsidRPr="00757491">
        <w:rPr>
          <w:rFonts w:asciiTheme="minorHAnsi" w:hAnsiTheme="minorHAnsi" w:cstheme="minorHAnsi"/>
          <w:sz w:val="20"/>
          <w:szCs w:val="20"/>
        </w:rPr>
        <w:t>………</w:t>
      </w:r>
      <w:r w:rsidR="001A10CD" w:rsidRPr="00757491">
        <w:rPr>
          <w:rFonts w:asciiTheme="minorHAnsi" w:hAnsiTheme="minorHAnsi" w:cstheme="minorHAnsi"/>
          <w:sz w:val="20"/>
          <w:szCs w:val="20"/>
        </w:rPr>
        <w:t>………</w:t>
      </w:r>
      <w:r w:rsidR="00920198" w:rsidRPr="00757491">
        <w:rPr>
          <w:rFonts w:asciiTheme="minorHAnsi" w:hAnsiTheme="minorHAnsi" w:cstheme="minorHAnsi"/>
          <w:sz w:val="20"/>
          <w:szCs w:val="20"/>
        </w:rPr>
        <w:t>…</w:t>
      </w:r>
      <w:r w:rsidR="00D37809" w:rsidRPr="00757491">
        <w:rPr>
          <w:rFonts w:asciiTheme="minorHAnsi" w:hAnsiTheme="minorHAnsi" w:cstheme="minorHAnsi"/>
          <w:sz w:val="20"/>
          <w:szCs w:val="20"/>
        </w:rPr>
        <w:t xml:space="preserve"> roku</w:t>
      </w:r>
    </w:p>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Pr="00C77245">
        <w:rPr>
          <w:rFonts w:asciiTheme="minorHAnsi" w:hAnsiTheme="minorHAnsi" w:cstheme="minorHAnsi"/>
          <w:b/>
          <w:bCs/>
        </w:rPr>
        <w:t>Ministra Funduszy i Polityki Regionalnej z dnia 29 września 2022 r.</w:t>
      </w:r>
      <w:r w:rsidRPr="00C77245">
        <w:rPr>
          <w:rFonts w:asciiTheme="minorHAnsi" w:hAnsiTheme="minorHAnsi" w:cstheme="minorHAnsi"/>
          <w:b/>
        </w:rPr>
        <w:t xml:space="preserve"> w sprawie udzielania pomocy de </w:t>
      </w:r>
      <w:proofErr w:type="spellStart"/>
      <w:r w:rsidRPr="00C77245">
        <w:rPr>
          <w:rFonts w:asciiTheme="minorHAnsi" w:hAnsiTheme="minorHAnsi" w:cstheme="minorHAnsi"/>
          <w:b/>
        </w:rPr>
        <w:t>minimis</w:t>
      </w:r>
      <w:proofErr w:type="spellEnd"/>
      <w:r w:rsidRPr="00C77245">
        <w:rPr>
          <w:rFonts w:asciiTheme="minorHAnsi" w:hAnsiTheme="minorHAnsi" w:cstheme="minorHAnsi"/>
          <w:b/>
        </w:rPr>
        <w:t xml:space="preserve"> w ramach regionalnych programów na lata </w:t>
      </w:r>
      <w:r w:rsidRPr="00C77245">
        <w:rPr>
          <w:rFonts w:asciiTheme="minorHAnsi" w:hAnsiTheme="minorHAnsi" w:cstheme="minorHAnsi"/>
          <w:b/>
          <w:bCs/>
        </w:rPr>
        <w:t>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2324A5"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 należy przez to rozumieć pomoc zgodną</w:t>
      </w:r>
      <w:r w:rsidR="006546FA" w:rsidRPr="00C77245">
        <w:rPr>
          <w:rFonts w:asciiTheme="minorHAnsi" w:hAnsiTheme="minorHAnsi" w:cstheme="minorHAnsi"/>
        </w:rPr>
        <w:t xml:space="preserve"> z przepisami R</w:t>
      </w:r>
      <w:r w:rsidRPr="00C77245">
        <w:rPr>
          <w:rFonts w:asciiTheme="minorHAnsi" w:hAnsiTheme="minorHAnsi" w:cstheme="minorHAnsi"/>
        </w:rPr>
        <w:t>ozporządzenia Komisji (UE) nr 1407/2013 z dnia 18 grudnia 2013 r. w sprawie stosowania art. 107 i 108 Trak</w:t>
      </w:r>
      <w:r w:rsidR="00930EDB">
        <w:rPr>
          <w:rFonts w:asciiTheme="minorHAnsi" w:hAnsiTheme="minorHAnsi" w:cstheme="minorHAnsi"/>
        </w:rPr>
        <w:t>tatu o </w:t>
      </w:r>
      <w:r w:rsidRPr="00C77245">
        <w:rPr>
          <w:rFonts w:asciiTheme="minorHAnsi" w:hAnsiTheme="minorHAnsi" w:cstheme="minorHAnsi"/>
        </w:rPr>
        <w:t>funkcjonowaniu Unii Europejsk</w:t>
      </w:r>
      <w:r w:rsidR="006546FA" w:rsidRPr="00C77245">
        <w:rPr>
          <w:rFonts w:asciiTheme="minorHAnsi" w:hAnsiTheme="minorHAnsi" w:cstheme="minorHAnsi"/>
        </w:rPr>
        <w:t xml:space="preserve">iej do pomocy de </w:t>
      </w:r>
      <w:proofErr w:type="spellStart"/>
      <w:r w:rsidR="006546FA" w:rsidRPr="00C77245">
        <w:rPr>
          <w:rFonts w:asciiTheme="minorHAnsi" w:hAnsiTheme="minorHAnsi" w:cstheme="minorHAnsi"/>
        </w:rPr>
        <w:t>minimis</w:t>
      </w:r>
      <w:proofErr w:type="spellEnd"/>
      <w:r w:rsidR="006546FA" w:rsidRPr="00C77245">
        <w:rPr>
          <w:rFonts w:asciiTheme="minorHAnsi" w:hAnsiTheme="minorHAnsi" w:cstheme="minorHAnsi"/>
        </w:rPr>
        <w:t xml:space="preserve"> lub z R</w:t>
      </w:r>
      <w:r w:rsidR="003D6F85">
        <w:rPr>
          <w:rFonts w:asciiTheme="minorHAnsi" w:hAnsiTheme="minorHAnsi" w:cstheme="minorHAnsi"/>
        </w:rPr>
        <w:t>ozporządzeniem Komisji (UE) nr </w:t>
      </w:r>
      <w:r w:rsidRPr="00C77245">
        <w:rPr>
          <w:rFonts w:asciiTheme="minorHAnsi" w:hAnsiTheme="minorHAnsi" w:cstheme="minorHAnsi"/>
        </w:rPr>
        <w:t xml:space="preserve">360/2012 z dnia 25 kwietnia 2012 r. w sprawie stosowania art. 107 i 108 Traktatu o funkcjonowaniu Unii Europejskiej do 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przyznawanej przedsiębiorstwom wykonując</w:t>
      </w:r>
      <w:r w:rsidR="009E1C4A" w:rsidRPr="00C77245">
        <w:rPr>
          <w:rFonts w:asciiTheme="minorHAnsi" w:hAnsiTheme="minorHAnsi" w:cstheme="minorHAnsi"/>
        </w:rPr>
        <w:t xml:space="preserve">ym usługi świadczone w ogólnym </w:t>
      </w:r>
      <w:r w:rsidRPr="00C77245">
        <w:rPr>
          <w:rFonts w:asciiTheme="minorHAnsi" w:hAnsiTheme="minorHAnsi" w:cstheme="minorHAnsi"/>
        </w:rPr>
        <w:t>interesie gospodarczym;</w:t>
      </w:r>
    </w:p>
    <w:p w:rsidR="002324A5"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t>
      </w:r>
      <w:r w:rsidR="002324A5" w:rsidRPr="00C77245">
        <w:rPr>
          <w:rFonts w:asciiTheme="minorHAnsi" w:hAnsiTheme="minorHAnsi" w:cstheme="minorHAnsi"/>
        </w:rPr>
        <w:t>pomoc</w:t>
      </w:r>
      <w:r w:rsidRPr="00C77245">
        <w:rPr>
          <w:rFonts w:asciiTheme="minorHAnsi" w:hAnsiTheme="minorHAnsi" w:cstheme="minorHAnsi"/>
        </w:rPr>
        <w:t>y publicznej”</w:t>
      </w:r>
      <w:r w:rsidR="002324A5" w:rsidRPr="00C77245">
        <w:rPr>
          <w:rFonts w:asciiTheme="minorHAnsi" w:hAnsiTheme="minorHAnsi" w:cstheme="minorHAnsi"/>
        </w:rPr>
        <w:t xml:space="preserve"> – </w:t>
      </w:r>
      <w:r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okresie realizacji Projektu, o którym mowa w § </w:t>
      </w:r>
      <w:r w:rsidR="00294A0F"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3F1193" w:rsidRPr="00C77245">
        <w:rPr>
          <w:rFonts w:asciiTheme="minorHAnsi" w:hAnsiTheme="minorHAnsi" w:cstheme="minorHAnsi"/>
          <w:sz w:val="24"/>
          <w:szCs w:val="24"/>
        </w:rPr>
        <w:t xml:space="preserve">Umowy </w:t>
      </w:r>
      <w:r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 xml:space="preserve">pospolitej Polskiej (jeśli dotyczy; w wersji </w:t>
      </w:r>
      <w:proofErr w:type="spellStart"/>
      <w:r w:rsidRPr="00C77245">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niezwłocznie po rozpoczęciu fizycznej realizacji Projektu obejmującego inwestycje rzeczowe lub zainstalowaniu zakupionego sprzętu,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t xml:space="preserve">Tablica musi być umieszczona niezwłocznie po rozpoczęciu fizycznej realizacji Projektu lub zainstalowaniu zakupionego sprzętu aż do końca okresu trwałości Projektu.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 xml:space="preserve">lakatu o minimalnym </w:t>
      </w:r>
      <w:r w:rsidR="00294A0F" w:rsidRPr="00C77245">
        <w:rPr>
          <w:rFonts w:asciiTheme="minorHAnsi" w:hAnsiTheme="minorHAnsi" w:cstheme="minorHAnsi"/>
        </w:rPr>
        <w:lastRenderedPageBreak/>
        <w:t>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 i na jego stronach mediów społecznośc</w:t>
      </w:r>
      <w:r w:rsidR="004572A7" w:rsidRPr="00C77245">
        <w:rPr>
          <w:rFonts w:asciiTheme="minorHAnsi" w:hAnsiTheme="minorHAnsi" w:cstheme="minorHAnsi"/>
          <w:color w:val="000000"/>
        </w:rPr>
        <w:t>iowych, jeśli je posiada. Opis P</w:t>
      </w:r>
      <w:r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2"/>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3"/>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4"/>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5"/>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lastRenderedPageBreak/>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10194D" w:rsidRPr="00C77245" w:rsidRDefault="00417C13" w:rsidP="008E0496">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niewywiązania się Beneficjenta z obowiązków określonych w u</w:t>
      </w:r>
      <w:r w:rsidR="00A1170E">
        <w:rPr>
          <w:rFonts w:asciiTheme="minorHAnsi" w:hAnsiTheme="minorHAnsi" w:cstheme="minorHAnsi"/>
          <w:sz w:val="24"/>
          <w:szCs w:val="24"/>
        </w:rPr>
        <w:t>st. 2 pkt 1 lit. a-c oraz pkt 2-</w:t>
      </w:r>
      <w:r w:rsidRPr="00C77245">
        <w:rPr>
          <w:rFonts w:asciiTheme="minorHAnsi" w:hAnsiTheme="minorHAnsi" w:cstheme="minorHAnsi"/>
          <w:sz w:val="24"/>
          <w:szCs w:val="24"/>
        </w:rPr>
        <w:t>5</w:t>
      </w:r>
      <w:r w:rsidR="00A1170E">
        <w:rPr>
          <w:rFonts w:asciiTheme="minorHAnsi" w:hAnsiTheme="minorHAnsi" w:cstheme="minorHAnsi"/>
          <w:sz w:val="24"/>
          <w:szCs w:val="24"/>
        </w:rPr>
        <w:t> </w:t>
      </w:r>
      <w:r w:rsidR="00825B9B" w:rsidRPr="00C77245">
        <w:rPr>
          <w:rFonts w:asciiTheme="minorHAnsi" w:hAnsiTheme="minorHAnsi" w:cstheme="minorHAnsi"/>
          <w:sz w:val="24"/>
          <w:szCs w:val="24"/>
          <w:lang w:bidi="pl-PL"/>
        </w:rPr>
        <w:t>n</w:t>
      </w:r>
      <w:r w:rsidR="00A1170E">
        <w:rPr>
          <w:rFonts w:asciiTheme="minorHAnsi" w:hAnsiTheme="minorHAnsi" w:cstheme="minorHAnsi"/>
          <w:sz w:val="24"/>
          <w:szCs w:val="24"/>
          <w:lang w:bidi="pl-PL"/>
        </w:rPr>
        <w:t>iniejszego </w:t>
      </w:r>
      <w:r w:rsidR="00825B9B" w:rsidRPr="00C77245">
        <w:rPr>
          <w:rFonts w:asciiTheme="minorHAnsi" w:hAnsiTheme="minorHAnsi" w:cstheme="minorHAnsi"/>
          <w:sz w:val="24"/>
          <w:szCs w:val="24"/>
          <w:lang w:bidi="pl-PL"/>
        </w:rPr>
        <w:t>paragrafu</w:t>
      </w:r>
      <w:r w:rsidRPr="00C77245">
        <w:rPr>
          <w:rFonts w:asciiTheme="minorHAnsi" w:hAnsiTheme="minorHAnsi" w:cstheme="minorHAnsi"/>
          <w:sz w:val="24"/>
          <w:szCs w:val="24"/>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ustala, w drodze jednostronne</w:t>
      </w:r>
      <w:r w:rsidR="008E0496">
        <w:rPr>
          <w:rFonts w:asciiTheme="minorHAnsi" w:hAnsiTheme="minorHAnsi" w:cstheme="minorHAnsi"/>
          <w:sz w:val="24"/>
          <w:szCs w:val="24"/>
        </w:rPr>
        <w:t>go oświadczenia woli, zgodnie z </w:t>
      </w:r>
      <w:r w:rsidRPr="00C77245">
        <w:rPr>
          <w:rFonts w:asciiTheme="minorHAnsi" w:hAnsiTheme="minorHAnsi" w:cstheme="minorHAnsi"/>
          <w:sz w:val="24"/>
          <w:szCs w:val="24"/>
        </w:rPr>
        <w:t xml:space="preserve">wykazem pomniejszenia wartości dofinansowania projektu w zakresie obowiązków komunikacyjnych (załącznik do Umowy), wartość kwoty nienależnej Beneficjentowi, która pomniejsza kwotę dofinansowania. Oświadczenie, o którym mowa w zdaniu poprzednim jest wiążące dla Beneficjenta. W </w:t>
      </w:r>
      <w:r w:rsidR="008E0496">
        <w:rPr>
          <w:rFonts w:asciiTheme="minorHAnsi" w:hAnsiTheme="minorHAnsi" w:cstheme="minorHAnsi"/>
          <w:sz w:val="24"/>
          <w:szCs w:val="24"/>
        </w:rPr>
        <w:t> p</w:t>
      </w:r>
      <w:r w:rsidRPr="00C77245">
        <w:rPr>
          <w:rFonts w:asciiTheme="minorHAnsi" w:hAnsiTheme="minorHAnsi" w:cstheme="minorHAnsi"/>
          <w:sz w:val="24"/>
          <w:szCs w:val="24"/>
        </w:rPr>
        <w:t>rzypadku, gdy Beneficjentowi wypłacono już dofinansowanie, zastosowanie mają przepisy art. 207 ustawy o finansach publicznych</w:t>
      </w:r>
      <w:r w:rsidR="003C6747" w:rsidRPr="00C77245">
        <w:rPr>
          <w:rFonts w:asciiTheme="minorHAnsi" w:hAnsiTheme="minorHAnsi" w:cstheme="minorHAnsi"/>
          <w:sz w:val="24"/>
          <w:szCs w:val="24"/>
        </w:rPr>
        <w:t xml:space="preserve">. </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i dostępne </w:t>
      </w:r>
      <w:r w:rsidR="003F1193" w:rsidRPr="00C77245">
        <w:rPr>
          <w:rFonts w:asciiTheme="minorHAnsi" w:hAnsiTheme="minorHAnsi" w:cstheme="minorHAnsi"/>
          <w:sz w:val="24"/>
          <w:szCs w:val="24"/>
        </w:rPr>
        <w:t>na stronie internetowej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6"/>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w:t>
      </w:r>
      <w:r w:rsidRPr="00C77245">
        <w:rPr>
          <w:rFonts w:asciiTheme="minorHAnsi" w:hAnsiTheme="minorHAnsi" w:cstheme="minorHAnsi"/>
          <w:sz w:val="24"/>
          <w:szCs w:val="24"/>
        </w:rPr>
        <w:lastRenderedPageBreak/>
        <w:t xml:space="preserve">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w:t>
      </w:r>
      <w:r w:rsidRPr="00C77245">
        <w:rPr>
          <w:rFonts w:asciiTheme="minorHAnsi" w:hAnsiTheme="minorHAnsi" w:cstheme="minorHAnsi"/>
          <w:sz w:val="24"/>
          <w:szCs w:val="24"/>
        </w:rPr>
        <w:lastRenderedPageBreak/>
        <w:t xml:space="preserve">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w:t>
      </w:r>
      <w:r w:rsidR="00963A32" w:rsidRPr="00C77245">
        <w:rPr>
          <w:rFonts w:asciiTheme="minorHAnsi" w:hAnsiTheme="minorHAnsi" w:cstheme="minorHAnsi"/>
          <w:sz w:val="24"/>
          <w:szCs w:val="24"/>
        </w:rPr>
        <w:lastRenderedPageBreak/>
        <w:t xml:space="preserve">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xml:space="preserve">. 5 ust. 2 RODO. </w:t>
      </w:r>
      <w:r w:rsidRPr="00C77245">
        <w:rPr>
          <w:rFonts w:asciiTheme="minorHAnsi" w:hAnsiTheme="minorHAnsi" w:cstheme="minorHAnsi"/>
          <w:lang w:eastAsia="en-US"/>
        </w:rPr>
        <w:lastRenderedPageBreak/>
        <w:t>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7"/>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z dnia 20 lipca 2018 r. Prawo 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349F8" w:rsidRPr="00C77245">
        <w:rPr>
          <w:rFonts w:asciiTheme="minorHAnsi" w:hAnsiTheme="minorHAnsi" w:cstheme="minorHAnsi"/>
        </w:rPr>
        <w:t>Rozporządzenie Ministra Funduszy i Polityki Regionaln</w:t>
      </w:r>
      <w:r w:rsidR="0032281C">
        <w:rPr>
          <w:rFonts w:asciiTheme="minorHAnsi" w:hAnsiTheme="minorHAnsi" w:cstheme="minorHAnsi"/>
        </w:rPr>
        <w:t>ej z dnia 29 </w:t>
      </w:r>
      <w:r w:rsidR="00EE27E4">
        <w:rPr>
          <w:rFonts w:asciiTheme="minorHAnsi" w:hAnsiTheme="minorHAnsi" w:cstheme="minorHAnsi"/>
        </w:rPr>
        <w:t>września 2022 r. w </w:t>
      </w:r>
      <w:r w:rsidR="00F349F8" w:rsidRPr="00C77245">
        <w:rPr>
          <w:rFonts w:asciiTheme="minorHAnsi" w:hAnsiTheme="minorHAnsi" w:cstheme="minorHAnsi"/>
        </w:rPr>
        <w:t xml:space="preserve">sprawie udzielania pomocy de </w:t>
      </w:r>
      <w:proofErr w:type="spellStart"/>
      <w:r w:rsidR="00F349F8" w:rsidRPr="00C77245">
        <w:rPr>
          <w:rFonts w:asciiTheme="minorHAnsi" w:hAnsiTheme="minorHAnsi" w:cstheme="minorHAnsi"/>
        </w:rPr>
        <w:t>minimis</w:t>
      </w:r>
      <w:proofErr w:type="spellEnd"/>
      <w:r w:rsidR="00F349F8" w:rsidRPr="00C77245">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154AF0">
        <w:rPr>
          <w:rFonts w:asciiTheme="minorHAnsi" w:hAnsiTheme="minorHAnsi" w:cstheme="minorHAnsi"/>
        </w:rPr>
        <w:t>…</w:t>
      </w:r>
    </w:p>
    <w:p w:rsidR="00154AF0" w:rsidRDefault="00154AF0" w:rsidP="00930EDB">
      <w:pPr>
        <w:autoSpaceDE w:val="0"/>
        <w:autoSpaceDN w:val="0"/>
        <w:adjustRightInd w:val="0"/>
        <w:spacing w:before="240" w:line="276" w:lineRule="auto"/>
        <w:rPr>
          <w:rFonts w:asciiTheme="minorHAnsi" w:hAnsiTheme="minorHAnsi" w:cstheme="minorHAnsi"/>
          <w:b/>
        </w:rPr>
      </w:pPr>
    </w:p>
    <w:p w:rsidR="00885CAD" w:rsidRPr="00C77245" w:rsidRDefault="002F3554" w:rsidP="00930EDB">
      <w:pPr>
        <w:autoSpaceDE w:val="0"/>
        <w:autoSpaceDN w:val="0"/>
        <w:adjustRightInd w:val="0"/>
        <w:spacing w:before="240" w:line="276" w:lineRule="auto"/>
        <w:rPr>
          <w:rFonts w:asciiTheme="minorHAnsi" w:hAnsiTheme="minorHAnsi" w:cstheme="minorHAnsi"/>
          <w:b/>
        </w:rPr>
      </w:pPr>
      <w:bookmarkStart w:id="1" w:name="_GoBack"/>
      <w:bookmarkEnd w:id="1"/>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38"/>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39"/>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0"/>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746559">
            <w:pPr>
              <w:rPr>
                <w:rFonts w:asciiTheme="minorHAnsi" w:hAnsiTheme="minorHAnsi" w:cstheme="minorHAnsi"/>
              </w:rPr>
            </w:pPr>
          </w:p>
        </w:tc>
      </w:tr>
    </w:tbl>
    <w:p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rsidR="002B3ECC" w:rsidRPr="00154AF0" w:rsidRDefault="002B3ECC" w:rsidP="00154AF0">
      <w:pPr>
        <w:rPr>
          <w:rFonts w:asciiTheme="minorHAnsi" w:hAnsiTheme="minorHAnsi" w:cstheme="minorHAnsi"/>
          <w:b/>
          <w:sz w:val="20"/>
          <w:lang w:val="x-none"/>
        </w:rPr>
      </w:pPr>
    </w:p>
    <w:sectPr w:rsidR="002B3ECC" w:rsidRPr="00154AF0"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4CB" w:rsidRDefault="00E304CB" w:rsidP="002F3554">
      <w:r>
        <w:separator/>
      </w:r>
    </w:p>
  </w:endnote>
  <w:endnote w:type="continuationSeparator" w:id="0">
    <w:p w:rsidR="00E304CB" w:rsidRDefault="00E304CB"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CC" w:rsidRDefault="002B3ECC"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B3ECC" w:rsidRDefault="002B3E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CC" w:rsidRPr="00773788" w:rsidRDefault="002B3ECC"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154AF0">
      <w:rPr>
        <w:rStyle w:val="Numerstrony"/>
        <w:rFonts w:asciiTheme="minorHAnsi" w:hAnsiTheme="minorHAnsi" w:cstheme="minorHAnsi"/>
        <w:noProof/>
        <w:sz w:val="18"/>
        <w:szCs w:val="18"/>
      </w:rPr>
      <w:t>50</w:t>
    </w:r>
    <w:r w:rsidRPr="00773788">
      <w:rPr>
        <w:rStyle w:val="Numerstrony"/>
        <w:rFonts w:asciiTheme="minorHAnsi" w:hAnsiTheme="minorHAnsi" w:cstheme="minorHAnsi"/>
        <w:sz w:val="18"/>
        <w:szCs w:val="18"/>
      </w:rPr>
      <w:fldChar w:fldCharType="end"/>
    </w:r>
  </w:p>
  <w:p w:rsidR="002B3ECC" w:rsidRDefault="002B3E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4CB" w:rsidRDefault="00E304CB" w:rsidP="002F3554">
      <w:r>
        <w:separator/>
      </w:r>
    </w:p>
  </w:footnote>
  <w:footnote w:type="continuationSeparator" w:id="0">
    <w:p w:rsidR="00E304CB" w:rsidRDefault="00E304CB" w:rsidP="002F3554">
      <w:r>
        <w:continuationSeparator/>
      </w:r>
    </w:p>
  </w:footnote>
  <w:footnote w:id="1">
    <w:p w:rsidR="002B3ECC" w:rsidRPr="00757491" w:rsidRDefault="002B3ECC"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2B3ECC" w:rsidRPr="00D37558" w:rsidRDefault="002B3ECC"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2B3ECC" w:rsidRPr="007309E8" w:rsidRDefault="002B3ECC"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2B3ECC" w:rsidRPr="00B83570" w:rsidRDefault="002B3ECC"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2B3ECC" w:rsidRPr="00D37558" w:rsidRDefault="002B3ECC"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2B3ECC" w:rsidRPr="00B83570" w:rsidRDefault="002B3ECC"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2B3ECC" w:rsidRPr="00B83570" w:rsidRDefault="002B3ECC"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2B3ECC" w:rsidRPr="00316CE5" w:rsidRDefault="002B3ECC"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2B3ECC" w:rsidRPr="002A4AB1" w:rsidRDefault="002B3ECC"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2B3ECC" w:rsidRPr="00D37558" w:rsidRDefault="002B3ECC"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2B3ECC" w:rsidRPr="002A4AB1" w:rsidRDefault="002B3ECC"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2B3ECC" w:rsidRPr="002A4AB1" w:rsidRDefault="002B3ECC"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2B3ECC" w:rsidRPr="002A4AB1" w:rsidRDefault="002B3ECC"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2B3ECC" w:rsidRPr="002A4AB1" w:rsidRDefault="002B3ECC"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2B3ECC" w:rsidRPr="004012AD" w:rsidRDefault="002B3ECC"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2B3ECC" w:rsidRPr="004012AD" w:rsidRDefault="002B3ECC"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2B3ECC" w:rsidRPr="004012AD" w:rsidRDefault="002B3ECC"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2B3ECC" w:rsidRPr="007A3814" w:rsidRDefault="002B3ECC"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2B3ECC" w:rsidRPr="004C4D93" w:rsidRDefault="002B3ECC">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2B3ECC" w:rsidRPr="007A3814" w:rsidRDefault="002B3ECC"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2B3ECC" w:rsidRPr="00D37558" w:rsidRDefault="002B3ECC"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2B3ECC" w:rsidRPr="00971240" w:rsidRDefault="002B3ECC"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2B3ECC" w:rsidRPr="001F195E" w:rsidRDefault="002B3ECC">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2B3ECC" w:rsidRPr="001F195E" w:rsidRDefault="002B3ECC"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2B3ECC" w:rsidRPr="001F195E" w:rsidRDefault="002B3ECC"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2B3ECC" w:rsidRPr="001F195E" w:rsidRDefault="002B3ECC"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2B3ECC" w:rsidRPr="00D37558" w:rsidRDefault="002B3ECC"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2B3ECC" w:rsidRPr="001F195E" w:rsidRDefault="002B3ECC"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2B3ECC" w:rsidRPr="00323F0A" w:rsidRDefault="002B3ECC"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2B3ECC" w:rsidRPr="00323F0A" w:rsidRDefault="002B3ECC"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2B3ECC" w:rsidRPr="00323F0A" w:rsidRDefault="002B3ECC"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rsidR="002B3ECC" w:rsidRPr="00323F0A" w:rsidRDefault="002B3ECC" w:rsidP="0010194D">
      <w:pPr>
        <w:pStyle w:val="Default"/>
        <w:rPr>
          <w:rFonts w:asciiTheme="minorHAnsi" w:hAnsiTheme="minorHAnsi" w:cstheme="minorHAnsi"/>
          <w:sz w:val="20"/>
          <w:szCs w:val="16"/>
        </w:rPr>
      </w:pPr>
      <w:r w:rsidRPr="00323F0A">
        <w:rPr>
          <w:rStyle w:val="Odwoanieprzypisudolnego"/>
          <w:rFonts w:asciiTheme="minorHAnsi" w:hAnsiTheme="minorHAnsi" w:cstheme="minorHAnsi"/>
          <w:sz w:val="20"/>
          <w:szCs w:val="16"/>
        </w:rPr>
        <w:footnoteRef/>
      </w:r>
      <w:bookmarkStart w:id="0" w:name="_Hlk122348012"/>
      <w:r w:rsidRPr="00323F0A">
        <w:rPr>
          <w:rFonts w:asciiTheme="minorHAnsi" w:hAnsiTheme="minorHAnsi" w:cstheme="minorHAnsi"/>
          <w:sz w:val="20"/>
          <w:szCs w:val="16"/>
        </w:rPr>
        <w:t xml:space="preserve"> Projekt, który wnosi znaczący wkład w osiąganie celów Programu i który podlega szczególnym środkom dotyczącym monitorowania i komunikacji. </w:t>
      </w:r>
    </w:p>
    <w:bookmarkEnd w:id="0"/>
  </w:footnote>
  <w:footnote w:id="33">
    <w:p w:rsidR="002B3ECC" w:rsidRPr="00323F0A" w:rsidRDefault="002B3ECC"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Patrz przypis 32.</w:t>
      </w:r>
    </w:p>
  </w:footnote>
  <w:footnote w:id="34">
    <w:p w:rsidR="002B3ECC" w:rsidRPr="00323F0A" w:rsidRDefault="002B3ECC"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Patrz przypis 32</w:t>
      </w:r>
      <w:r w:rsidRPr="00323F0A">
        <w:rPr>
          <w:rFonts w:asciiTheme="minorHAnsi" w:hAnsiTheme="minorHAnsi" w:cstheme="minorHAnsi"/>
          <w:szCs w:val="16"/>
          <w:lang w:bidi="pl-PL"/>
        </w:rPr>
        <w:t>.</w:t>
      </w:r>
    </w:p>
  </w:footnote>
  <w:footnote w:id="35">
    <w:p w:rsidR="002B3ECC" w:rsidRPr="00D37558" w:rsidRDefault="002B3ECC"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6">
    <w:p w:rsidR="002B3ECC" w:rsidRPr="008E0496" w:rsidRDefault="002B3ECC"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7">
    <w:p w:rsidR="002B3ECC" w:rsidRPr="00EE27E4" w:rsidRDefault="002B3ECC"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38">
    <w:p w:rsidR="002B3ECC" w:rsidRPr="00AA0ACB" w:rsidRDefault="002B3ECC"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9">
    <w:p w:rsidR="002B3ECC" w:rsidRPr="00AA0ACB" w:rsidRDefault="002B3ECC"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0">
    <w:p w:rsidR="002B3ECC" w:rsidRPr="00AA0ACB" w:rsidRDefault="002B3ECC"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4AF0"/>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4CB"/>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74713"/>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D149B-0AB7-458F-A48D-06BD4CF5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51</Pages>
  <Words>19095</Words>
  <Characters>114573</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133402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Marska Joanna</cp:lastModifiedBy>
  <cp:revision>7</cp:revision>
  <cp:lastPrinted>2023-10-11T07:20:00Z</cp:lastPrinted>
  <dcterms:created xsi:type="dcterms:W3CDTF">2023-10-12T10:44:00Z</dcterms:created>
  <dcterms:modified xsi:type="dcterms:W3CDTF">2024-01-04T14:05:00Z</dcterms:modified>
</cp:coreProperties>
</file>